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Y4600W108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 w:lineRule="exact"/>
        <w:rPr>
          <w:rFonts w:ascii="MS PGothic" w:cs="MS PGothic" w:eastAsia="MS PGothic" w:hAnsi="MS PGothic"/>
          <w:sz w:val="18"/>
          <w:szCs w:val="18"/>
          <w:color w:val="auto"/>
        </w:rPr>
      </w:pPr>
    </w:p>
    <w:p>
      <w:pPr>
        <w:jc w:val="both"/>
        <w:ind w:right="9960" w:firstLine="8"/>
        <w:spacing w:after="0" w:line="225" w:lineRule="exact"/>
        <w:tabs>
          <w:tab w:leader="none" w:pos="2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23" w:lineRule="exact"/>
        <w:rPr>
          <w:sz w:val="24"/>
          <w:szCs w:val="24"/>
          <w:color w:val="auto"/>
        </w:rPr>
      </w:pPr>
    </w:p>
    <w:p>
      <w:pPr>
        <w:ind w:firstLine="8"/>
        <w:spacing w:after="0" w:line="194" w:lineRule="auto"/>
        <w:tabs>
          <w:tab w:leader="none" w:pos="118"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780" w:hanging="67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Gobi Capital LLC</w:t>
      </w:r>
    </w:p>
    <w:p>
      <w:pPr>
        <w:spacing w:after="0" w:line="242" w:lineRule="exact"/>
        <w:rPr>
          <w:rFonts w:ascii="Arial" w:cs="Arial" w:eastAsia="Arial" w:hAnsi="Arial"/>
          <w:sz w:val="18"/>
          <w:szCs w:val="18"/>
          <w:color w:val="auto"/>
        </w:rPr>
      </w:pPr>
    </w:p>
    <w:p>
      <w:pPr>
        <w:ind w:left="780" w:right="5480" w:hanging="675"/>
        <w:spacing w:after="0" w:line="25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160" w:hanging="38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160" w:hanging="38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780" w:hanging="67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780" w:hanging="67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42" w:lineRule="exact"/>
        <w:rPr>
          <w:rFonts w:ascii="Arial" w:cs="Arial" w:eastAsia="Arial" w:hAnsi="Arial"/>
          <w:sz w:val="18"/>
          <w:szCs w:val="18"/>
          <w:color w:val="auto"/>
        </w:rPr>
      </w:pPr>
    </w:p>
    <w:p>
      <w:pPr>
        <w:ind w:left="2580" w:hanging="666"/>
        <w:spacing w:after="0"/>
        <w:tabs>
          <w:tab w:leader="none" w:pos="2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-1107440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-2221865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540" w:type="dxa"/>
            <w:vAlign w:val="bottom"/>
            <w:vMerge w:val="restart"/>
          </w:tcPr>
          <w:p>
            <w:pPr>
              <w:jc w:val="center"/>
              <w:ind w:right="230"/>
              <w:spacing w:after="0"/>
              <w:rPr>
                <w:sz w:val="20"/>
                <w:szCs w:val="20"/>
                <w:color w:val="auto"/>
              </w:rPr>
            </w:pPr>
            <w:r>
              <w:rPr>
                <w:rFonts w:ascii="Arial" w:cs="Arial" w:eastAsia="Arial" w:hAnsi="Arial"/>
                <w:sz w:val="18"/>
                <w:szCs w:val="18"/>
                <w:color w:val="auto"/>
                <w:w w:val="98"/>
              </w:rPr>
              <w:t>NUMBER OF</w:t>
            </w:r>
          </w:p>
        </w:tc>
        <w:tc>
          <w:tcPr>
            <w:tcW w:w="5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7"/>
        </w:trPr>
        <w:tc>
          <w:tcPr>
            <w:tcW w:w="1540" w:type="dxa"/>
            <w:vAlign w:val="bottom"/>
            <w:vMerge w:val="continue"/>
          </w:tcPr>
          <w:p>
            <w:pPr>
              <w:spacing w:after="0"/>
              <w:rPr>
                <w:sz w:val="7"/>
                <w:szCs w:val="7"/>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54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5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5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2,177,218</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5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4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EACH</w:t>
            </w:r>
          </w:p>
        </w:tc>
        <w:tc>
          <w:tcPr>
            <w:tcW w:w="5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17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8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bottom w:val="single" w:sz="8" w:color="auto"/>
            </w:tcBorders>
          </w:tcPr>
          <w:p>
            <w:pPr>
              <w:spacing w:after="0"/>
              <w:rPr>
                <w:sz w:val="11"/>
                <w:szCs w:val="11"/>
                <w:color w:val="auto"/>
              </w:rPr>
            </w:pPr>
          </w:p>
        </w:tc>
        <w:tc>
          <w:tcPr>
            <w:tcW w:w="8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4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tcPr>
          <w:p>
            <w:pPr>
              <w:ind w:left="260"/>
              <w:spacing w:after="0"/>
              <w:rPr>
                <w:sz w:val="20"/>
                <w:szCs w:val="20"/>
                <w:color w:val="auto"/>
              </w:rPr>
            </w:pPr>
            <w:r>
              <w:rPr>
                <w:rFonts w:ascii="Arial" w:cs="Arial" w:eastAsia="Arial" w:hAnsi="Arial"/>
                <w:sz w:val="18"/>
                <w:szCs w:val="18"/>
                <w:b w:val="1"/>
                <w:bCs w:val="1"/>
                <w:color w:val="auto"/>
              </w:rPr>
              <w:t>2,177,218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106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1"/>
        </w:trPr>
        <w:tc>
          <w:tcPr>
            <w:tcW w:w="560" w:type="dxa"/>
            <w:vAlign w:val="bottom"/>
          </w:tcPr>
          <w:p>
            <w:pPr>
              <w:spacing w:after="0"/>
              <w:rPr>
                <w:sz w:val="24"/>
                <w:szCs w:val="24"/>
                <w:color w:val="auto"/>
              </w:rPr>
            </w:pPr>
          </w:p>
        </w:tc>
        <w:tc>
          <w:tcPr>
            <w:tcW w:w="10680" w:type="dxa"/>
            <w:vAlign w:val="bottom"/>
          </w:tcPr>
          <w:p>
            <w:pPr>
              <w:ind w:left="220"/>
              <w:spacing w:after="0"/>
              <w:rPr>
                <w:sz w:val="20"/>
                <w:szCs w:val="20"/>
                <w:color w:val="auto"/>
              </w:rPr>
            </w:pPr>
            <w:r>
              <w:rPr>
                <w:rFonts w:ascii="Arial" w:cs="Arial" w:eastAsia="Arial" w:hAnsi="Arial"/>
                <w:sz w:val="18"/>
                <w:szCs w:val="18"/>
                <w:b w:val="1"/>
                <w:bCs w:val="1"/>
                <w:color w:val="auto"/>
              </w:rPr>
              <w:t>2,177,218</w:t>
            </w:r>
          </w:p>
        </w:tc>
      </w:tr>
      <w:tr>
        <w:trPr>
          <w:trHeight w:val="216"/>
        </w:trPr>
        <w:tc>
          <w:tcPr>
            <w:tcW w:w="560" w:type="dxa"/>
            <w:vAlign w:val="bottom"/>
            <w:tcBorders>
              <w:bottom w:val="single" w:sz="8" w:color="auto"/>
            </w:tcBorders>
          </w:tcPr>
          <w:p>
            <w:pPr>
              <w:spacing w:after="0"/>
              <w:rPr>
                <w:sz w:val="18"/>
                <w:szCs w:val="18"/>
                <w:color w:val="auto"/>
              </w:rPr>
            </w:pPr>
          </w:p>
        </w:tc>
        <w:tc>
          <w:tcPr>
            <w:tcW w:w="10680" w:type="dxa"/>
            <w:vAlign w:val="bottom"/>
            <w:tcBorders>
              <w:bottom w:val="single" w:sz="8" w:color="auto"/>
            </w:tcBorders>
          </w:tcPr>
          <w:p>
            <w:pPr>
              <w:spacing w:after="0"/>
              <w:rPr>
                <w:sz w:val="18"/>
                <w:szCs w:val="18"/>
                <w:color w:val="auto"/>
              </w:rPr>
            </w:pPr>
          </w:p>
        </w:tc>
      </w:tr>
      <w:tr>
        <w:trPr>
          <w:trHeight w:val="195"/>
        </w:trPr>
        <w:tc>
          <w:tcPr>
            <w:tcW w:w="560" w:type="dxa"/>
            <w:vAlign w:val="bottom"/>
          </w:tcPr>
          <w:p>
            <w:pPr>
              <w:ind w:left="100"/>
              <w:spacing w:after="0" w:line="195" w:lineRule="exact"/>
              <w:rPr>
                <w:sz w:val="20"/>
                <w:szCs w:val="20"/>
                <w:color w:val="auto"/>
              </w:rPr>
            </w:pPr>
            <w:r>
              <w:rPr>
                <w:rFonts w:ascii="Arial" w:cs="Arial" w:eastAsia="Arial" w:hAnsi="Arial"/>
                <w:sz w:val="18"/>
                <w:szCs w:val="18"/>
                <w:color w:val="auto"/>
              </w:rPr>
              <w:t>10.</w:t>
            </w:r>
          </w:p>
        </w:tc>
        <w:tc>
          <w:tcPr>
            <w:tcW w:w="10680" w:type="dxa"/>
            <w:vAlign w:val="bottom"/>
          </w:tcPr>
          <w:p>
            <w:pPr>
              <w:ind w:left="220"/>
              <w:spacing w:after="0" w:line="195" w:lineRule="exact"/>
              <w:rPr>
                <w:sz w:val="20"/>
                <w:szCs w:val="20"/>
                <w:color w:val="auto"/>
              </w:rPr>
            </w:pPr>
            <w:r>
              <w:rPr>
                <w:rFonts w:ascii="Arial" w:cs="Arial" w:eastAsia="Arial" w:hAnsi="Arial"/>
                <w:sz w:val="18"/>
                <w:szCs w:val="18"/>
                <w:color w:val="auto"/>
              </w:rPr>
              <w:t>CHECK IF THE AGGREGATE AMOUNT IN ROW (9) EXCLUDES CERTAIN SHARES</w:t>
            </w:r>
          </w:p>
        </w:tc>
      </w:tr>
      <w:tr>
        <w:trPr>
          <w:trHeight w:val="230"/>
        </w:trPr>
        <w:tc>
          <w:tcPr>
            <w:tcW w:w="56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(see instructions)  o</w:t>
            </w:r>
          </w:p>
        </w:tc>
      </w:tr>
    </w:tbl>
    <w:p>
      <w:pPr>
        <w:spacing w:after="0" w:line="215" w:lineRule="exact"/>
        <w:rPr>
          <w:sz w:val="20"/>
          <w:szCs w:val="20"/>
          <w:color w:val="auto"/>
        </w:rPr>
      </w:pPr>
    </w:p>
    <w:p>
      <w:pPr>
        <w:ind w:left="780" w:hanging="67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7.03%</w:t>
      </w:r>
    </w:p>
    <w:p>
      <w:pPr>
        <w:spacing w:after="0" w:line="242" w:lineRule="exact"/>
        <w:rPr>
          <w:rFonts w:ascii="Arial" w:cs="Arial" w:eastAsia="Arial" w:hAnsi="Arial"/>
          <w:sz w:val="18"/>
          <w:szCs w:val="18"/>
          <w:color w:val="auto"/>
        </w:rPr>
      </w:pPr>
    </w:p>
    <w:p>
      <w:pPr>
        <w:ind w:left="780" w:hanging="67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780" w:hanging="67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Bo Shan</w:t>
      </w:r>
    </w:p>
    <w:p>
      <w:pPr>
        <w:spacing w:after="0" w:line="242" w:lineRule="exact"/>
        <w:rPr>
          <w:rFonts w:ascii="Arial" w:cs="Arial" w:eastAsia="Arial" w:hAnsi="Arial"/>
          <w:sz w:val="18"/>
          <w:szCs w:val="18"/>
          <w:color w:val="auto"/>
        </w:rPr>
      </w:pPr>
    </w:p>
    <w:p>
      <w:pPr>
        <w:ind w:left="780" w:right="5480" w:hanging="675"/>
        <w:spacing w:after="0" w:line="25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160" w:hanging="38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160" w:hanging="38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780" w:hanging="67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780" w:hanging="67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United States</w:t>
      </w:r>
    </w:p>
    <w:p>
      <w:pPr>
        <w:spacing w:after="0" w:line="242" w:lineRule="exact"/>
        <w:rPr>
          <w:rFonts w:ascii="Arial" w:cs="Arial" w:eastAsia="Arial" w:hAnsi="Arial"/>
          <w:sz w:val="18"/>
          <w:szCs w:val="18"/>
          <w:color w:val="auto"/>
        </w:rPr>
      </w:pPr>
    </w:p>
    <w:p>
      <w:pPr>
        <w:ind w:left="2580" w:hanging="666"/>
        <w:spacing w:after="0"/>
        <w:tabs>
          <w:tab w:leader="none" w:pos="25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-1107440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-2221865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56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7"/>
        </w:trPr>
        <w:tc>
          <w:tcPr>
            <w:tcW w:w="1560" w:type="dxa"/>
            <w:vAlign w:val="bottom"/>
            <w:vMerge w:val="continue"/>
          </w:tcPr>
          <w:p>
            <w:pPr>
              <w:spacing w:after="0"/>
              <w:rPr>
                <w:sz w:val="7"/>
                <w:szCs w:val="7"/>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56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5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5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2,177,218</w:t>
            </w:r>
          </w:p>
        </w:tc>
        <w:tc>
          <w:tcPr>
            <w:tcW w:w="0" w:type="dxa"/>
            <w:vAlign w:val="bottom"/>
          </w:tcPr>
          <w:p>
            <w:pPr>
              <w:spacing w:after="0"/>
              <w:rPr>
                <w:sz w:val="1"/>
                <w:szCs w:val="1"/>
                <w:color w:val="auto"/>
              </w:rPr>
            </w:pPr>
          </w:p>
        </w:tc>
      </w:tr>
      <w:tr>
        <w:trPr>
          <w:trHeight w:val="122"/>
        </w:trPr>
        <w:tc>
          <w:tcPr>
            <w:tcW w:w="1560" w:type="dxa"/>
            <w:vAlign w:val="bottom"/>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5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6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6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EACH</w:t>
            </w:r>
          </w:p>
        </w:tc>
        <w:tc>
          <w:tcPr>
            <w:tcW w:w="5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210"/>
              <w:spacing w:after="0"/>
              <w:rPr>
                <w:sz w:val="20"/>
                <w:szCs w:val="20"/>
                <w:color w:val="auto"/>
              </w:rPr>
            </w:pPr>
            <w:r>
              <w:rPr>
                <w:rFonts w:ascii="Arial" w:cs="Arial" w:eastAsia="Arial" w:hAnsi="Arial"/>
                <w:sz w:val="18"/>
                <w:szCs w:val="18"/>
                <w:color w:val="auto"/>
                <w:w w:val="91"/>
              </w:rPr>
              <w:t>REPORTING</w:t>
            </w:r>
          </w:p>
        </w:tc>
        <w:tc>
          <w:tcPr>
            <w:tcW w:w="500" w:type="dxa"/>
            <w:vAlign w:val="bottom"/>
          </w:tcPr>
          <w:p>
            <w:pPr>
              <w:spacing w:after="0"/>
              <w:rPr>
                <w:sz w:val="18"/>
                <w:szCs w:val="18"/>
                <w:color w:val="auto"/>
              </w:rPr>
            </w:pPr>
          </w:p>
        </w:tc>
        <w:tc>
          <w:tcPr>
            <w:tcW w:w="8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560" w:type="dxa"/>
            <w:vAlign w:val="bottom"/>
            <w:vMerge w:val="restart"/>
          </w:tcPr>
          <w:p>
            <w:pPr>
              <w:jc w:val="center"/>
              <w:ind w:right="15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bottom w:val="single" w:sz="8" w:color="auto"/>
            </w:tcBorders>
          </w:tcPr>
          <w:p>
            <w:pPr>
              <w:spacing w:after="0"/>
              <w:rPr>
                <w:sz w:val="11"/>
                <w:szCs w:val="11"/>
                <w:color w:val="auto"/>
              </w:rPr>
            </w:pPr>
          </w:p>
        </w:tc>
        <w:tc>
          <w:tcPr>
            <w:tcW w:w="8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6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tcPr>
          <w:p>
            <w:pPr>
              <w:ind w:left="260"/>
              <w:spacing w:after="0"/>
              <w:rPr>
                <w:sz w:val="20"/>
                <w:szCs w:val="20"/>
                <w:color w:val="auto"/>
              </w:rPr>
            </w:pPr>
            <w:r>
              <w:rPr>
                <w:rFonts w:ascii="Arial" w:cs="Arial" w:eastAsia="Arial" w:hAnsi="Arial"/>
                <w:sz w:val="18"/>
                <w:szCs w:val="18"/>
                <w:b w:val="1"/>
                <w:bCs w:val="1"/>
                <w:color w:val="auto"/>
              </w:rPr>
              <w:t>2,177,218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106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1"/>
        </w:trPr>
        <w:tc>
          <w:tcPr>
            <w:tcW w:w="560" w:type="dxa"/>
            <w:vAlign w:val="bottom"/>
          </w:tcPr>
          <w:p>
            <w:pPr>
              <w:spacing w:after="0"/>
              <w:rPr>
                <w:sz w:val="24"/>
                <w:szCs w:val="24"/>
                <w:color w:val="auto"/>
              </w:rPr>
            </w:pPr>
          </w:p>
        </w:tc>
        <w:tc>
          <w:tcPr>
            <w:tcW w:w="10680" w:type="dxa"/>
            <w:vAlign w:val="bottom"/>
          </w:tcPr>
          <w:p>
            <w:pPr>
              <w:ind w:left="220"/>
              <w:spacing w:after="0"/>
              <w:rPr>
                <w:sz w:val="20"/>
                <w:szCs w:val="20"/>
                <w:color w:val="auto"/>
              </w:rPr>
            </w:pPr>
            <w:r>
              <w:rPr>
                <w:rFonts w:ascii="Arial" w:cs="Arial" w:eastAsia="Arial" w:hAnsi="Arial"/>
                <w:sz w:val="18"/>
                <w:szCs w:val="18"/>
                <w:b w:val="1"/>
                <w:bCs w:val="1"/>
                <w:color w:val="auto"/>
              </w:rPr>
              <w:t>2,177,218</w:t>
            </w:r>
          </w:p>
        </w:tc>
      </w:tr>
      <w:tr>
        <w:trPr>
          <w:trHeight w:val="216"/>
        </w:trPr>
        <w:tc>
          <w:tcPr>
            <w:tcW w:w="560" w:type="dxa"/>
            <w:vAlign w:val="bottom"/>
            <w:tcBorders>
              <w:bottom w:val="single" w:sz="8" w:color="auto"/>
            </w:tcBorders>
          </w:tcPr>
          <w:p>
            <w:pPr>
              <w:spacing w:after="0"/>
              <w:rPr>
                <w:sz w:val="18"/>
                <w:szCs w:val="18"/>
                <w:color w:val="auto"/>
              </w:rPr>
            </w:pPr>
          </w:p>
        </w:tc>
        <w:tc>
          <w:tcPr>
            <w:tcW w:w="10680" w:type="dxa"/>
            <w:vAlign w:val="bottom"/>
            <w:tcBorders>
              <w:bottom w:val="single" w:sz="8" w:color="auto"/>
            </w:tcBorders>
          </w:tcPr>
          <w:p>
            <w:pPr>
              <w:spacing w:after="0"/>
              <w:rPr>
                <w:sz w:val="18"/>
                <w:szCs w:val="18"/>
                <w:color w:val="auto"/>
              </w:rPr>
            </w:pPr>
          </w:p>
        </w:tc>
      </w:tr>
      <w:tr>
        <w:trPr>
          <w:trHeight w:val="195"/>
        </w:trPr>
        <w:tc>
          <w:tcPr>
            <w:tcW w:w="560" w:type="dxa"/>
            <w:vAlign w:val="bottom"/>
          </w:tcPr>
          <w:p>
            <w:pPr>
              <w:ind w:left="100"/>
              <w:spacing w:after="0" w:line="195" w:lineRule="exact"/>
              <w:rPr>
                <w:sz w:val="20"/>
                <w:szCs w:val="20"/>
                <w:color w:val="auto"/>
              </w:rPr>
            </w:pPr>
            <w:r>
              <w:rPr>
                <w:rFonts w:ascii="Arial" w:cs="Arial" w:eastAsia="Arial" w:hAnsi="Arial"/>
                <w:sz w:val="18"/>
                <w:szCs w:val="18"/>
                <w:color w:val="auto"/>
              </w:rPr>
              <w:t>10.</w:t>
            </w:r>
          </w:p>
        </w:tc>
        <w:tc>
          <w:tcPr>
            <w:tcW w:w="10680" w:type="dxa"/>
            <w:vAlign w:val="bottom"/>
          </w:tcPr>
          <w:p>
            <w:pPr>
              <w:ind w:left="220"/>
              <w:spacing w:after="0" w:line="195" w:lineRule="exact"/>
              <w:rPr>
                <w:sz w:val="20"/>
                <w:szCs w:val="20"/>
                <w:color w:val="auto"/>
              </w:rPr>
            </w:pPr>
            <w:r>
              <w:rPr>
                <w:rFonts w:ascii="Arial" w:cs="Arial" w:eastAsia="Arial" w:hAnsi="Arial"/>
                <w:sz w:val="18"/>
                <w:szCs w:val="18"/>
                <w:color w:val="auto"/>
              </w:rPr>
              <w:t>CHECK IF THE AGGREGATE AMOUNT IN ROW (9) EXCLUDES CERTAIN SHARES</w:t>
            </w:r>
          </w:p>
        </w:tc>
      </w:tr>
      <w:tr>
        <w:trPr>
          <w:trHeight w:val="230"/>
        </w:trPr>
        <w:tc>
          <w:tcPr>
            <w:tcW w:w="56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(see instructions)  o</w:t>
            </w:r>
          </w:p>
        </w:tc>
      </w:tr>
    </w:tbl>
    <w:p>
      <w:pPr>
        <w:spacing w:after="0" w:line="215" w:lineRule="exact"/>
        <w:rPr>
          <w:sz w:val="20"/>
          <w:szCs w:val="20"/>
          <w:color w:val="auto"/>
        </w:rPr>
      </w:pPr>
    </w:p>
    <w:p>
      <w:pPr>
        <w:ind w:left="780" w:hanging="67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7.03%</w:t>
      </w:r>
    </w:p>
    <w:p>
      <w:pPr>
        <w:spacing w:after="0" w:line="242" w:lineRule="exact"/>
        <w:rPr>
          <w:rFonts w:ascii="Arial" w:cs="Arial" w:eastAsia="Arial" w:hAnsi="Arial"/>
          <w:sz w:val="18"/>
          <w:szCs w:val="18"/>
          <w:color w:val="auto"/>
        </w:rPr>
      </w:pPr>
    </w:p>
    <w:p>
      <w:pPr>
        <w:ind w:left="780" w:hanging="67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780" w:hanging="67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Gobi Master Fund Ltd.</w:t>
      </w:r>
    </w:p>
    <w:p>
      <w:pPr>
        <w:spacing w:after="0" w:line="242" w:lineRule="exact"/>
        <w:rPr>
          <w:rFonts w:ascii="Arial" w:cs="Arial" w:eastAsia="Arial" w:hAnsi="Arial"/>
          <w:sz w:val="18"/>
          <w:szCs w:val="18"/>
          <w:color w:val="auto"/>
        </w:rPr>
      </w:pPr>
    </w:p>
    <w:p>
      <w:pPr>
        <w:ind w:left="780" w:right="5480" w:hanging="675"/>
        <w:spacing w:after="0" w:line="25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160" w:hanging="380"/>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160" w:hanging="380"/>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780" w:hanging="67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780" w:hanging="67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2" w:lineRule="exact"/>
        <w:rPr>
          <w:rFonts w:ascii="Arial" w:cs="Arial" w:eastAsia="Arial" w:hAnsi="Arial"/>
          <w:sz w:val="18"/>
          <w:szCs w:val="18"/>
          <w:color w:val="auto"/>
        </w:rPr>
      </w:pPr>
    </w:p>
    <w:p>
      <w:pPr>
        <w:ind w:left="2580" w:hanging="666"/>
        <w:spacing w:after="0"/>
        <w:tabs>
          <w:tab w:leader="none" w:pos="25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-1107440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-2221865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7"/>
        </w:trPr>
        <w:tc>
          <w:tcPr>
            <w:tcW w:w="1540" w:type="dxa"/>
            <w:vAlign w:val="bottom"/>
            <w:vMerge w:val="continue"/>
          </w:tcPr>
          <w:p>
            <w:pPr>
              <w:spacing w:after="0"/>
              <w:rPr>
                <w:sz w:val="7"/>
                <w:szCs w:val="7"/>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54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5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5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1,653,712</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OWNED BY</w:t>
            </w:r>
          </w:p>
        </w:tc>
        <w:tc>
          <w:tcPr>
            <w:tcW w:w="5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4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EACH</w:t>
            </w:r>
          </w:p>
        </w:tc>
        <w:tc>
          <w:tcPr>
            <w:tcW w:w="5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230"/>
              <w:spacing w:after="0"/>
              <w:rPr>
                <w:sz w:val="20"/>
                <w:szCs w:val="20"/>
                <w:color w:val="auto"/>
              </w:rPr>
            </w:pPr>
            <w:r>
              <w:rPr>
                <w:rFonts w:ascii="Arial" w:cs="Arial" w:eastAsia="Arial" w:hAnsi="Arial"/>
                <w:sz w:val="18"/>
                <w:szCs w:val="18"/>
                <w:color w:val="auto"/>
                <w:w w:val="91"/>
              </w:rPr>
              <w:t>REPORTING</w:t>
            </w:r>
          </w:p>
        </w:tc>
        <w:tc>
          <w:tcPr>
            <w:tcW w:w="500" w:type="dxa"/>
            <w:vAlign w:val="bottom"/>
          </w:tcPr>
          <w:p>
            <w:pPr>
              <w:spacing w:after="0"/>
              <w:rPr>
                <w:sz w:val="18"/>
                <w:szCs w:val="18"/>
                <w:color w:val="auto"/>
              </w:rPr>
            </w:pPr>
          </w:p>
        </w:tc>
        <w:tc>
          <w:tcPr>
            <w:tcW w:w="8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bottom w:val="single" w:sz="8" w:color="auto"/>
            </w:tcBorders>
          </w:tcPr>
          <w:p>
            <w:pPr>
              <w:spacing w:after="0"/>
              <w:rPr>
                <w:sz w:val="11"/>
                <w:szCs w:val="11"/>
                <w:color w:val="auto"/>
              </w:rPr>
            </w:pPr>
          </w:p>
        </w:tc>
        <w:tc>
          <w:tcPr>
            <w:tcW w:w="8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4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tcPr>
          <w:p>
            <w:pPr>
              <w:ind w:left="260"/>
              <w:spacing w:after="0"/>
              <w:rPr>
                <w:sz w:val="20"/>
                <w:szCs w:val="20"/>
                <w:color w:val="auto"/>
              </w:rPr>
            </w:pPr>
            <w:r>
              <w:rPr>
                <w:rFonts w:ascii="Arial" w:cs="Arial" w:eastAsia="Arial" w:hAnsi="Arial"/>
                <w:sz w:val="18"/>
                <w:szCs w:val="18"/>
                <w:b w:val="1"/>
                <w:bCs w:val="1"/>
                <w:color w:val="auto"/>
              </w:rPr>
              <w:t>1,653,712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106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1"/>
        </w:trPr>
        <w:tc>
          <w:tcPr>
            <w:tcW w:w="560" w:type="dxa"/>
            <w:vAlign w:val="bottom"/>
          </w:tcPr>
          <w:p>
            <w:pPr>
              <w:spacing w:after="0"/>
              <w:rPr>
                <w:sz w:val="24"/>
                <w:szCs w:val="24"/>
                <w:color w:val="auto"/>
              </w:rPr>
            </w:pPr>
          </w:p>
        </w:tc>
        <w:tc>
          <w:tcPr>
            <w:tcW w:w="10680" w:type="dxa"/>
            <w:vAlign w:val="bottom"/>
          </w:tcPr>
          <w:p>
            <w:pPr>
              <w:ind w:left="220"/>
              <w:spacing w:after="0"/>
              <w:rPr>
                <w:sz w:val="20"/>
                <w:szCs w:val="20"/>
                <w:color w:val="auto"/>
              </w:rPr>
            </w:pPr>
            <w:r>
              <w:rPr>
                <w:rFonts w:ascii="Arial" w:cs="Arial" w:eastAsia="Arial" w:hAnsi="Arial"/>
                <w:sz w:val="18"/>
                <w:szCs w:val="18"/>
                <w:b w:val="1"/>
                <w:bCs w:val="1"/>
                <w:color w:val="auto"/>
              </w:rPr>
              <w:t>1,653,712</w:t>
            </w:r>
          </w:p>
        </w:tc>
      </w:tr>
      <w:tr>
        <w:trPr>
          <w:trHeight w:val="216"/>
        </w:trPr>
        <w:tc>
          <w:tcPr>
            <w:tcW w:w="560" w:type="dxa"/>
            <w:vAlign w:val="bottom"/>
            <w:tcBorders>
              <w:bottom w:val="single" w:sz="8" w:color="auto"/>
            </w:tcBorders>
          </w:tcPr>
          <w:p>
            <w:pPr>
              <w:spacing w:after="0"/>
              <w:rPr>
                <w:sz w:val="18"/>
                <w:szCs w:val="18"/>
                <w:color w:val="auto"/>
              </w:rPr>
            </w:pPr>
          </w:p>
        </w:tc>
        <w:tc>
          <w:tcPr>
            <w:tcW w:w="10680" w:type="dxa"/>
            <w:vAlign w:val="bottom"/>
            <w:tcBorders>
              <w:bottom w:val="single" w:sz="8" w:color="auto"/>
            </w:tcBorders>
          </w:tcPr>
          <w:p>
            <w:pPr>
              <w:spacing w:after="0"/>
              <w:rPr>
                <w:sz w:val="18"/>
                <w:szCs w:val="18"/>
                <w:color w:val="auto"/>
              </w:rPr>
            </w:pPr>
          </w:p>
        </w:tc>
      </w:tr>
      <w:tr>
        <w:trPr>
          <w:trHeight w:val="195"/>
        </w:trPr>
        <w:tc>
          <w:tcPr>
            <w:tcW w:w="560" w:type="dxa"/>
            <w:vAlign w:val="bottom"/>
          </w:tcPr>
          <w:p>
            <w:pPr>
              <w:ind w:left="100"/>
              <w:spacing w:after="0" w:line="195" w:lineRule="exact"/>
              <w:rPr>
                <w:sz w:val="20"/>
                <w:szCs w:val="20"/>
                <w:color w:val="auto"/>
              </w:rPr>
            </w:pPr>
            <w:r>
              <w:rPr>
                <w:rFonts w:ascii="Arial" w:cs="Arial" w:eastAsia="Arial" w:hAnsi="Arial"/>
                <w:sz w:val="18"/>
                <w:szCs w:val="18"/>
                <w:color w:val="auto"/>
              </w:rPr>
              <w:t>10.</w:t>
            </w:r>
          </w:p>
        </w:tc>
        <w:tc>
          <w:tcPr>
            <w:tcW w:w="10680" w:type="dxa"/>
            <w:vAlign w:val="bottom"/>
          </w:tcPr>
          <w:p>
            <w:pPr>
              <w:ind w:left="220"/>
              <w:spacing w:after="0" w:line="195" w:lineRule="exact"/>
              <w:rPr>
                <w:sz w:val="20"/>
                <w:szCs w:val="20"/>
                <w:color w:val="auto"/>
              </w:rPr>
            </w:pPr>
            <w:r>
              <w:rPr>
                <w:rFonts w:ascii="Arial" w:cs="Arial" w:eastAsia="Arial" w:hAnsi="Arial"/>
                <w:sz w:val="18"/>
                <w:szCs w:val="18"/>
                <w:color w:val="auto"/>
              </w:rPr>
              <w:t>CHECK IF THE AGGREGATE AMOUNT IN ROW (9) EXCLUDES CERTAIN SHARES</w:t>
            </w:r>
          </w:p>
        </w:tc>
      </w:tr>
      <w:tr>
        <w:trPr>
          <w:trHeight w:val="230"/>
        </w:trPr>
        <w:tc>
          <w:tcPr>
            <w:tcW w:w="56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(see instructions)  o</w:t>
            </w:r>
          </w:p>
        </w:tc>
      </w:tr>
    </w:tbl>
    <w:p>
      <w:pPr>
        <w:spacing w:after="0" w:line="215" w:lineRule="exact"/>
        <w:rPr>
          <w:sz w:val="20"/>
          <w:szCs w:val="20"/>
          <w:color w:val="auto"/>
        </w:rPr>
      </w:pPr>
    </w:p>
    <w:p>
      <w:pPr>
        <w:ind w:left="780" w:hanging="67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5.34%</w:t>
      </w:r>
    </w:p>
    <w:p>
      <w:pPr>
        <w:spacing w:after="0" w:line="242" w:lineRule="exact"/>
        <w:rPr>
          <w:rFonts w:ascii="Arial" w:cs="Arial" w:eastAsia="Arial" w:hAnsi="Arial"/>
          <w:sz w:val="18"/>
          <w:szCs w:val="18"/>
          <w:color w:val="auto"/>
        </w:rPr>
      </w:pPr>
    </w:p>
    <w:p>
      <w:pPr>
        <w:ind w:left="780" w:hanging="67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 w:name="page5"/>
    <w:bookmarkEnd w:id="4"/>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Karooooo Ltd.</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50 Raffles Place #32-01</w:t>
      </w:r>
      <w:r>
        <w:rPr>
          <w:rFonts w:ascii="Arial" w:cs="Arial" w:eastAsia="Arial" w:hAnsi="Arial"/>
          <w:sz w:val="18"/>
          <w:szCs w:val="18"/>
          <w:color w:val="auto"/>
        </w:rPr>
        <w:t>,</w:t>
      </w:r>
      <w:r>
        <w:rPr>
          <w:rFonts w:ascii="Arial" w:cs="Arial" w:eastAsia="Arial" w:hAnsi="Arial"/>
          <w:sz w:val="18"/>
          <w:szCs w:val="18"/>
          <w:b w:val="1"/>
          <w:bCs w:val="1"/>
          <w:color w:val="auto"/>
        </w:rPr>
        <w:t xml:space="preserve"> Singapore Land Tower</w:t>
      </w:r>
      <w:r>
        <w:rPr>
          <w:rFonts w:ascii="Arial" w:cs="Arial" w:eastAsia="Arial" w:hAnsi="Arial"/>
          <w:sz w:val="18"/>
          <w:szCs w:val="18"/>
          <w:color w:val="auto"/>
        </w:rPr>
        <w:t>,</w:t>
      </w:r>
      <w:r>
        <w:rPr>
          <w:rFonts w:ascii="Arial" w:cs="Arial" w:eastAsia="Arial" w:hAnsi="Arial"/>
          <w:sz w:val="18"/>
          <w:szCs w:val="18"/>
          <w:b w:val="1"/>
          <w:bCs w:val="1"/>
          <w:color w:val="auto"/>
        </w:rPr>
        <w:t xml:space="preserve"> Singapore 048623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1"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Gobi Capital LLC (“Gobi”), Bo Shan (“Shan”) and Gobi Master Fund, Ltd. (“Gobi Master,” and together with Gobi and Shan, the “Reporting Persons”)</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the Principal Office of the Reporting Persons</w:t>
      </w:r>
    </w:p>
    <w:p>
      <w:pPr>
        <w:spacing w:after="0" w:line="221" w:lineRule="exact"/>
        <w:rPr>
          <w:rFonts w:ascii="Arial" w:cs="Arial" w:eastAsia="Arial" w:hAnsi="Arial"/>
          <w:sz w:val="18"/>
          <w:szCs w:val="18"/>
          <w:color w:val="auto"/>
        </w:rPr>
      </w:pPr>
    </w:p>
    <w:p>
      <w:pPr>
        <w:ind w:left="660" w:right="79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909 Montgomery Street, Suite 400 San Francisco, CA 94133</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b w:val="1"/>
          <w:bCs w:val="1"/>
          <w:color w:val="auto"/>
        </w:rPr>
        <w:t>Gobi is a Delaware limited liability company. Shan is a citizen of the United States. Gobi Master is a Cayman Islands exempted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Ordinary Shares, No Par Value</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Y4600W108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5" w:name="page6"/>
    <w:bookmarkEnd w:id="5"/>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Sec. 240.13d-1(b) or 240.13d-2(b) or (c), check whether the person filing is a:</w:t>
      </w:r>
    </w:p>
    <w:p>
      <w:pPr>
        <w:spacing w:after="0" w:line="196" w:lineRule="exact"/>
        <w:rPr>
          <w:sz w:val="20"/>
          <w:szCs w:val="20"/>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U.S.D. 78o):</w:t>
      </w:r>
    </w:p>
    <w:p>
      <w:pPr>
        <w:spacing w:after="0" w:line="76"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4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4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4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4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4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4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49" w:lineRule="exact"/>
        <w:rPr>
          <w:rFonts w:ascii="Arial" w:cs="Arial" w:eastAsia="Arial" w:hAnsi="Arial"/>
          <w:sz w:val="18"/>
          <w:szCs w:val="18"/>
          <w:color w:val="auto"/>
        </w:rPr>
      </w:pPr>
    </w:p>
    <w:p>
      <w:pPr>
        <w:ind w:left="980" w:hanging="648"/>
        <w:spacing w:after="0" w:line="226" w:lineRule="exact"/>
        <w:tabs>
          <w:tab w:leader="none" w:pos="656"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6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statement is being filed with respect to an aggregate of 2,177,218 shares of Ordinary Shares, resulting in beneficial ownership of Ordinary Shares as follows:</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Gobi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Amount Beneficially owned: 2,177,218.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7.03%.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Number of shares to which the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2,177,218.</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2,177,218.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Amount Beneficially owned: 2,177,218.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7.03%.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Number of shares to which the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2,177,218.</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1300" w:hanging="320"/>
        <w:spacing w:after="0"/>
        <w:tabs>
          <w:tab w:leader="none" w:pos="1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2,177,218.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Gobi Master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Amount Beneficially owned: 1,653,712.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5.34%.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Number of shares to which the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1,653,712.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1,653,712.</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340" w:hanging="332"/>
        <w:spacing w:after="0"/>
        <w:tabs>
          <w:tab w:leader="none" w:pos="34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As of the date of this Report, the aggregate beneficial ownership of the Reporting Persons had been reduced to below five percent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Gobi, an investment adviser registered under Section 203 of the Investment Advisers Act of 1940, is deemed to be the beneficial owner of 2,177,218 shares, or 7.03% of the Ordinary Shares believed to be outstanding, as a result of acting as investment adviser to various clients. Shan is the managing member of Gobi and as such is deemed to be the beneficial owner of 2,177,218 shares, or 7.03% of the Ordinary Shares believed to be outstanding. Clients of Gobi have the right to receive and the ultimate power to direct the receipt of dividends from, or the proceeds of the sale of, such securities. Gobi Master Fund, Ltd., a Cayman Islands exempted company for which Gobi acts as an investment adviser, may be deemed to beneficially own 1,653,712 of these 2,177,218 shares, which equates to 5.34% of the Ordinary Shares believed to be outstanding. Druid Investment Partners LP, a Delaware limited partnership for which Gobi acts as investment adviser, may be deemed to beneficially own 397,081 of these 2,177,218 shares, which equates to 1.28% of the Ordinary Shares believed to be outstanding. Gobi Concentrated Master Fund Ltd., a business company incorporated and existing under the laws of the British Virgin Islands for which Gobi acts as investment adviser, may be deemed to beneficially own 126,425 of these 2,177,218 shares, which equates to 0.41% of the Ordinary Shares believed to be outstanding.</w:t>
      </w:r>
    </w:p>
    <w:p>
      <w:pPr>
        <w:spacing w:after="0" w:line="181"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4"/>
        </w:trPr>
        <w:tc>
          <w:tcPr>
            <w:tcW w:w="39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CUSIP No. Y4600W108</w:t>
            </w:r>
          </w:p>
        </w:tc>
        <w:tc>
          <w:tcPr>
            <w:tcW w:w="4140" w:type="dxa"/>
            <w:vAlign w:val="bottom"/>
            <w:tcBorders>
              <w:top w:val="single" w:sz="8" w:color="auto"/>
            </w:tcBorders>
          </w:tcPr>
          <w:p>
            <w:pPr>
              <w:ind w:left="1620"/>
              <w:spacing w:after="0"/>
              <w:rPr>
                <w:sz w:val="20"/>
                <w:szCs w:val="20"/>
                <w:color w:val="auto"/>
              </w:rPr>
            </w:pPr>
            <w:r>
              <w:rPr>
                <w:rFonts w:ascii="Arial" w:cs="Arial" w:eastAsia="Arial" w:hAnsi="Arial"/>
                <w:sz w:val="18"/>
                <w:szCs w:val="18"/>
                <w:color w:val="auto"/>
              </w:rPr>
              <w:t>13G</w:t>
            </w:r>
          </w:p>
        </w:tc>
        <w:tc>
          <w:tcPr>
            <w:tcW w:w="3200" w:type="dxa"/>
            <w:vAlign w:val="bottom"/>
            <w:tcBorders>
              <w:top w:val="single" w:sz="8" w:color="auto"/>
            </w:tcBorders>
          </w:tcPr>
          <w:p>
            <w:pPr>
              <w:ind w:left="2200"/>
              <w:spacing w:after="0"/>
              <w:rPr>
                <w:sz w:val="20"/>
                <w:szCs w:val="20"/>
                <w:color w:val="auto"/>
              </w:rPr>
            </w:pPr>
            <w:r>
              <w:rPr>
                <w:rFonts w:ascii="Arial" w:cs="Arial" w:eastAsia="Arial" w:hAnsi="Arial"/>
                <w:sz w:val="18"/>
                <w:szCs w:val="18"/>
                <w:color w:val="auto"/>
                <w:w w:val="95"/>
              </w:rPr>
              <w:t>Page 8 of 11</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292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c>
          <w:tcPr>
            <w:tcW w:w="414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Certification with respect to Gobi and Shan: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Certification with respect to Gobi Master: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 by and between the Reporting Persons dated February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left="100"/>
        <w:spacing w:after="0"/>
        <w:tabs>
          <w:tab w:leader="none" w:pos="5500" w:val="left"/>
          <w:tab w:leader="none" w:pos="1022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February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 L. Shan, as Managing Member of Gobi Capital LLC</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 L. Shan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26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 L. Shan, as Director of Gobi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22"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4"/>
        </w:trPr>
        <w:tc>
          <w:tcPr>
            <w:tcW w:w="358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color w:val="auto"/>
              </w:rPr>
              <w:t>CUSIP No. Y4600W108</w:t>
            </w:r>
          </w:p>
        </w:tc>
        <w:tc>
          <w:tcPr>
            <w:tcW w:w="542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13G</w:t>
            </w:r>
          </w:p>
        </w:tc>
        <w:tc>
          <w:tcPr>
            <w:tcW w:w="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94"/>
              </w:rPr>
              <w:t>Page 10 of 11</w:t>
            </w:r>
          </w:p>
        </w:tc>
      </w:tr>
      <w:tr>
        <w:trPr>
          <w:trHeight w:val="418"/>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20" w:type="dxa"/>
            <w:vAlign w:val="bottom"/>
          </w:tcPr>
          <w:p>
            <w:pPr>
              <w:ind w:left="1340"/>
              <w:spacing w:after="0"/>
              <w:rPr>
                <w:sz w:val="20"/>
                <w:szCs w:val="20"/>
                <w:color w:val="auto"/>
              </w:rPr>
            </w:pPr>
            <w:r>
              <w:rPr>
                <w:rFonts w:ascii="Arial" w:cs="Arial" w:eastAsia="Arial" w:hAnsi="Arial"/>
                <w:sz w:val="18"/>
                <w:szCs w:val="18"/>
                <w:b w:val="1"/>
                <w:bCs w:val="1"/>
                <w:color w:val="auto"/>
              </w:rPr>
              <w:t>EXHIBIT INDEX</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Ex.</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Page No.</w:t>
            </w:r>
          </w:p>
        </w:tc>
        <w:tc>
          <w:tcPr>
            <w:tcW w:w="1580" w:type="dxa"/>
            <w:vAlign w:val="bottom"/>
          </w:tcPr>
          <w:p>
            <w:pPr>
              <w:spacing w:after="0"/>
              <w:rPr>
                <w:sz w:val="24"/>
                <w:szCs w:val="24"/>
                <w:color w:val="auto"/>
              </w:rPr>
            </w:pPr>
          </w:p>
        </w:tc>
      </w:tr>
      <w:tr>
        <w:trPr>
          <w:trHeight w:val="439"/>
        </w:trPr>
        <w:tc>
          <w:tcPr>
            <w:tcW w:w="58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A</w:t>
              </w:r>
            </w:hyperlink>
          </w:p>
        </w:tc>
        <w:tc>
          <w:tcPr>
            <w:tcW w:w="300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Joint Filing Agreement</w:t>
              </w:r>
            </w:hyperlink>
          </w:p>
        </w:tc>
        <w:tc>
          <w:tcPr>
            <w:tcW w:w="54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1580" w:type="dxa"/>
            <w:vAlign w:val="bottom"/>
          </w:tcPr>
          <w:p>
            <w:pPr>
              <w:spacing w:after="0"/>
              <w:rPr>
                <w:sz w:val="24"/>
                <w:szCs w:val="24"/>
                <w:color w:val="auto"/>
              </w:rPr>
            </w:pPr>
          </w:p>
        </w:tc>
      </w:tr>
      <w:tr>
        <w:trPr>
          <w:trHeight w:val="709"/>
        </w:trPr>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0" w:name="page11"/>
    <w:bookmarkEnd w:id="10"/>
    <w:p>
      <w:pPr>
        <w:ind w:left="100"/>
        <w:spacing w:after="0"/>
        <w:tabs>
          <w:tab w:leader="none" w:pos="5500" w:val="left"/>
          <w:tab w:leader="none" w:pos="10140" w:val="left"/>
        </w:tabs>
        <w:rPr>
          <w:sz w:val="20"/>
          <w:szCs w:val="20"/>
          <w:color w:val="auto"/>
        </w:rPr>
      </w:pPr>
      <w:r>
        <w:rPr>
          <w:rFonts w:ascii="Arial" w:cs="Arial" w:eastAsia="Arial" w:hAnsi="Arial"/>
          <w:sz w:val="18"/>
          <w:szCs w:val="18"/>
          <w:color w:val="auto"/>
        </w:rPr>
        <w:t>CUSIP No. Y4600W108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of Karooooo Ltd., dated as of February 7, 2022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6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February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 L. Shan, as Managing Member of Gobi Capital LLC</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 L. Shan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26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 L. Shan, as Director of Gobi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
    <w:nsid w:val="7FDCC2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2022-02-07T17:25:38Z</dcterms:created>
  <dcterms:modified xsi:type="dcterms:W3CDTF">2022-02-07T17:25:38Z</dcterms:modified>
</cp:coreProperties>
</file>