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13D/A</w:t>
      </w:r>
    </w:p>
    <w:p>
      <w:pPr>
        <w:spacing w:after="0" w:line="37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(Amendment No. 2)*</w:t>
      </w:r>
    </w:p>
    <w:p>
      <w:pPr>
        <w:spacing w:after="0" w:line="189"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Karooooo Ltd.</w:t>
      </w:r>
    </w:p>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Ordinary Shares, no par value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Y4600W108</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Juan Marais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21 Penhurst Avenue, Essexwold</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Bedfordview, South Africa 2007</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+2782924259</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with a copy to:</w:t>
      </w: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John B. Meade, Esq.</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Roshni Banker Cariello, Esq.</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Davis Polk &amp; Wardwell LLP</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450 Lexington Avenue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NY 10017</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Tel: (212) 450-4077</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Address and Telephone Number of Person Authorized to Receive Notices and Communications)</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December 8, 2021</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11" w:lineRule="exact"/>
        <w:rPr>
          <w:sz w:val="24"/>
          <w:szCs w:val="24"/>
          <w:color w:val="auto"/>
        </w:rPr>
      </w:pPr>
    </w:p>
    <w:p>
      <w:pPr>
        <w:ind w:right="18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13D/A, and is filing this schedule because of §§240.13d-1(e), 240.13d-1(f) or 240.13d-1(g), check the following box. </w:t>
      </w:r>
      <w:r>
        <w:rPr>
          <w:rFonts w:ascii="MS PGothic" w:cs="MS PGothic" w:eastAsia="MS PGothic" w:hAnsi="MS PGothic"/>
          <w:sz w:val="18"/>
          <w:szCs w:val="18"/>
          <w:color w:val="auto"/>
        </w:rPr>
        <w:t>☐</w:t>
      </w:r>
    </w:p>
    <w:p>
      <w:pPr>
        <w:spacing w:after="0" w:line="178"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66" w:lineRule="exact"/>
        <w:rPr>
          <w:sz w:val="24"/>
          <w:szCs w:val="24"/>
          <w:color w:val="auto"/>
        </w:rPr>
      </w:pPr>
    </w:p>
    <w:p>
      <w:pPr>
        <w:ind w:left="460" w:right="220" w:hanging="452"/>
        <w:spacing w:after="0" w:line="308"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right="26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w:t>
      </w:r>
      <w:r>
        <w:rPr>
          <w:rFonts w:ascii="Arial" w:cs="Arial" w:eastAsia="Arial" w:hAnsi="Arial"/>
          <w:sz w:val="18"/>
          <w:szCs w:val="18"/>
          <w:u w:val="single" w:color="auto"/>
          <w:color w:val="auto"/>
        </w:rPr>
        <w:t>Exchange 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Y4600W108</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400" w:type="dxa"/>
            <w:vAlign w:val="bottom"/>
            <w:tcBorders>
              <w:top w:val="single" w:sz="8" w:color="auto"/>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540" w:type="dxa"/>
            <w:vAlign w:val="bottom"/>
            <w:tcBorders>
              <w:top w:val="single" w:sz="8" w:color="auto"/>
              <w:right w:val="single" w:sz="8" w:color="auto"/>
            </w:tcBorders>
          </w:tcPr>
          <w:p>
            <w:pPr>
              <w:spacing w:after="0"/>
              <w:rPr>
                <w:sz w:val="21"/>
                <w:szCs w:val="21"/>
                <w:color w:val="auto"/>
              </w:rPr>
            </w:pPr>
          </w:p>
        </w:tc>
        <w:tc>
          <w:tcPr>
            <w:tcW w:w="10300" w:type="dxa"/>
            <w:vAlign w:val="bottom"/>
            <w:tcBorders>
              <w:top w:val="single" w:sz="8" w:color="auto"/>
              <w:right w:val="single" w:sz="8" w:color="auto"/>
            </w:tcBorders>
            <w:gridSpan w:val="4"/>
          </w:tcPr>
          <w:p>
            <w:pPr>
              <w:ind w:left="2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500" w:type="dxa"/>
            <w:vAlign w:val="bottom"/>
            <w:gridSpan w:val="2"/>
          </w:tcPr>
          <w:p>
            <w:pPr>
              <w:ind w:left="200"/>
              <w:spacing w:after="0"/>
              <w:rPr>
                <w:sz w:val="20"/>
                <w:szCs w:val="20"/>
                <w:color w:val="auto"/>
              </w:rPr>
            </w:pPr>
            <w:r>
              <w:rPr>
                <w:rFonts w:ascii="Arial" w:cs="Arial" w:eastAsia="Arial" w:hAnsi="Arial"/>
                <w:sz w:val="18"/>
                <w:szCs w:val="18"/>
                <w:color w:val="auto"/>
              </w:rPr>
              <w:t>Juan Marais</w:t>
            </w:r>
          </w:p>
        </w:tc>
        <w:tc>
          <w:tcPr>
            <w:tcW w:w="740" w:type="dxa"/>
            <w:vAlign w:val="bottom"/>
          </w:tcPr>
          <w:p>
            <w:pPr>
              <w:spacing w:after="0"/>
              <w:rPr>
                <w:sz w:val="20"/>
                <w:szCs w:val="20"/>
                <w:color w:val="auto"/>
              </w:rPr>
            </w:pPr>
          </w:p>
        </w:tc>
        <w:tc>
          <w:tcPr>
            <w:tcW w:w="8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0" w:type="dxa"/>
            <w:vAlign w:val="bottom"/>
            <w:tcBorders>
              <w:left w:val="single" w:sz="8" w:color="auto"/>
            </w:tcBorders>
          </w:tcPr>
          <w:p>
            <w:pPr>
              <w:ind w:left="120"/>
              <w:spacing w:after="0" w:line="189" w:lineRule="exact"/>
              <w:rPr>
                <w:sz w:val="20"/>
                <w:szCs w:val="20"/>
                <w:color w:val="auto"/>
              </w:rPr>
            </w:pPr>
            <w:r>
              <w:rPr>
                <w:rFonts w:ascii="Arial" w:cs="Arial" w:eastAsia="Arial" w:hAnsi="Arial"/>
                <w:sz w:val="18"/>
                <w:szCs w:val="18"/>
                <w:color w:val="auto"/>
              </w:rPr>
              <w:t>2</w:t>
            </w:r>
          </w:p>
        </w:tc>
        <w:tc>
          <w:tcPr>
            <w:tcW w:w="540" w:type="dxa"/>
            <w:vAlign w:val="bottom"/>
            <w:tcBorders>
              <w:right w:val="single" w:sz="8" w:color="auto"/>
            </w:tcBorders>
          </w:tcPr>
          <w:p>
            <w:pPr>
              <w:spacing w:after="0"/>
              <w:rPr>
                <w:sz w:val="16"/>
                <w:szCs w:val="16"/>
                <w:color w:val="auto"/>
              </w:rPr>
            </w:pPr>
          </w:p>
        </w:tc>
        <w:tc>
          <w:tcPr>
            <w:tcW w:w="10300" w:type="dxa"/>
            <w:vAlign w:val="bottom"/>
            <w:tcBorders>
              <w:right w:val="single" w:sz="8" w:color="auto"/>
            </w:tcBorders>
            <w:gridSpan w:val="4"/>
          </w:tcPr>
          <w:p>
            <w:pPr>
              <w:ind w:left="200"/>
              <w:spacing w:after="0" w:line="18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6"/>
        </w:trPr>
        <w:tc>
          <w:tcPr>
            <w:tcW w:w="40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gridSpan w:val="2"/>
          </w:tcPr>
          <w:p>
            <w:pPr>
              <w:ind w:left="2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740" w:type="dxa"/>
            <w:vAlign w:val="bottom"/>
            <w:tcBorders>
              <w:bottom w:val="single" w:sz="8" w:color="auto"/>
            </w:tcBorders>
          </w:tcPr>
          <w:p>
            <w:pPr>
              <w:spacing w:after="0"/>
              <w:rPr>
                <w:sz w:val="24"/>
                <w:szCs w:val="24"/>
                <w:color w:val="auto"/>
              </w:rPr>
            </w:pPr>
          </w:p>
        </w:tc>
        <w:tc>
          <w:tcPr>
            <w:tcW w:w="8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540" w:type="dxa"/>
            <w:vAlign w:val="bottom"/>
            <w:tcBorders>
              <w:right w:val="single" w:sz="8" w:color="auto"/>
            </w:tcBorders>
          </w:tcPr>
          <w:p>
            <w:pPr>
              <w:spacing w:after="0"/>
              <w:rPr>
                <w:sz w:val="20"/>
                <w:szCs w:val="20"/>
                <w:color w:val="auto"/>
              </w:rPr>
            </w:pPr>
          </w:p>
        </w:tc>
        <w:tc>
          <w:tcPr>
            <w:tcW w:w="1500" w:type="dxa"/>
            <w:vAlign w:val="bottom"/>
            <w:gridSpan w:val="2"/>
          </w:tcPr>
          <w:p>
            <w:pPr>
              <w:ind w:left="200"/>
              <w:spacing w:after="0"/>
              <w:rPr>
                <w:sz w:val="20"/>
                <w:szCs w:val="20"/>
                <w:color w:val="auto"/>
              </w:rPr>
            </w:pPr>
            <w:r>
              <w:rPr>
                <w:rFonts w:ascii="Arial" w:cs="Arial" w:eastAsia="Arial" w:hAnsi="Arial"/>
                <w:sz w:val="18"/>
                <w:szCs w:val="18"/>
                <w:color w:val="auto"/>
                <w:w w:val="96"/>
              </w:rPr>
              <w:t>SEC USE ONLY</w:t>
            </w:r>
          </w:p>
        </w:tc>
        <w:tc>
          <w:tcPr>
            <w:tcW w:w="740" w:type="dxa"/>
            <w:vAlign w:val="bottom"/>
          </w:tcPr>
          <w:p>
            <w:pPr>
              <w:spacing w:after="0"/>
              <w:rPr>
                <w:sz w:val="20"/>
                <w:szCs w:val="20"/>
                <w:color w:val="auto"/>
              </w:rPr>
            </w:pPr>
          </w:p>
        </w:tc>
        <w:tc>
          <w:tcPr>
            <w:tcW w:w="8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540" w:type="dxa"/>
            <w:vAlign w:val="bottom"/>
            <w:tcBorders>
              <w:right w:val="single" w:sz="8" w:color="auto"/>
            </w:tcBorders>
          </w:tcPr>
          <w:p>
            <w:pPr>
              <w:spacing w:after="0"/>
              <w:rPr>
                <w:sz w:val="19"/>
                <w:szCs w:val="19"/>
                <w:color w:val="auto"/>
              </w:rPr>
            </w:pPr>
          </w:p>
        </w:tc>
        <w:tc>
          <w:tcPr>
            <w:tcW w:w="10300" w:type="dxa"/>
            <w:vAlign w:val="bottom"/>
            <w:tcBorders>
              <w:right w:val="single" w:sz="8" w:color="auto"/>
            </w:tcBorders>
            <w:gridSpan w:val="4"/>
          </w:tcPr>
          <w:p>
            <w:pPr>
              <w:ind w:left="20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500" w:type="dxa"/>
            <w:vAlign w:val="bottom"/>
            <w:gridSpan w:val="2"/>
          </w:tcPr>
          <w:p>
            <w:pPr>
              <w:ind w:left="200"/>
              <w:spacing w:after="0"/>
              <w:rPr>
                <w:sz w:val="20"/>
                <w:szCs w:val="20"/>
                <w:color w:val="auto"/>
              </w:rPr>
            </w:pPr>
            <w:r>
              <w:rPr>
                <w:rFonts w:ascii="Arial" w:cs="Arial" w:eastAsia="Arial" w:hAnsi="Arial"/>
                <w:sz w:val="18"/>
                <w:szCs w:val="18"/>
                <w:color w:val="auto"/>
              </w:rPr>
              <w:t>OO</w:t>
            </w:r>
          </w:p>
        </w:tc>
        <w:tc>
          <w:tcPr>
            <w:tcW w:w="740" w:type="dxa"/>
            <w:vAlign w:val="bottom"/>
          </w:tcPr>
          <w:p>
            <w:pPr>
              <w:spacing w:after="0"/>
              <w:rPr>
                <w:sz w:val="20"/>
                <w:szCs w:val="20"/>
                <w:color w:val="auto"/>
              </w:rPr>
            </w:pPr>
          </w:p>
        </w:tc>
        <w:tc>
          <w:tcPr>
            <w:tcW w:w="8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0" w:type="dxa"/>
            <w:vAlign w:val="bottom"/>
            <w:tcBorders>
              <w:left w:val="single" w:sz="8" w:color="auto"/>
            </w:tcBorders>
          </w:tcPr>
          <w:p>
            <w:pPr>
              <w:ind w:left="120"/>
              <w:spacing w:after="0" w:line="189" w:lineRule="exact"/>
              <w:rPr>
                <w:sz w:val="20"/>
                <w:szCs w:val="20"/>
                <w:color w:val="auto"/>
              </w:rPr>
            </w:pPr>
            <w:r>
              <w:rPr>
                <w:rFonts w:ascii="Arial" w:cs="Arial" w:eastAsia="Arial" w:hAnsi="Arial"/>
                <w:sz w:val="18"/>
                <w:szCs w:val="18"/>
                <w:color w:val="auto"/>
              </w:rPr>
              <w:t>5</w:t>
            </w:r>
          </w:p>
        </w:tc>
        <w:tc>
          <w:tcPr>
            <w:tcW w:w="540" w:type="dxa"/>
            <w:vAlign w:val="bottom"/>
            <w:tcBorders>
              <w:right w:val="single" w:sz="8" w:color="auto"/>
            </w:tcBorders>
          </w:tcPr>
          <w:p>
            <w:pPr>
              <w:spacing w:after="0"/>
              <w:rPr>
                <w:sz w:val="16"/>
                <w:szCs w:val="16"/>
                <w:color w:val="auto"/>
              </w:rPr>
            </w:pPr>
          </w:p>
        </w:tc>
        <w:tc>
          <w:tcPr>
            <w:tcW w:w="10300" w:type="dxa"/>
            <w:vAlign w:val="bottom"/>
            <w:tcBorders>
              <w:right w:val="single" w:sz="8" w:color="auto"/>
            </w:tcBorders>
            <w:gridSpan w:val="4"/>
          </w:tcPr>
          <w:p>
            <w:pPr>
              <w:ind w:left="200"/>
              <w:spacing w:after="0" w:line="189" w:lineRule="exact"/>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86"/>
        </w:trPr>
        <w:tc>
          <w:tcPr>
            <w:tcW w:w="40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gridSpan w:val="2"/>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Borders>
              <w:bottom w:val="single" w:sz="8" w:color="auto"/>
            </w:tcBorders>
          </w:tcPr>
          <w:p>
            <w:pPr>
              <w:spacing w:after="0"/>
              <w:rPr>
                <w:sz w:val="24"/>
                <w:szCs w:val="24"/>
                <w:color w:val="auto"/>
              </w:rPr>
            </w:pPr>
          </w:p>
        </w:tc>
        <w:tc>
          <w:tcPr>
            <w:tcW w:w="8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6</w:t>
            </w:r>
          </w:p>
        </w:tc>
        <w:tc>
          <w:tcPr>
            <w:tcW w:w="540" w:type="dxa"/>
            <w:vAlign w:val="bottom"/>
            <w:tcBorders>
              <w:right w:val="single" w:sz="8" w:color="auto"/>
            </w:tcBorders>
          </w:tcPr>
          <w:p>
            <w:pPr>
              <w:spacing w:after="0"/>
              <w:rPr>
                <w:sz w:val="19"/>
                <w:szCs w:val="19"/>
                <w:color w:val="auto"/>
              </w:rPr>
            </w:pPr>
          </w:p>
        </w:tc>
        <w:tc>
          <w:tcPr>
            <w:tcW w:w="10300" w:type="dxa"/>
            <w:vAlign w:val="bottom"/>
            <w:tcBorders>
              <w:right w:val="single" w:sz="8" w:color="auto"/>
            </w:tcBorders>
            <w:gridSpan w:val="4"/>
          </w:tcPr>
          <w:p>
            <w:pPr>
              <w:ind w:left="2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500" w:type="dxa"/>
            <w:vAlign w:val="bottom"/>
            <w:gridSpan w:val="2"/>
          </w:tcPr>
          <w:p>
            <w:pPr>
              <w:ind w:left="200"/>
              <w:spacing w:after="0"/>
              <w:rPr>
                <w:sz w:val="20"/>
                <w:szCs w:val="20"/>
                <w:color w:val="auto"/>
              </w:rPr>
            </w:pPr>
            <w:r>
              <w:rPr>
                <w:rFonts w:ascii="Arial" w:cs="Arial" w:eastAsia="Arial" w:hAnsi="Arial"/>
                <w:sz w:val="18"/>
                <w:szCs w:val="18"/>
                <w:color w:val="auto"/>
              </w:rPr>
              <w:t>South Africa</w:t>
            </w:r>
          </w:p>
        </w:tc>
        <w:tc>
          <w:tcPr>
            <w:tcW w:w="740" w:type="dxa"/>
            <w:vAlign w:val="bottom"/>
          </w:tcPr>
          <w:p>
            <w:pPr>
              <w:spacing w:after="0"/>
              <w:rPr>
                <w:sz w:val="20"/>
                <w:szCs w:val="20"/>
                <w:color w:val="auto"/>
              </w:rPr>
            </w:pPr>
          </w:p>
        </w:tc>
        <w:tc>
          <w:tcPr>
            <w:tcW w:w="8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00" w:type="dxa"/>
            <w:vAlign w:val="bottom"/>
            <w:tcBorders>
              <w:left w:val="single" w:sz="8" w:color="auto"/>
            </w:tcBorders>
          </w:tcPr>
          <w:p>
            <w:pPr>
              <w:spacing w:after="0"/>
              <w:rPr>
                <w:sz w:val="19"/>
                <w:szCs w:val="19"/>
                <w:color w:val="auto"/>
              </w:rPr>
            </w:pPr>
          </w:p>
        </w:tc>
        <w:tc>
          <w:tcPr>
            <w:tcW w:w="1880" w:type="dxa"/>
            <w:vAlign w:val="bottom"/>
            <w:tcBorders>
              <w:right w:val="single" w:sz="8" w:color="auto"/>
            </w:tcBorders>
            <w:gridSpan w:val="2"/>
            <w:vMerge w:val="restart"/>
          </w:tcPr>
          <w:p>
            <w:pPr>
              <w:jc w:val="center"/>
              <w:ind w:right="310"/>
              <w:spacing w:after="0"/>
              <w:rPr>
                <w:sz w:val="20"/>
                <w:szCs w:val="20"/>
                <w:color w:val="auto"/>
              </w:rPr>
            </w:pPr>
            <w:r>
              <w:rPr>
                <w:rFonts w:ascii="Arial" w:cs="Arial" w:eastAsia="Arial" w:hAnsi="Arial"/>
                <w:sz w:val="18"/>
                <w:szCs w:val="18"/>
                <w:color w:val="auto"/>
                <w:w w:val="96"/>
              </w:rPr>
              <w:t>NUMBER OF</w:t>
            </w:r>
          </w:p>
        </w:tc>
        <w:tc>
          <w:tcPr>
            <w:tcW w:w="160" w:type="dxa"/>
            <w:vAlign w:val="bottom"/>
          </w:tcPr>
          <w:p>
            <w:pPr>
              <w:spacing w:after="0"/>
              <w:rPr>
                <w:sz w:val="19"/>
                <w:szCs w:val="19"/>
                <w:color w:val="auto"/>
              </w:rPr>
            </w:pPr>
          </w:p>
        </w:tc>
        <w:tc>
          <w:tcPr>
            <w:tcW w:w="7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7</w:t>
            </w:r>
          </w:p>
        </w:tc>
        <w:tc>
          <w:tcPr>
            <w:tcW w:w="80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35"/>
        </w:trPr>
        <w:tc>
          <w:tcPr>
            <w:tcW w:w="400" w:type="dxa"/>
            <w:vAlign w:val="bottom"/>
            <w:tcBorders>
              <w:left w:val="single" w:sz="8" w:color="auto"/>
            </w:tcBorders>
          </w:tcPr>
          <w:p>
            <w:pPr>
              <w:spacing w:after="0"/>
              <w:rPr>
                <w:sz w:val="11"/>
                <w:szCs w:val="11"/>
                <w:color w:val="auto"/>
              </w:rPr>
            </w:pPr>
          </w:p>
        </w:tc>
        <w:tc>
          <w:tcPr>
            <w:tcW w:w="1880" w:type="dxa"/>
            <w:vAlign w:val="bottom"/>
            <w:tcBorders>
              <w:right w:val="single" w:sz="8" w:color="auto"/>
            </w:tcBorders>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806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5"/>
        </w:trPr>
        <w:tc>
          <w:tcPr>
            <w:tcW w:w="400" w:type="dxa"/>
            <w:vAlign w:val="bottom"/>
            <w:tcBorders>
              <w:left w:val="single" w:sz="8" w:color="auto"/>
            </w:tcBorders>
          </w:tcPr>
          <w:p>
            <w:pPr>
              <w:spacing w:after="0"/>
              <w:rPr>
                <w:sz w:val="8"/>
                <w:szCs w:val="8"/>
                <w:color w:val="auto"/>
              </w:rPr>
            </w:pPr>
          </w:p>
        </w:tc>
        <w:tc>
          <w:tcPr>
            <w:tcW w:w="1880" w:type="dxa"/>
            <w:vAlign w:val="bottom"/>
            <w:tcBorders>
              <w:right w:val="single" w:sz="8" w:color="auto"/>
            </w:tcBorders>
            <w:gridSpan w:val="2"/>
            <w:vMerge w:val="restart"/>
          </w:tcPr>
          <w:p>
            <w:pPr>
              <w:jc w:val="center"/>
              <w:ind w:right="310"/>
              <w:spacing w:after="0"/>
              <w:rPr>
                <w:sz w:val="20"/>
                <w:szCs w:val="20"/>
                <w:color w:val="auto"/>
              </w:rPr>
            </w:pPr>
            <w:r>
              <w:rPr>
                <w:rFonts w:ascii="Arial" w:cs="Arial" w:eastAsia="Arial" w:hAnsi="Arial"/>
                <w:sz w:val="18"/>
                <w:szCs w:val="18"/>
                <w:color w:val="auto"/>
                <w:w w:val="91"/>
              </w:rPr>
              <w:t>SHARES</w:t>
            </w:r>
          </w:p>
        </w:tc>
        <w:tc>
          <w:tcPr>
            <w:tcW w:w="160" w:type="dxa"/>
            <w:vAlign w:val="bottom"/>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80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400" w:type="dxa"/>
            <w:vAlign w:val="bottom"/>
            <w:tcBorders>
              <w:left w:val="single" w:sz="8" w:color="auto"/>
            </w:tcBorders>
          </w:tcPr>
          <w:p>
            <w:pPr>
              <w:spacing w:after="0"/>
              <w:rPr>
                <w:sz w:val="2"/>
                <w:szCs w:val="2"/>
                <w:color w:val="auto"/>
              </w:rPr>
            </w:pPr>
          </w:p>
        </w:tc>
        <w:tc>
          <w:tcPr>
            <w:tcW w:w="1880" w:type="dxa"/>
            <w:vAlign w:val="bottom"/>
            <w:tcBorders>
              <w:right w:val="single" w:sz="8" w:color="auto"/>
            </w:tcBorders>
            <w:gridSpan w:val="2"/>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8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400" w:type="dxa"/>
            <w:vAlign w:val="bottom"/>
            <w:tcBorders>
              <w:left w:val="single" w:sz="8" w:color="auto"/>
            </w:tcBorders>
          </w:tcPr>
          <w:p>
            <w:pPr>
              <w:spacing w:after="0"/>
              <w:rPr>
                <w:sz w:val="6"/>
                <w:szCs w:val="6"/>
                <w:color w:val="auto"/>
              </w:rPr>
            </w:pPr>
          </w:p>
        </w:tc>
        <w:tc>
          <w:tcPr>
            <w:tcW w:w="1880" w:type="dxa"/>
            <w:vAlign w:val="bottom"/>
            <w:tcBorders>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8</w:t>
            </w:r>
          </w:p>
        </w:tc>
        <w:tc>
          <w:tcPr>
            <w:tcW w:w="806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52"/>
        </w:trPr>
        <w:tc>
          <w:tcPr>
            <w:tcW w:w="400" w:type="dxa"/>
            <w:vAlign w:val="bottom"/>
            <w:tcBorders>
              <w:left w:val="single" w:sz="8" w:color="auto"/>
            </w:tcBorders>
          </w:tcPr>
          <w:p>
            <w:pPr>
              <w:spacing w:after="0"/>
              <w:rPr>
                <w:sz w:val="13"/>
                <w:szCs w:val="13"/>
                <w:color w:val="auto"/>
              </w:rPr>
            </w:pPr>
          </w:p>
        </w:tc>
        <w:tc>
          <w:tcPr>
            <w:tcW w:w="1880" w:type="dxa"/>
            <w:vAlign w:val="bottom"/>
            <w:tcBorders>
              <w:right w:val="single" w:sz="8" w:color="auto"/>
            </w:tcBorders>
            <w:gridSpan w:val="2"/>
            <w:vMerge w:val="restart"/>
          </w:tcPr>
          <w:p>
            <w:pPr>
              <w:jc w:val="center"/>
              <w:ind w:right="310"/>
              <w:spacing w:after="0"/>
              <w:rPr>
                <w:sz w:val="20"/>
                <w:szCs w:val="20"/>
                <w:color w:val="auto"/>
              </w:rPr>
            </w:pPr>
            <w:r>
              <w:rPr>
                <w:rFonts w:ascii="Arial" w:cs="Arial" w:eastAsia="Arial" w:hAnsi="Arial"/>
                <w:sz w:val="18"/>
                <w:szCs w:val="18"/>
                <w:color w:val="auto"/>
              </w:rPr>
              <w:t>BENEFICIALLY</w:t>
            </w:r>
          </w:p>
        </w:tc>
        <w:tc>
          <w:tcPr>
            <w:tcW w:w="160" w:type="dxa"/>
            <w:vAlign w:val="bottom"/>
          </w:tcPr>
          <w:p>
            <w:pPr>
              <w:spacing w:after="0"/>
              <w:rPr>
                <w:sz w:val="13"/>
                <w:szCs w:val="13"/>
                <w:color w:val="auto"/>
              </w:rPr>
            </w:pPr>
          </w:p>
        </w:tc>
        <w:tc>
          <w:tcPr>
            <w:tcW w:w="740" w:type="dxa"/>
            <w:vAlign w:val="bottom"/>
            <w:tcBorders>
              <w:right w:val="single" w:sz="8" w:color="auto"/>
            </w:tcBorders>
            <w:vMerge w:val="continue"/>
          </w:tcPr>
          <w:p>
            <w:pPr>
              <w:spacing w:after="0"/>
              <w:rPr>
                <w:sz w:val="13"/>
                <w:szCs w:val="13"/>
                <w:color w:val="auto"/>
              </w:rPr>
            </w:pPr>
          </w:p>
        </w:tc>
        <w:tc>
          <w:tcPr>
            <w:tcW w:w="80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400" w:type="dxa"/>
            <w:vAlign w:val="bottom"/>
            <w:tcBorders>
              <w:left w:val="single" w:sz="8" w:color="auto"/>
            </w:tcBorders>
          </w:tcPr>
          <w:p>
            <w:pPr>
              <w:spacing w:after="0"/>
              <w:rPr>
                <w:sz w:val="5"/>
                <w:szCs w:val="5"/>
                <w:color w:val="auto"/>
              </w:rPr>
            </w:pPr>
          </w:p>
        </w:tc>
        <w:tc>
          <w:tcPr>
            <w:tcW w:w="1880" w:type="dxa"/>
            <w:vAlign w:val="bottom"/>
            <w:tcBorders>
              <w:right w:val="single" w:sz="8" w:color="auto"/>
            </w:tcBorders>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Borders>
              <w:right w:val="single" w:sz="8" w:color="auto"/>
            </w:tcBorders>
          </w:tcPr>
          <w:p>
            <w:pPr>
              <w:spacing w:after="0"/>
              <w:rPr>
                <w:sz w:val="5"/>
                <w:szCs w:val="5"/>
                <w:color w:val="auto"/>
              </w:rPr>
            </w:pPr>
          </w:p>
        </w:tc>
        <w:tc>
          <w:tcPr>
            <w:tcW w:w="8060" w:type="dxa"/>
            <w:vAlign w:val="bottom"/>
            <w:tcBorders>
              <w:right w:val="single" w:sz="8" w:color="auto"/>
            </w:tcBorders>
            <w:vMerge w:val="restart"/>
          </w:tcPr>
          <w:p>
            <w:pPr>
              <w:ind w:left="200"/>
              <w:spacing w:after="0" w:line="294" w:lineRule="exact"/>
              <w:rPr>
                <w:sz w:val="20"/>
                <w:szCs w:val="20"/>
                <w:color w:val="auto"/>
              </w:rPr>
            </w:pPr>
            <w:r>
              <w:rPr>
                <w:rFonts w:ascii="Arial" w:cs="Arial" w:eastAsia="Arial" w:hAnsi="Arial"/>
                <w:sz w:val="18"/>
                <w:szCs w:val="18"/>
                <w:color w:val="auto"/>
              </w:rPr>
              <w:t>3,100,000</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188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97"/>
              </w:rPr>
              <w:t>OWNED BY</w:t>
            </w: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80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00" w:type="dxa"/>
            <w:vAlign w:val="bottom"/>
            <w:tcBorders>
              <w:left w:val="single" w:sz="8" w:color="auto"/>
            </w:tcBorders>
          </w:tcPr>
          <w:p>
            <w:pPr>
              <w:spacing w:after="0"/>
              <w:rPr>
                <w:sz w:val="15"/>
                <w:szCs w:val="15"/>
                <w:color w:val="auto"/>
              </w:rPr>
            </w:pPr>
          </w:p>
        </w:tc>
        <w:tc>
          <w:tcPr>
            <w:tcW w:w="1880" w:type="dxa"/>
            <w:vAlign w:val="bottom"/>
            <w:tcBorders>
              <w:right w:val="single" w:sz="8" w:color="auto"/>
            </w:tcBorders>
            <w:gridSpan w:val="2"/>
          </w:tcPr>
          <w:p>
            <w:pPr>
              <w:jc w:val="center"/>
              <w:ind w:right="310"/>
              <w:spacing w:after="0" w:line="182" w:lineRule="exact"/>
              <w:rPr>
                <w:sz w:val="20"/>
                <w:szCs w:val="20"/>
                <w:color w:val="auto"/>
              </w:rPr>
            </w:pPr>
            <w:r>
              <w:rPr>
                <w:rFonts w:ascii="Arial" w:cs="Arial" w:eastAsia="Arial" w:hAnsi="Arial"/>
                <w:sz w:val="18"/>
                <w:szCs w:val="18"/>
                <w:color w:val="auto"/>
                <w:w w:val="95"/>
              </w:rPr>
              <w:t>EACH</w:t>
            </w:r>
          </w:p>
        </w:tc>
        <w:tc>
          <w:tcPr>
            <w:tcW w:w="160" w:type="dxa"/>
            <w:vAlign w:val="bottom"/>
          </w:tcPr>
          <w:p>
            <w:pPr>
              <w:spacing w:after="0"/>
              <w:rPr>
                <w:sz w:val="15"/>
                <w:szCs w:val="15"/>
                <w:color w:val="auto"/>
              </w:rPr>
            </w:pPr>
          </w:p>
        </w:tc>
        <w:tc>
          <w:tcPr>
            <w:tcW w:w="74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8"/>
                <w:szCs w:val="18"/>
                <w:color w:val="auto"/>
              </w:rPr>
              <w:t>9</w:t>
            </w:r>
          </w:p>
        </w:tc>
        <w:tc>
          <w:tcPr>
            <w:tcW w:w="8060" w:type="dxa"/>
            <w:vAlign w:val="bottom"/>
            <w:tcBorders>
              <w:right w:val="single" w:sz="8" w:color="auto"/>
            </w:tcBorders>
          </w:tcPr>
          <w:p>
            <w:pPr>
              <w:ind w:left="2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188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93"/>
              </w:rPr>
              <w:t>REPORTING</w:t>
            </w:r>
          </w:p>
        </w:tc>
        <w:tc>
          <w:tcPr>
            <w:tcW w:w="16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0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1"/>
        </w:trPr>
        <w:tc>
          <w:tcPr>
            <w:tcW w:w="400" w:type="dxa"/>
            <w:vAlign w:val="bottom"/>
            <w:tcBorders>
              <w:left w:val="single" w:sz="8" w:color="auto"/>
            </w:tcBorders>
          </w:tcPr>
          <w:p>
            <w:pPr>
              <w:spacing w:after="0"/>
              <w:rPr>
                <w:sz w:val="7"/>
                <w:szCs w:val="7"/>
                <w:color w:val="auto"/>
              </w:rPr>
            </w:pPr>
          </w:p>
        </w:tc>
        <w:tc>
          <w:tcPr>
            <w:tcW w:w="1880" w:type="dxa"/>
            <w:vAlign w:val="bottom"/>
            <w:tcBorders>
              <w:right w:val="single" w:sz="8" w:color="auto"/>
            </w:tcBorders>
            <w:gridSpan w:val="2"/>
            <w:vMerge w:val="restart"/>
          </w:tcPr>
          <w:p>
            <w:pPr>
              <w:jc w:val="center"/>
              <w:ind w:right="310"/>
              <w:spacing w:after="0"/>
              <w:rPr>
                <w:sz w:val="20"/>
                <w:szCs w:val="20"/>
                <w:color w:val="auto"/>
              </w:rPr>
            </w:pPr>
            <w:r>
              <w:rPr>
                <w:rFonts w:ascii="Arial" w:cs="Arial" w:eastAsia="Arial" w:hAnsi="Arial"/>
                <w:sz w:val="18"/>
                <w:szCs w:val="18"/>
                <w:color w:val="auto"/>
                <w:w w:val="89"/>
              </w:rPr>
              <w:t>PERSON</w:t>
            </w:r>
          </w:p>
        </w:tc>
        <w:tc>
          <w:tcPr>
            <w:tcW w:w="160" w:type="dxa"/>
            <w:vAlign w:val="bottom"/>
            <w:tcBorders>
              <w:bottom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80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400" w:type="dxa"/>
            <w:vAlign w:val="bottom"/>
            <w:tcBorders>
              <w:left w:val="single" w:sz="8" w:color="auto"/>
            </w:tcBorders>
          </w:tcPr>
          <w:p>
            <w:pPr>
              <w:spacing w:after="0"/>
              <w:rPr>
                <w:sz w:val="9"/>
                <w:szCs w:val="9"/>
                <w:color w:val="auto"/>
              </w:rPr>
            </w:pPr>
          </w:p>
        </w:tc>
        <w:tc>
          <w:tcPr>
            <w:tcW w:w="1880" w:type="dxa"/>
            <w:vAlign w:val="bottom"/>
            <w:tcBorders>
              <w:right w:val="single" w:sz="8" w:color="auto"/>
            </w:tcBorders>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10</w:t>
            </w:r>
          </w:p>
        </w:tc>
        <w:tc>
          <w:tcPr>
            <w:tcW w:w="806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12"/>
        </w:trPr>
        <w:tc>
          <w:tcPr>
            <w:tcW w:w="400" w:type="dxa"/>
            <w:vAlign w:val="bottom"/>
            <w:tcBorders>
              <w:left w:val="single" w:sz="8" w:color="auto"/>
            </w:tcBorders>
          </w:tcPr>
          <w:p>
            <w:pPr>
              <w:spacing w:after="0"/>
              <w:rPr>
                <w:sz w:val="9"/>
                <w:szCs w:val="9"/>
                <w:color w:val="auto"/>
              </w:rPr>
            </w:pPr>
          </w:p>
        </w:tc>
        <w:tc>
          <w:tcPr>
            <w:tcW w:w="1880" w:type="dxa"/>
            <w:vAlign w:val="bottom"/>
            <w:tcBorders>
              <w:right w:val="single" w:sz="8" w:color="auto"/>
            </w:tcBorders>
            <w:gridSpan w:val="2"/>
            <w:vMerge w:val="restart"/>
          </w:tcPr>
          <w:p>
            <w:pPr>
              <w:jc w:val="center"/>
              <w:ind w:right="310"/>
              <w:spacing w:after="0"/>
              <w:rPr>
                <w:sz w:val="20"/>
                <w:szCs w:val="20"/>
                <w:color w:val="auto"/>
              </w:rPr>
            </w:pPr>
            <w:r>
              <w:rPr>
                <w:rFonts w:ascii="Arial" w:cs="Arial" w:eastAsia="Arial" w:hAnsi="Arial"/>
                <w:sz w:val="18"/>
                <w:szCs w:val="18"/>
                <w:color w:val="auto"/>
              </w:rPr>
              <w:t>WITH</w:t>
            </w:r>
          </w:p>
        </w:tc>
        <w:tc>
          <w:tcPr>
            <w:tcW w:w="160" w:type="dxa"/>
            <w:vAlign w:val="bottom"/>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80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400" w:type="dxa"/>
            <w:vAlign w:val="bottom"/>
            <w:tcBorders>
              <w:left w:val="single" w:sz="8" w:color="auto"/>
            </w:tcBorders>
          </w:tcPr>
          <w:p>
            <w:pPr>
              <w:spacing w:after="0"/>
              <w:rPr>
                <w:sz w:val="10"/>
                <w:szCs w:val="10"/>
                <w:color w:val="auto"/>
              </w:rPr>
            </w:pPr>
          </w:p>
        </w:tc>
        <w:tc>
          <w:tcPr>
            <w:tcW w:w="1880" w:type="dxa"/>
            <w:vAlign w:val="bottom"/>
            <w:tcBorders>
              <w:right w:val="single" w:sz="8" w:color="auto"/>
            </w:tcBorders>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8060" w:type="dxa"/>
            <w:vAlign w:val="bottom"/>
            <w:tcBorders>
              <w:right w:val="single" w:sz="8" w:color="auto"/>
            </w:tcBorders>
            <w:vMerge w:val="restart"/>
          </w:tcPr>
          <w:p>
            <w:pPr>
              <w:ind w:left="200"/>
              <w:spacing w:after="0" w:line="294" w:lineRule="exact"/>
              <w:rPr>
                <w:sz w:val="20"/>
                <w:szCs w:val="20"/>
                <w:color w:val="auto"/>
              </w:rPr>
            </w:pPr>
            <w:r>
              <w:rPr>
                <w:rFonts w:ascii="Arial" w:cs="Arial" w:eastAsia="Arial" w:hAnsi="Arial"/>
                <w:sz w:val="18"/>
                <w:szCs w:val="18"/>
                <w:color w:val="auto"/>
              </w:rPr>
              <w:t>3,100,000</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175"/>
        </w:trPr>
        <w:tc>
          <w:tcPr>
            <w:tcW w:w="400" w:type="dxa"/>
            <w:vAlign w:val="bottom"/>
            <w:tcBorders>
              <w:left w:val="single" w:sz="8" w:color="auto"/>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4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06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540" w:type="dxa"/>
            <w:vAlign w:val="bottom"/>
            <w:tcBorders>
              <w:right w:val="single" w:sz="8" w:color="auto"/>
            </w:tcBorders>
          </w:tcPr>
          <w:p>
            <w:pPr>
              <w:spacing w:after="0"/>
              <w:rPr>
                <w:sz w:val="19"/>
                <w:szCs w:val="19"/>
                <w:color w:val="auto"/>
              </w:rPr>
            </w:pPr>
          </w:p>
        </w:tc>
        <w:tc>
          <w:tcPr>
            <w:tcW w:w="10300" w:type="dxa"/>
            <w:vAlign w:val="bottom"/>
            <w:tcBorders>
              <w:right w:val="single" w:sz="8" w:color="auto"/>
            </w:tcBorders>
            <w:gridSpan w:val="4"/>
          </w:tcPr>
          <w:p>
            <w:pPr>
              <w:ind w:left="2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340" w:type="dxa"/>
            <w:vAlign w:val="bottom"/>
          </w:tcPr>
          <w:p>
            <w:pPr>
              <w:ind w:left="200"/>
              <w:spacing w:after="0"/>
              <w:rPr>
                <w:sz w:val="20"/>
                <w:szCs w:val="20"/>
                <w:color w:val="auto"/>
              </w:rPr>
            </w:pPr>
            <w:r>
              <w:rPr>
                <w:rFonts w:ascii="Arial" w:cs="Arial" w:eastAsia="Arial" w:hAnsi="Arial"/>
                <w:sz w:val="18"/>
                <w:szCs w:val="18"/>
                <w:color w:val="auto"/>
              </w:rPr>
              <w:t>3,100,000</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030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0" w:type="dxa"/>
            <w:vAlign w:val="bottom"/>
            <w:tcBorders>
              <w:left w:val="single" w:sz="8" w:color="auto"/>
            </w:tcBorders>
          </w:tcPr>
          <w:p>
            <w:pPr>
              <w:ind w:left="120"/>
              <w:spacing w:after="0" w:line="189" w:lineRule="exact"/>
              <w:rPr>
                <w:sz w:val="20"/>
                <w:szCs w:val="20"/>
                <w:color w:val="auto"/>
              </w:rPr>
            </w:pPr>
            <w:r>
              <w:rPr>
                <w:rFonts w:ascii="Arial" w:cs="Arial" w:eastAsia="Arial" w:hAnsi="Arial"/>
                <w:sz w:val="18"/>
                <w:szCs w:val="18"/>
                <w:color w:val="auto"/>
              </w:rPr>
              <w:t>12</w:t>
            </w:r>
          </w:p>
        </w:tc>
        <w:tc>
          <w:tcPr>
            <w:tcW w:w="540" w:type="dxa"/>
            <w:vAlign w:val="bottom"/>
            <w:tcBorders>
              <w:right w:val="single" w:sz="8" w:color="auto"/>
            </w:tcBorders>
          </w:tcPr>
          <w:p>
            <w:pPr>
              <w:spacing w:after="0"/>
              <w:rPr>
                <w:sz w:val="16"/>
                <w:szCs w:val="16"/>
                <w:color w:val="auto"/>
              </w:rPr>
            </w:pPr>
          </w:p>
        </w:tc>
        <w:tc>
          <w:tcPr>
            <w:tcW w:w="10300" w:type="dxa"/>
            <w:vAlign w:val="bottom"/>
            <w:tcBorders>
              <w:right w:val="single" w:sz="8" w:color="auto"/>
            </w:tcBorders>
            <w:gridSpan w:val="4"/>
          </w:tcPr>
          <w:p>
            <w:pPr>
              <w:ind w:left="200"/>
              <w:spacing w:after="0" w:line="189" w:lineRule="exact"/>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86"/>
        </w:trPr>
        <w:tc>
          <w:tcPr>
            <w:tcW w:w="40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gridSpan w:val="2"/>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Borders>
              <w:bottom w:val="single" w:sz="8" w:color="auto"/>
            </w:tcBorders>
          </w:tcPr>
          <w:p>
            <w:pPr>
              <w:spacing w:after="0"/>
              <w:rPr>
                <w:sz w:val="24"/>
                <w:szCs w:val="24"/>
                <w:color w:val="auto"/>
              </w:rPr>
            </w:pPr>
          </w:p>
        </w:tc>
        <w:tc>
          <w:tcPr>
            <w:tcW w:w="8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13</w:t>
            </w:r>
          </w:p>
        </w:tc>
        <w:tc>
          <w:tcPr>
            <w:tcW w:w="540" w:type="dxa"/>
            <w:vAlign w:val="bottom"/>
            <w:tcBorders>
              <w:right w:val="single" w:sz="8" w:color="auto"/>
            </w:tcBorders>
          </w:tcPr>
          <w:p>
            <w:pPr>
              <w:spacing w:after="0"/>
              <w:rPr>
                <w:sz w:val="19"/>
                <w:szCs w:val="19"/>
                <w:color w:val="auto"/>
              </w:rPr>
            </w:pPr>
          </w:p>
        </w:tc>
        <w:tc>
          <w:tcPr>
            <w:tcW w:w="10300" w:type="dxa"/>
            <w:vAlign w:val="bottom"/>
            <w:tcBorders>
              <w:right w:val="single" w:sz="8" w:color="auto"/>
            </w:tcBorders>
            <w:gridSpan w:val="4"/>
          </w:tcPr>
          <w:p>
            <w:pPr>
              <w:ind w:left="2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340" w:type="dxa"/>
            <w:vAlign w:val="bottom"/>
          </w:tcPr>
          <w:p>
            <w:pPr>
              <w:ind w:left="20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030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14</w:t>
            </w:r>
          </w:p>
        </w:tc>
        <w:tc>
          <w:tcPr>
            <w:tcW w:w="540" w:type="dxa"/>
            <w:vAlign w:val="bottom"/>
            <w:tcBorders>
              <w:right w:val="single" w:sz="8" w:color="auto"/>
            </w:tcBorders>
          </w:tcPr>
          <w:p>
            <w:pPr>
              <w:spacing w:after="0"/>
              <w:rPr>
                <w:sz w:val="19"/>
                <w:szCs w:val="19"/>
                <w:color w:val="auto"/>
              </w:rPr>
            </w:pPr>
          </w:p>
        </w:tc>
        <w:tc>
          <w:tcPr>
            <w:tcW w:w="10300" w:type="dxa"/>
            <w:vAlign w:val="bottom"/>
            <w:tcBorders>
              <w:right w:val="single" w:sz="8" w:color="auto"/>
            </w:tcBorders>
            <w:gridSpan w:val="4"/>
          </w:tcPr>
          <w:p>
            <w:pPr>
              <w:ind w:left="2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500" w:type="dxa"/>
            <w:vAlign w:val="bottom"/>
            <w:gridSpan w:val="2"/>
          </w:tcPr>
          <w:p>
            <w:pPr>
              <w:ind w:left="200"/>
              <w:spacing w:after="0"/>
              <w:rPr>
                <w:sz w:val="20"/>
                <w:szCs w:val="20"/>
                <w:color w:val="auto"/>
              </w:rPr>
            </w:pPr>
            <w:r>
              <w:rPr>
                <w:rFonts w:ascii="Arial" w:cs="Arial" w:eastAsia="Arial" w:hAnsi="Arial"/>
                <w:sz w:val="18"/>
                <w:szCs w:val="18"/>
                <w:color w:val="auto"/>
              </w:rPr>
              <w:t>IN</w:t>
            </w:r>
          </w:p>
        </w:tc>
        <w:tc>
          <w:tcPr>
            <w:tcW w:w="740" w:type="dxa"/>
            <w:vAlign w:val="bottom"/>
          </w:tcPr>
          <w:p>
            <w:pPr>
              <w:spacing w:after="0"/>
              <w:rPr>
                <w:sz w:val="20"/>
                <w:szCs w:val="20"/>
                <w:color w:val="auto"/>
              </w:rPr>
            </w:pPr>
          </w:p>
        </w:tc>
        <w:tc>
          <w:tcPr>
            <w:tcW w:w="8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8"/>
        <w:spacing w:after="0" w:line="311" w:lineRule="auto"/>
        <w:tabs>
          <w:tab w:leader="none" w:pos="255" w:val="left"/>
        </w:tabs>
        <w:numPr>
          <w:ilvl w:val="0"/>
          <w:numId w:val="2"/>
        </w:numPr>
        <w:rPr>
          <w:rFonts w:ascii="Arial" w:cs="Arial" w:eastAsia="Arial" w:hAnsi="Arial"/>
          <w:sz w:val="16"/>
          <w:szCs w:val="16"/>
          <w:color w:val="auto"/>
        </w:rPr>
      </w:pPr>
      <w:r>
        <w:rPr>
          <w:rFonts w:ascii="Arial" w:cs="Arial" w:eastAsia="Arial" w:hAnsi="Arial"/>
          <w:sz w:val="16"/>
          <w:szCs w:val="16"/>
          <w:color w:val="auto"/>
        </w:rPr>
        <w:t>Mr. Marais is the director of One Spire (Pty) Ltd. (“</w:t>
      </w:r>
      <w:r>
        <w:rPr>
          <w:rFonts w:ascii="Arial" w:cs="Arial" w:eastAsia="Arial" w:hAnsi="Arial"/>
          <w:sz w:val="16"/>
          <w:szCs w:val="16"/>
          <w:u w:val="single" w:color="auto"/>
          <w:color w:val="auto"/>
        </w:rPr>
        <w:t>One Spire</w:t>
      </w:r>
      <w:r>
        <w:rPr>
          <w:rFonts w:ascii="Arial" w:cs="Arial" w:eastAsia="Arial" w:hAnsi="Arial"/>
          <w:sz w:val="16"/>
          <w:szCs w:val="16"/>
          <w:color w:val="auto"/>
        </w:rPr>
        <w:t>”), and shares voting and dispositive power over the 3,100,000 ordinary shares, no par value per share (the “</w:t>
      </w:r>
      <w:r>
        <w:rPr>
          <w:rFonts w:ascii="Arial" w:cs="Arial" w:eastAsia="Arial" w:hAnsi="Arial"/>
          <w:sz w:val="16"/>
          <w:szCs w:val="16"/>
          <w:u w:val="single" w:color="auto"/>
          <w:color w:val="auto"/>
        </w:rPr>
        <w:t>Ordinary Shares</w:t>
      </w:r>
      <w:r>
        <w:rPr>
          <w:rFonts w:ascii="Arial" w:cs="Arial" w:eastAsia="Arial" w:hAnsi="Arial"/>
          <w:sz w:val="16"/>
          <w:szCs w:val="16"/>
          <w:color w:val="auto"/>
        </w:rPr>
        <w:t>”) of Karooooo Ltd., a Singapore public limited company (the “</w:t>
      </w:r>
      <w:r>
        <w:rPr>
          <w:rFonts w:ascii="Arial" w:cs="Arial" w:eastAsia="Arial" w:hAnsi="Arial"/>
          <w:sz w:val="16"/>
          <w:szCs w:val="16"/>
          <w:u w:val="single" w:color="auto"/>
          <w:color w:val="auto"/>
        </w:rPr>
        <w:t>Issuer</w:t>
      </w:r>
      <w:r>
        <w:rPr>
          <w:rFonts w:ascii="Arial" w:cs="Arial" w:eastAsia="Arial" w:hAnsi="Arial"/>
          <w:sz w:val="16"/>
          <w:szCs w:val="16"/>
          <w:color w:val="auto"/>
        </w:rPr>
        <w:t>”), held by One Spire. See also Item 6—Voting Agreements for a description of the voting and dispositive rights exercisable by Mr. Calisto in respect of the 3,100,000 Ordinary Shares held by One Spire.</w:t>
      </w:r>
    </w:p>
    <w:p>
      <w:pPr>
        <w:sectPr>
          <w:pgSz w:w="11900" w:h="16838" w:orient="portrait"/>
          <w:cols w:equalWidth="0" w:num="1">
            <w:col w:w="11240"/>
          </w:cols>
          <w:pgMar w:left="320" w:top="54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Y4600W108</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400" w:type="dxa"/>
            <w:vAlign w:val="bottom"/>
            <w:tcBorders>
              <w:top w:val="single" w:sz="8" w:color="auto"/>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540" w:type="dxa"/>
            <w:vAlign w:val="bottom"/>
            <w:tcBorders>
              <w:top w:val="single" w:sz="8" w:color="auto"/>
              <w:right w:val="single" w:sz="8" w:color="auto"/>
            </w:tcBorders>
          </w:tcPr>
          <w:p>
            <w:pPr>
              <w:spacing w:after="0"/>
              <w:rPr>
                <w:sz w:val="21"/>
                <w:szCs w:val="21"/>
                <w:color w:val="auto"/>
              </w:rPr>
            </w:pPr>
          </w:p>
        </w:tc>
        <w:tc>
          <w:tcPr>
            <w:tcW w:w="10300" w:type="dxa"/>
            <w:vAlign w:val="bottom"/>
            <w:tcBorders>
              <w:top w:val="single" w:sz="8" w:color="auto"/>
              <w:right w:val="single" w:sz="8" w:color="auto"/>
            </w:tcBorders>
            <w:gridSpan w:val="4"/>
          </w:tcPr>
          <w:p>
            <w:pPr>
              <w:ind w:left="2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2240" w:type="dxa"/>
            <w:vAlign w:val="bottom"/>
            <w:gridSpan w:val="3"/>
          </w:tcPr>
          <w:p>
            <w:pPr>
              <w:ind w:left="200"/>
              <w:spacing w:after="0"/>
              <w:rPr>
                <w:sz w:val="20"/>
                <w:szCs w:val="20"/>
                <w:color w:val="auto"/>
              </w:rPr>
            </w:pPr>
            <w:r>
              <w:rPr>
                <w:rFonts w:ascii="Arial" w:cs="Arial" w:eastAsia="Arial" w:hAnsi="Arial"/>
                <w:sz w:val="18"/>
                <w:szCs w:val="18"/>
                <w:color w:val="auto"/>
              </w:rPr>
              <w:t>One Spire (Pty) Ltd.</w:t>
            </w:r>
          </w:p>
        </w:tc>
        <w:tc>
          <w:tcPr>
            <w:tcW w:w="8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0" w:type="dxa"/>
            <w:vAlign w:val="bottom"/>
            <w:tcBorders>
              <w:left w:val="single" w:sz="8" w:color="auto"/>
            </w:tcBorders>
          </w:tcPr>
          <w:p>
            <w:pPr>
              <w:ind w:left="120"/>
              <w:spacing w:after="0" w:line="189" w:lineRule="exact"/>
              <w:rPr>
                <w:sz w:val="20"/>
                <w:szCs w:val="20"/>
                <w:color w:val="auto"/>
              </w:rPr>
            </w:pPr>
            <w:r>
              <w:rPr>
                <w:rFonts w:ascii="Arial" w:cs="Arial" w:eastAsia="Arial" w:hAnsi="Arial"/>
                <w:sz w:val="18"/>
                <w:szCs w:val="18"/>
                <w:color w:val="auto"/>
              </w:rPr>
              <w:t>2</w:t>
            </w:r>
          </w:p>
        </w:tc>
        <w:tc>
          <w:tcPr>
            <w:tcW w:w="540" w:type="dxa"/>
            <w:vAlign w:val="bottom"/>
            <w:tcBorders>
              <w:right w:val="single" w:sz="8" w:color="auto"/>
            </w:tcBorders>
          </w:tcPr>
          <w:p>
            <w:pPr>
              <w:spacing w:after="0"/>
              <w:rPr>
                <w:sz w:val="16"/>
                <w:szCs w:val="16"/>
                <w:color w:val="auto"/>
              </w:rPr>
            </w:pPr>
          </w:p>
        </w:tc>
        <w:tc>
          <w:tcPr>
            <w:tcW w:w="10300" w:type="dxa"/>
            <w:vAlign w:val="bottom"/>
            <w:tcBorders>
              <w:right w:val="single" w:sz="8" w:color="auto"/>
            </w:tcBorders>
            <w:gridSpan w:val="4"/>
          </w:tcPr>
          <w:p>
            <w:pPr>
              <w:ind w:left="200"/>
              <w:spacing w:after="0" w:line="18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6"/>
        </w:trPr>
        <w:tc>
          <w:tcPr>
            <w:tcW w:w="40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gridSpan w:val="2"/>
          </w:tcPr>
          <w:p>
            <w:pPr>
              <w:ind w:left="2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740" w:type="dxa"/>
            <w:vAlign w:val="bottom"/>
            <w:tcBorders>
              <w:bottom w:val="single" w:sz="8" w:color="auto"/>
            </w:tcBorders>
          </w:tcPr>
          <w:p>
            <w:pPr>
              <w:spacing w:after="0"/>
              <w:rPr>
                <w:sz w:val="24"/>
                <w:szCs w:val="24"/>
                <w:color w:val="auto"/>
              </w:rPr>
            </w:pPr>
          </w:p>
        </w:tc>
        <w:tc>
          <w:tcPr>
            <w:tcW w:w="8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540" w:type="dxa"/>
            <w:vAlign w:val="bottom"/>
            <w:tcBorders>
              <w:right w:val="single" w:sz="8" w:color="auto"/>
            </w:tcBorders>
          </w:tcPr>
          <w:p>
            <w:pPr>
              <w:spacing w:after="0"/>
              <w:rPr>
                <w:sz w:val="20"/>
                <w:szCs w:val="20"/>
                <w:color w:val="auto"/>
              </w:rPr>
            </w:pPr>
          </w:p>
        </w:tc>
        <w:tc>
          <w:tcPr>
            <w:tcW w:w="1500" w:type="dxa"/>
            <w:vAlign w:val="bottom"/>
            <w:gridSpan w:val="2"/>
          </w:tcPr>
          <w:p>
            <w:pPr>
              <w:ind w:left="200"/>
              <w:spacing w:after="0"/>
              <w:rPr>
                <w:sz w:val="20"/>
                <w:szCs w:val="20"/>
                <w:color w:val="auto"/>
              </w:rPr>
            </w:pPr>
            <w:r>
              <w:rPr>
                <w:rFonts w:ascii="Arial" w:cs="Arial" w:eastAsia="Arial" w:hAnsi="Arial"/>
                <w:sz w:val="18"/>
                <w:szCs w:val="18"/>
                <w:color w:val="auto"/>
                <w:w w:val="96"/>
              </w:rPr>
              <w:t>SEC USE ONLY</w:t>
            </w:r>
          </w:p>
        </w:tc>
        <w:tc>
          <w:tcPr>
            <w:tcW w:w="740" w:type="dxa"/>
            <w:vAlign w:val="bottom"/>
          </w:tcPr>
          <w:p>
            <w:pPr>
              <w:spacing w:after="0"/>
              <w:rPr>
                <w:sz w:val="20"/>
                <w:szCs w:val="20"/>
                <w:color w:val="auto"/>
              </w:rPr>
            </w:pPr>
          </w:p>
        </w:tc>
        <w:tc>
          <w:tcPr>
            <w:tcW w:w="8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540" w:type="dxa"/>
            <w:vAlign w:val="bottom"/>
            <w:tcBorders>
              <w:right w:val="single" w:sz="8" w:color="auto"/>
            </w:tcBorders>
          </w:tcPr>
          <w:p>
            <w:pPr>
              <w:spacing w:after="0"/>
              <w:rPr>
                <w:sz w:val="19"/>
                <w:szCs w:val="19"/>
                <w:color w:val="auto"/>
              </w:rPr>
            </w:pPr>
          </w:p>
        </w:tc>
        <w:tc>
          <w:tcPr>
            <w:tcW w:w="10300" w:type="dxa"/>
            <w:vAlign w:val="bottom"/>
            <w:tcBorders>
              <w:right w:val="single" w:sz="8" w:color="auto"/>
            </w:tcBorders>
            <w:gridSpan w:val="4"/>
          </w:tcPr>
          <w:p>
            <w:pPr>
              <w:ind w:left="20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500" w:type="dxa"/>
            <w:vAlign w:val="bottom"/>
            <w:gridSpan w:val="2"/>
          </w:tcPr>
          <w:p>
            <w:pPr>
              <w:ind w:left="200"/>
              <w:spacing w:after="0"/>
              <w:rPr>
                <w:sz w:val="20"/>
                <w:szCs w:val="20"/>
                <w:color w:val="auto"/>
              </w:rPr>
            </w:pPr>
            <w:r>
              <w:rPr>
                <w:rFonts w:ascii="Arial" w:cs="Arial" w:eastAsia="Arial" w:hAnsi="Arial"/>
                <w:sz w:val="18"/>
                <w:szCs w:val="18"/>
                <w:color w:val="auto"/>
              </w:rPr>
              <w:t>OO</w:t>
            </w:r>
          </w:p>
        </w:tc>
        <w:tc>
          <w:tcPr>
            <w:tcW w:w="740" w:type="dxa"/>
            <w:vAlign w:val="bottom"/>
          </w:tcPr>
          <w:p>
            <w:pPr>
              <w:spacing w:after="0"/>
              <w:rPr>
                <w:sz w:val="20"/>
                <w:szCs w:val="20"/>
                <w:color w:val="auto"/>
              </w:rPr>
            </w:pPr>
          </w:p>
        </w:tc>
        <w:tc>
          <w:tcPr>
            <w:tcW w:w="8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0" w:type="dxa"/>
            <w:vAlign w:val="bottom"/>
            <w:tcBorders>
              <w:left w:val="single" w:sz="8" w:color="auto"/>
            </w:tcBorders>
          </w:tcPr>
          <w:p>
            <w:pPr>
              <w:ind w:left="120"/>
              <w:spacing w:after="0" w:line="189" w:lineRule="exact"/>
              <w:rPr>
                <w:sz w:val="20"/>
                <w:szCs w:val="20"/>
                <w:color w:val="auto"/>
              </w:rPr>
            </w:pPr>
            <w:r>
              <w:rPr>
                <w:rFonts w:ascii="Arial" w:cs="Arial" w:eastAsia="Arial" w:hAnsi="Arial"/>
                <w:sz w:val="18"/>
                <w:szCs w:val="18"/>
                <w:color w:val="auto"/>
              </w:rPr>
              <w:t>5</w:t>
            </w:r>
          </w:p>
        </w:tc>
        <w:tc>
          <w:tcPr>
            <w:tcW w:w="540" w:type="dxa"/>
            <w:vAlign w:val="bottom"/>
            <w:tcBorders>
              <w:right w:val="single" w:sz="8" w:color="auto"/>
            </w:tcBorders>
          </w:tcPr>
          <w:p>
            <w:pPr>
              <w:spacing w:after="0"/>
              <w:rPr>
                <w:sz w:val="16"/>
                <w:szCs w:val="16"/>
                <w:color w:val="auto"/>
              </w:rPr>
            </w:pPr>
          </w:p>
        </w:tc>
        <w:tc>
          <w:tcPr>
            <w:tcW w:w="10300" w:type="dxa"/>
            <w:vAlign w:val="bottom"/>
            <w:tcBorders>
              <w:right w:val="single" w:sz="8" w:color="auto"/>
            </w:tcBorders>
            <w:gridSpan w:val="4"/>
          </w:tcPr>
          <w:p>
            <w:pPr>
              <w:ind w:left="200"/>
              <w:spacing w:after="0" w:line="189" w:lineRule="exact"/>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86"/>
        </w:trPr>
        <w:tc>
          <w:tcPr>
            <w:tcW w:w="40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gridSpan w:val="2"/>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Borders>
              <w:bottom w:val="single" w:sz="8" w:color="auto"/>
            </w:tcBorders>
          </w:tcPr>
          <w:p>
            <w:pPr>
              <w:spacing w:after="0"/>
              <w:rPr>
                <w:sz w:val="24"/>
                <w:szCs w:val="24"/>
                <w:color w:val="auto"/>
              </w:rPr>
            </w:pPr>
          </w:p>
        </w:tc>
        <w:tc>
          <w:tcPr>
            <w:tcW w:w="8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6</w:t>
            </w:r>
          </w:p>
        </w:tc>
        <w:tc>
          <w:tcPr>
            <w:tcW w:w="540" w:type="dxa"/>
            <w:vAlign w:val="bottom"/>
            <w:tcBorders>
              <w:right w:val="single" w:sz="8" w:color="auto"/>
            </w:tcBorders>
          </w:tcPr>
          <w:p>
            <w:pPr>
              <w:spacing w:after="0"/>
              <w:rPr>
                <w:sz w:val="19"/>
                <w:szCs w:val="19"/>
                <w:color w:val="auto"/>
              </w:rPr>
            </w:pPr>
          </w:p>
        </w:tc>
        <w:tc>
          <w:tcPr>
            <w:tcW w:w="10300" w:type="dxa"/>
            <w:vAlign w:val="bottom"/>
            <w:tcBorders>
              <w:right w:val="single" w:sz="8" w:color="auto"/>
            </w:tcBorders>
            <w:gridSpan w:val="4"/>
          </w:tcPr>
          <w:p>
            <w:pPr>
              <w:ind w:left="2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500" w:type="dxa"/>
            <w:vAlign w:val="bottom"/>
            <w:gridSpan w:val="2"/>
          </w:tcPr>
          <w:p>
            <w:pPr>
              <w:ind w:left="200"/>
              <w:spacing w:after="0"/>
              <w:rPr>
                <w:sz w:val="20"/>
                <w:szCs w:val="20"/>
                <w:color w:val="auto"/>
              </w:rPr>
            </w:pPr>
            <w:r>
              <w:rPr>
                <w:rFonts w:ascii="Arial" w:cs="Arial" w:eastAsia="Arial" w:hAnsi="Arial"/>
                <w:sz w:val="18"/>
                <w:szCs w:val="18"/>
                <w:color w:val="auto"/>
              </w:rPr>
              <w:t>South Africa</w:t>
            </w:r>
          </w:p>
        </w:tc>
        <w:tc>
          <w:tcPr>
            <w:tcW w:w="740" w:type="dxa"/>
            <w:vAlign w:val="bottom"/>
          </w:tcPr>
          <w:p>
            <w:pPr>
              <w:spacing w:after="0"/>
              <w:rPr>
                <w:sz w:val="20"/>
                <w:szCs w:val="20"/>
                <w:color w:val="auto"/>
              </w:rPr>
            </w:pPr>
          </w:p>
        </w:tc>
        <w:tc>
          <w:tcPr>
            <w:tcW w:w="8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400" w:type="dxa"/>
            <w:vAlign w:val="bottom"/>
            <w:tcBorders>
              <w:left w:val="single" w:sz="8" w:color="auto"/>
            </w:tcBorders>
          </w:tcPr>
          <w:p>
            <w:pPr>
              <w:spacing w:after="0"/>
              <w:rPr>
                <w:sz w:val="19"/>
                <w:szCs w:val="19"/>
                <w:color w:val="auto"/>
              </w:rPr>
            </w:pPr>
          </w:p>
        </w:tc>
        <w:tc>
          <w:tcPr>
            <w:tcW w:w="1880" w:type="dxa"/>
            <w:vAlign w:val="bottom"/>
            <w:tcBorders>
              <w:right w:val="single" w:sz="8" w:color="auto"/>
            </w:tcBorders>
            <w:gridSpan w:val="2"/>
            <w:vMerge w:val="restart"/>
          </w:tcPr>
          <w:p>
            <w:pPr>
              <w:jc w:val="center"/>
              <w:ind w:right="310"/>
              <w:spacing w:after="0"/>
              <w:rPr>
                <w:sz w:val="20"/>
                <w:szCs w:val="20"/>
                <w:color w:val="auto"/>
              </w:rPr>
            </w:pPr>
            <w:r>
              <w:rPr>
                <w:rFonts w:ascii="Arial" w:cs="Arial" w:eastAsia="Arial" w:hAnsi="Arial"/>
                <w:sz w:val="18"/>
                <w:szCs w:val="18"/>
                <w:color w:val="auto"/>
                <w:w w:val="96"/>
              </w:rPr>
              <w:t>NUMBER OF</w:t>
            </w:r>
          </w:p>
        </w:tc>
        <w:tc>
          <w:tcPr>
            <w:tcW w:w="160" w:type="dxa"/>
            <w:vAlign w:val="bottom"/>
          </w:tcPr>
          <w:p>
            <w:pPr>
              <w:spacing w:after="0"/>
              <w:rPr>
                <w:sz w:val="19"/>
                <w:szCs w:val="19"/>
                <w:color w:val="auto"/>
              </w:rPr>
            </w:pPr>
          </w:p>
        </w:tc>
        <w:tc>
          <w:tcPr>
            <w:tcW w:w="7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7</w:t>
            </w:r>
          </w:p>
        </w:tc>
        <w:tc>
          <w:tcPr>
            <w:tcW w:w="80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31"/>
        </w:trPr>
        <w:tc>
          <w:tcPr>
            <w:tcW w:w="400" w:type="dxa"/>
            <w:vAlign w:val="bottom"/>
            <w:tcBorders>
              <w:left w:val="single" w:sz="8" w:color="auto"/>
            </w:tcBorders>
          </w:tcPr>
          <w:p>
            <w:pPr>
              <w:spacing w:after="0"/>
              <w:rPr>
                <w:sz w:val="11"/>
                <w:szCs w:val="11"/>
                <w:color w:val="auto"/>
              </w:rPr>
            </w:pPr>
          </w:p>
        </w:tc>
        <w:tc>
          <w:tcPr>
            <w:tcW w:w="1880" w:type="dxa"/>
            <w:vAlign w:val="bottom"/>
            <w:tcBorders>
              <w:right w:val="single" w:sz="8" w:color="auto"/>
            </w:tcBorders>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8060" w:type="dxa"/>
            <w:vAlign w:val="bottom"/>
            <w:tcBorders>
              <w:right w:val="single" w:sz="8" w:color="auto"/>
            </w:tcBorders>
            <w:vMerge w:val="restart"/>
          </w:tcPr>
          <w:p>
            <w:pPr>
              <w:ind w:left="200"/>
              <w:spacing w:after="0" w:line="294" w:lineRule="exact"/>
              <w:rPr>
                <w:sz w:val="20"/>
                <w:szCs w:val="20"/>
                <w:color w:val="auto"/>
              </w:rPr>
            </w:pPr>
            <w:r>
              <w:rPr>
                <w:rFonts w:ascii="Arial" w:cs="Arial" w:eastAsia="Arial" w:hAnsi="Arial"/>
                <w:sz w:val="18"/>
                <w:szCs w:val="18"/>
                <w:color w:val="auto"/>
              </w:rPr>
              <w:t>3,100,000</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163"/>
        </w:trPr>
        <w:tc>
          <w:tcPr>
            <w:tcW w:w="400" w:type="dxa"/>
            <w:vAlign w:val="bottom"/>
            <w:tcBorders>
              <w:left w:val="single" w:sz="8" w:color="auto"/>
            </w:tcBorders>
          </w:tcPr>
          <w:p>
            <w:pPr>
              <w:spacing w:after="0"/>
              <w:rPr>
                <w:sz w:val="14"/>
                <w:szCs w:val="14"/>
                <w:color w:val="auto"/>
              </w:rPr>
            </w:pPr>
          </w:p>
        </w:tc>
        <w:tc>
          <w:tcPr>
            <w:tcW w:w="1880" w:type="dxa"/>
            <w:vAlign w:val="bottom"/>
            <w:tcBorders>
              <w:right w:val="single" w:sz="8" w:color="auto"/>
            </w:tcBorders>
            <w:gridSpan w:val="2"/>
          </w:tcPr>
          <w:p>
            <w:pPr>
              <w:jc w:val="center"/>
              <w:ind w:right="310"/>
              <w:spacing w:after="0" w:line="157" w:lineRule="exact"/>
              <w:rPr>
                <w:sz w:val="20"/>
                <w:szCs w:val="20"/>
                <w:color w:val="auto"/>
              </w:rPr>
            </w:pPr>
            <w:r>
              <w:rPr>
                <w:rFonts w:ascii="Arial" w:cs="Arial" w:eastAsia="Arial" w:hAnsi="Arial"/>
                <w:sz w:val="18"/>
                <w:szCs w:val="18"/>
                <w:color w:val="auto"/>
                <w:w w:val="91"/>
              </w:rPr>
              <w:t>SHARES</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806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00" w:type="dxa"/>
            <w:vAlign w:val="bottom"/>
            <w:tcBorders>
              <w:left w:val="single" w:sz="8" w:color="auto"/>
            </w:tcBorders>
          </w:tcPr>
          <w:p>
            <w:pPr>
              <w:spacing w:after="0"/>
              <w:rPr>
                <w:sz w:val="19"/>
                <w:szCs w:val="19"/>
                <w:color w:val="auto"/>
              </w:rPr>
            </w:pPr>
          </w:p>
        </w:tc>
        <w:tc>
          <w:tcPr>
            <w:tcW w:w="188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rPr>
              <w:t>BENEFICIALLY</w:t>
            </w:r>
          </w:p>
        </w:tc>
        <w:tc>
          <w:tcPr>
            <w:tcW w:w="160" w:type="dxa"/>
            <w:vAlign w:val="bottom"/>
          </w:tcPr>
          <w:p>
            <w:pPr>
              <w:spacing w:after="0"/>
              <w:rPr>
                <w:sz w:val="19"/>
                <w:szCs w:val="19"/>
                <w:color w:val="auto"/>
              </w:rPr>
            </w:pPr>
          </w:p>
        </w:tc>
        <w:tc>
          <w:tcPr>
            <w:tcW w:w="7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8</w:t>
            </w:r>
          </w:p>
        </w:tc>
        <w:tc>
          <w:tcPr>
            <w:tcW w:w="80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7"/>
        </w:trPr>
        <w:tc>
          <w:tcPr>
            <w:tcW w:w="400" w:type="dxa"/>
            <w:vAlign w:val="bottom"/>
            <w:tcBorders>
              <w:left w:val="single" w:sz="8" w:color="auto"/>
            </w:tcBorders>
          </w:tcPr>
          <w:p>
            <w:pPr>
              <w:spacing w:after="0"/>
              <w:rPr>
                <w:sz w:val="22"/>
                <w:szCs w:val="22"/>
                <w:color w:val="auto"/>
              </w:rPr>
            </w:pPr>
          </w:p>
        </w:tc>
        <w:tc>
          <w:tcPr>
            <w:tcW w:w="188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97"/>
              </w:rPr>
              <w:t>OWNED BY</w:t>
            </w: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spacing w:after="0"/>
              <w:rPr>
                <w:sz w:val="22"/>
                <w:szCs w:val="22"/>
                <w:color w:val="auto"/>
              </w:rPr>
            </w:pPr>
          </w:p>
        </w:tc>
        <w:tc>
          <w:tcPr>
            <w:tcW w:w="80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3"/>
        </w:trPr>
        <w:tc>
          <w:tcPr>
            <w:tcW w:w="400" w:type="dxa"/>
            <w:vAlign w:val="bottom"/>
            <w:tcBorders>
              <w:left w:val="single" w:sz="8" w:color="auto"/>
            </w:tcBorders>
          </w:tcPr>
          <w:p>
            <w:pPr>
              <w:spacing w:after="0"/>
              <w:rPr>
                <w:sz w:val="15"/>
                <w:szCs w:val="15"/>
                <w:color w:val="auto"/>
              </w:rPr>
            </w:pPr>
          </w:p>
        </w:tc>
        <w:tc>
          <w:tcPr>
            <w:tcW w:w="1880" w:type="dxa"/>
            <w:vAlign w:val="bottom"/>
            <w:tcBorders>
              <w:right w:val="single" w:sz="8" w:color="auto"/>
            </w:tcBorders>
            <w:gridSpan w:val="2"/>
          </w:tcPr>
          <w:p>
            <w:pPr>
              <w:jc w:val="center"/>
              <w:ind w:right="310"/>
              <w:spacing w:after="0" w:line="182" w:lineRule="exact"/>
              <w:rPr>
                <w:sz w:val="20"/>
                <w:szCs w:val="20"/>
                <w:color w:val="auto"/>
              </w:rPr>
            </w:pPr>
            <w:r>
              <w:rPr>
                <w:rFonts w:ascii="Arial" w:cs="Arial" w:eastAsia="Arial" w:hAnsi="Arial"/>
                <w:sz w:val="18"/>
                <w:szCs w:val="18"/>
                <w:color w:val="auto"/>
                <w:w w:val="95"/>
              </w:rPr>
              <w:t>EACH</w:t>
            </w:r>
          </w:p>
        </w:tc>
        <w:tc>
          <w:tcPr>
            <w:tcW w:w="160" w:type="dxa"/>
            <w:vAlign w:val="bottom"/>
          </w:tcPr>
          <w:p>
            <w:pPr>
              <w:spacing w:after="0"/>
              <w:rPr>
                <w:sz w:val="15"/>
                <w:szCs w:val="15"/>
                <w:color w:val="auto"/>
              </w:rPr>
            </w:pPr>
          </w:p>
        </w:tc>
        <w:tc>
          <w:tcPr>
            <w:tcW w:w="74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8"/>
                <w:szCs w:val="18"/>
                <w:color w:val="auto"/>
              </w:rPr>
              <w:t>9</w:t>
            </w:r>
          </w:p>
        </w:tc>
        <w:tc>
          <w:tcPr>
            <w:tcW w:w="8060" w:type="dxa"/>
            <w:vAlign w:val="bottom"/>
            <w:tcBorders>
              <w:right w:val="single" w:sz="8" w:color="auto"/>
            </w:tcBorders>
          </w:tcPr>
          <w:p>
            <w:pPr>
              <w:ind w:left="2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7"/>
        </w:trPr>
        <w:tc>
          <w:tcPr>
            <w:tcW w:w="400" w:type="dxa"/>
            <w:vAlign w:val="bottom"/>
            <w:tcBorders>
              <w:left w:val="single" w:sz="8" w:color="auto"/>
            </w:tcBorders>
          </w:tcPr>
          <w:p>
            <w:pPr>
              <w:spacing w:after="0"/>
              <w:rPr>
                <w:sz w:val="22"/>
                <w:szCs w:val="22"/>
                <w:color w:val="auto"/>
              </w:rPr>
            </w:pPr>
          </w:p>
        </w:tc>
        <w:tc>
          <w:tcPr>
            <w:tcW w:w="188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93"/>
              </w:rPr>
              <w:t>REPORTING</w:t>
            </w:r>
          </w:p>
        </w:tc>
        <w:tc>
          <w:tcPr>
            <w:tcW w:w="160" w:type="dxa"/>
            <w:vAlign w:val="bottom"/>
          </w:tcPr>
          <w:p>
            <w:pPr>
              <w:spacing w:after="0"/>
              <w:rPr>
                <w:sz w:val="22"/>
                <w:szCs w:val="22"/>
                <w:color w:val="auto"/>
              </w:rPr>
            </w:pPr>
          </w:p>
        </w:tc>
        <w:tc>
          <w:tcPr>
            <w:tcW w:w="740" w:type="dxa"/>
            <w:vAlign w:val="bottom"/>
            <w:tcBorders>
              <w:right w:val="single" w:sz="8" w:color="auto"/>
            </w:tcBorders>
          </w:tcPr>
          <w:p>
            <w:pPr>
              <w:spacing w:after="0"/>
              <w:rPr>
                <w:sz w:val="22"/>
                <w:szCs w:val="22"/>
                <w:color w:val="auto"/>
              </w:rPr>
            </w:pPr>
          </w:p>
        </w:tc>
        <w:tc>
          <w:tcPr>
            <w:tcW w:w="8060" w:type="dxa"/>
            <w:vAlign w:val="bottom"/>
            <w:tcBorders>
              <w:right w:val="single" w:sz="8" w:color="auto"/>
            </w:tcBorders>
          </w:tcPr>
          <w:p>
            <w:pPr>
              <w:ind w:left="200"/>
              <w:spacing w:after="0" w:line="256" w:lineRule="exact"/>
              <w:rPr>
                <w:sz w:val="20"/>
                <w:szCs w:val="20"/>
                <w:color w:val="auto"/>
              </w:rPr>
            </w:pPr>
            <w:r>
              <w:rPr>
                <w:rFonts w:ascii="Arial" w:cs="Arial" w:eastAsia="Arial" w:hAnsi="Arial"/>
                <w:sz w:val="18"/>
                <w:szCs w:val="18"/>
                <w:color w:val="auto"/>
              </w:rPr>
              <w:t>3,100,000</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81"/>
        </w:trPr>
        <w:tc>
          <w:tcPr>
            <w:tcW w:w="400" w:type="dxa"/>
            <w:vAlign w:val="bottom"/>
            <w:tcBorders>
              <w:left w:val="single" w:sz="8" w:color="auto"/>
            </w:tcBorders>
          </w:tcPr>
          <w:p>
            <w:pPr>
              <w:spacing w:after="0"/>
              <w:rPr>
                <w:sz w:val="7"/>
                <w:szCs w:val="7"/>
                <w:color w:val="auto"/>
              </w:rPr>
            </w:pPr>
          </w:p>
        </w:tc>
        <w:tc>
          <w:tcPr>
            <w:tcW w:w="1880" w:type="dxa"/>
            <w:vAlign w:val="bottom"/>
            <w:tcBorders>
              <w:right w:val="single" w:sz="8" w:color="auto"/>
            </w:tcBorders>
            <w:gridSpan w:val="2"/>
            <w:vMerge w:val="restart"/>
          </w:tcPr>
          <w:p>
            <w:pPr>
              <w:jc w:val="center"/>
              <w:ind w:right="310"/>
              <w:spacing w:after="0" w:line="175" w:lineRule="exact"/>
              <w:rPr>
                <w:sz w:val="20"/>
                <w:szCs w:val="20"/>
                <w:color w:val="auto"/>
              </w:rPr>
            </w:pPr>
            <w:r>
              <w:rPr>
                <w:rFonts w:ascii="Arial" w:cs="Arial" w:eastAsia="Arial" w:hAnsi="Arial"/>
                <w:sz w:val="18"/>
                <w:szCs w:val="18"/>
                <w:color w:val="auto"/>
                <w:w w:val="89"/>
              </w:rPr>
              <w:t>PERSON</w:t>
            </w:r>
          </w:p>
        </w:tc>
        <w:tc>
          <w:tcPr>
            <w:tcW w:w="160" w:type="dxa"/>
            <w:vAlign w:val="bottom"/>
            <w:tcBorders>
              <w:bottom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80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400" w:type="dxa"/>
            <w:vAlign w:val="bottom"/>
            <w:tcBorders>
              <w:left w:val="single" w:sz="8" w:color="auto"/>
            </w:tcBorders>
          </w:tcPr>
          <w:p>
            <w:pPr>
              <w:spacing w:after="0"/>
              <w:rPr>
                <w:sz w:val="6"/>
                <w:szCs w:val="6"/>
                <w:color w:val="auto"/>
              </w:rPr>
            </w:pPr>
          </w:p>
        </w:tc>
        <w:tc>
          <w:tcPr>
            <w:tcW w:w="1880" w:type="dxa"/>
            <w:vAlign w:val="bottom"/>
            <w:tcBorders>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10</w:t>
            </w:r>
          </w:p>
        </w:tc>
        <w:tc>
          <w:tcPr>
            <w:tcW w:w="806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8"/>
        </w:trPr>
        <w:tc>
          <w:tcPr>
            <w:tcW w:w="400" w:type="dxa"/>
            <w:vAlign w:val="bottom"/>
            <w:tcBorders>
              <w:left w:val="single" w:sz="8" w:color="auto"/>
            </w:tcBorders>
          </w:tcPr>
          <w:p>
            <w:pPr>
              <w:spacing w:after="0"/>
              <w:rPr>
                <w:sz w:val="12"/>
                <w:szCs w:val="12"/>
                <w:color w:val="auto"/>
              </w:rPr>
            </w:pPr>
          </w:p>
        </w:tc>
        <w:tc>
          <w:tcPr>
            <w:tcW w:w="1880" w:type="dxa"/>
            <w:vAlign w:val="bottom"/>
            <w:tcBorders>
              <w:right w:val="single" w:sz="8" w:color="auto"/>
            </w:tcBorders>
            <w:gridSpan w:val="2"/>
            <w:vMerge w:val="restart"/>
          </w:tcPr>
          <w:p>
            <w:pPr>
              <w:jc w:val="center"/>
              <w:ind w:right="310"/>
              <w:spacing w:after="0"/>
              <w:rPr>
                <w:sz w:val="20"/>
                <w:szCs w:val="20"/>
                <w:color w:val="auto"/>
              </w:rPr>
            </w:pPr>
            <w:r>
              <w:rPr>
                <w:rFonts w:ascii="Arial" w:cs="Arial" w:eastAsia="Arial" w:hAnsi="Arial"/>
                <w:sz w:val="18"/>
                <w:szCs w:val="18"/>
                <w:color w:val="auto"/>
              </w:rPr>
              <w:t>WITH</w:t>
            </w:r>
          </w:p>
        </w:tc>
        <w:tc>
          <w:tcPr>
            <w:tcW w:w="160" w:type="dxa"/>
            <w:vAlign w:val="bottom"/>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80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400" w:type="dxa"/>
            <w:vAlign w:val="bottom"/>
            <w:tcBorders>
              <w:left w:val="single" w:sz="8" w:color="auto"/>
            </w:tcBorders>
          </w:tcPr>
          <w:p>
            <w:pPr>
              <w:spacing w:after="0"/>
              <w:rPr>
                <w:sz w:val="7"/>
                <w:szCs w:val="7"/>
                <w:color w:val="auto"/>
              </w:rPr>
            </w:pPr>
          </w:p>
        </w:tc>
        <w:tc>
          <w:tcPr>
            <w:tcW w:w="1880" w:type="dxa"/>
            <w:vAlign w:val="bottom"/>
            <w:tcBorders>
              <w:right w:val="single" w:sz="8" w:color="auto"/>
            </w:tcBorders>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806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8"/>
        </w:trPr>
        <w:tc>
          <w:tcPr>
            <w:tcW w:w="400" w:type="dxa"/>
            <w:vAlign w:val="bottom"/>
            <w:tcBorders>
              <w:lef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0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gridSpan w:val="2"/>
          </w:tcPr>
          <w:p>
            <w:pPr>
              <w:spacing w:after="0"/>
              <w:rPr>
                <w:sz w:val="2"/>
                <w:szCs w:val="2"/>
                <w:color w:val="auto"/>
              </w:rPr>
            </w:pPr>
          </w:p>
        </w:tc>
        <w:tc>
          <w:tcPr>
            <w:tcW w:w="8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540" w:type="dxa"/>
            <w:vAlign w:val="bottom"/>
            <w:tcBorders>
              <w:right w:val="single" w:sz="8" w:color="auto"/>
            </w:tcBorders>
          </w:tcPr>
          <w:p>
            <w:pPr>
              <w:spacing w:after="0"/>
              <w:rPr>
                <w:sz w:val="19"/>
                <w:szCs w:val="19"/>
                <w:color w:val="auto"/>
              </w:rPr>
            </w:pPr>
          </w:p>
        </w:tc>
        <w:tc>
          <w:tcPr>
            <w:tcW w:w="10300" w:type="dxa"/>
            <w:vAlign w:val="bottom"/>
            <w:tcBorders>
              <w:right w:val="single" w:sz="8" w:color="auto"/>
            </w:tcBorders>
            <w:gridSpan w:val="4"/>
          </w:tcPr>
          <w:p>
            <w:pPr>
              <w:ind w:left="2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340" w:type="dxa"/>
            <w:vAlign w:val="bottom"/>
          </w:tcPr>
          <w:p>
            <w:pPr>
              <w:ind w:left="200"/>
              <w:spacing w:after="0"/>
              <w:rPr>
                <w:sz w:val="20"/>
                <w:szCs w:val="20"/>
                <w:color w:val="auto"/>
              </w:rPr>
            </w:pPr>
            <w:r>
              <w:rPr>
                <w:rFonts w:ascii="Arial" w:cs="Arial" w:eastAsia="Arial" w:hAnsi="Arial"/>
                <w:sz w:val="18"/>
                <w:szCs w:val="18"/>
                <w:color w:val="auto"/>
              </w:rPr>
              <w:t>3,100,000</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030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0" w:type="dxa"/>
            <w:vAlign w:val="bottom"/>
            <w:tcBorders>
              <w:left w:val="single" w:sz="8" w:color="auto"/>
            </w:tcBorders>
          </w:tcPr>
          <w:p>
            <w:pPr>
              <w:ind w:left="120"/>
              <w:spacing w:after="0" w:line="189" w:lineRule="exact"/>
              <w:rPr>
                <w:sz w:val="20"/>
                <w:szCs w:val="20"/>
                <w:color w:val="auto"/>
              </w:rPr>
            </w:pPr>
            <w:r>
              <w:rPr>
                <w:rFonts w:ascii="Arial" w:cs="Arial" w:eastAsia="Arial" w:hAnsi="Arial"/>
                <w:sz w:val="18"/>
                <w:szCs w:val="18"/>
                <w:color w:val="auto"/>
              </w:rPr>
              <w:t>12</w:t>
            </w:r>
          </w:p>
        </w:tc>
        <w:tc>
          <w:tcPr>
            <w:tcW w:w="540" w:type="dxa"/>
            <w:vAlign w:val="bottom"/>
            <w:tcBorders>
              <w:right w:val="single" w:sz="8" w:color="auto"/>
            </w:tcBorders>
          </w:tcPr>
          <w:p>
            <w:pPr>
              <w:spacing w:after="0"/>
              <w:rPr>
                <w:sz w:val="16"/>
                <w:szCs w:val="16"/>
                <w:color w:val="auto"/>
              </w:rPr>
            </w:pPr>
          </w:p>
        </w:tc>
        <w:tc>
          <w:tcPr>
            <w:tcW w:w="10300" w:type="dxa"/>
            <w:vAlign w:val="bottom"/>
            <w:tcBorders>
              <w:right w:val="single" w:sz="8" w:color="auto"/>
            </w:tcBorders>
            <w:gridSpan w:val="4"/>
          </w:tcPr>
          <w:p>
            <w:pPr>
              <w:ind w:left="200"/>
              <w:spacing w:after="0" w:line="189" w:lineRule="exact"/>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86"/>
        </w:trPr>
        <w:tc>
          <w:tcPr>
            <w:tcW w:w="40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gridSpan w:val="2"/>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Borders>
              <w:bottom w:val="single" w:sz="8" w:color="auto"/>
            </w:tcBorders>
          </w:tcPr>
          <w:p>
            <w:pPr>
              <w:spacing w:after="0"/>
              <w:rPr>
                <w:sz w:val="24"/>
                <w:szCs w:val="24"/>
                <w:color w:val="auto"/>
              </w:rPr>
            </w:pPr>
          </w:p>
        </w:tc>
        <w:tc>
          <w:tcPr>
            <w:tcW w:w="8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13</w:t>
            </w:r>
          </w:p>
        </w:tc>
        <w:tc>
          <w:tcPr>
            <w:tcW w:w="540" w:type="dxa"/>
            <w:vAlign w:val="bottom"/>
            <w:tcBorders>
              <w:right w:val="single" w:sz="8" w:color="auto"/>
            </w:tcBorders>
          </w:tcPr>
          <w:p>
            <w:pPr>
              <w:spacing w:after="0"/>
              <w:rPr>
                <w:sz w:val="19"/>
                <w:szCs w:val="19"/>
                <w:color w:val="auto"/>
              </w:rPr>
            </w:pPr>
          </w:p>
        </w:tc>
        <w:tc>
          <w:tcPr>
            <w:tcW w:w="10300" w:type="dxa"/>
            <w:vAlign w:val="bottom"/>
            <w:tcBorders>
              <w:right w:val="single" w:sz="8" w:color="auto"/>
            </w:tcBorders>
            <w:gridSpan w:val="4"/>
          </w:tcPr>
          <w:p>
            <w:pPr>
              <w:ind w:left="2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340" w:type="dxa"/>
            <w:vAlign w:val="bottom"/>
          </w:tcPr>
          <w:p>
            <w:pPr>
              <w:ind w:left="20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030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14</w:t>
            </w:r>
          </w:p>
        </w:tc>
        <w:tc>
          <w:tcPr>
            <w:tcW w:w="540" w:type="dxa"/>
            <w:vAlign w:val="bottom"/>
            <w:tcBorders>
              <w:right w:val="single" w:sz="8" w:color="auto"/>
            </w:tcBorders>
          </w:tcPr>
          <w:p>
            <w:pPr>
              <w:spacing w:after="0"/>
              <w:rPr>
                <w:sz w:val="19"/>
                <w:szCs w:val="19"/>
                <w:color w:val="auto"/>
              </w:rPr>
            </w:pPr>
          </w:p>
        </w:tc>
        <w:tc>
          <w:tcPr>
            <w:tcW w:w="10300" w:type="dxa"/>
            <w:vAlign w:val="bottom"/>
            <w:tcBorders>
              <w:right w:val="single" w:sz="8" w:color="auto"/>
            </w:tcBorders>
            <w:gridSpan w:val="4"/>
          </w:tcPr>
          <w:p>
            <w:pPr>
              <w:ind w:left="2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500" w:type="dxa"/>
            <w:vAlign w:val="bottom"/>
            <w:gridSpan w:val="2"/>
          </w:tcPr>
          <w:p>
            <w:pPr>
              <w:ind w:left="200"/>
              <w:spacing w:after="0"/>
              <w:rPr>
                <w:sz w:val="20"/>
                <w:szCs w:val="20"/>
                <w:color w:val="auto"/>
              </w:rPr>
            </w:pPr>
            <w:r>
              <w:rPr>
                <w:rFonts w:ascii="Arial" w:cs="Arial" w:eastAsia="Arial" w:hAnsi="Arial"/>
                <w:sz w:val="18"/>
                <w:szCs w:val="18"/>
                <w:color w:val="auto"/>
              </w:rPr>
              <w:t>OO</w:t>
            </w:r>
          </w:p>
        </w:tc>
        <w:tc>
          <w:tcPr>
            <w:tcW w:w="740" w:type="dxa"/>
            <w:vAlign w:val="bottom"/>
          </w:tcPr>
          <w:p>
            <w:pPr>
              <w:spacing w:after="0"/>
              <w:rPr>
                <w:sz w:val="20"/>
                <w:szCs w:val="20"/>
                <w:color w:val="auto"/>
              </w:rPr>
            </w:pPr>
          </w:p>
        </w:tc>
        <w:tc>
          <w:tcPr>
            <w:tcW w:w="8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0" w:firstLine="8"/>
        <w:spacing w:after="0" w:line="277"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 Note 1 above. See also Item 6—Voting Agreements for a description of the voting rights exercisable by Mr. Calisto in respect of the 3,100,000 Ordinary Shares held by One Spire.</w:t>
      </w:r>
    </w:p>
    <w:p>
      <w:pPr>
        <w:sectPr>
          <w:pgSz w:w="11900" w:h="16838" w:orient="portrait"/>
          <w:cols w:equalWidth="0" w:num="1">
            <w:col w:w="11240"/>
          </w:cols>
          <w:pgMar w:left="320" w:top="476"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Y4600W108</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400" w:type="dxa"/>
            <w:vAlign w:val="bottom"/>
            <w:tcBorders>
              <w:top w:val="single" w:sz="8" w:color="auto"/>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540" w:type="dxa"/>
            <w:vAlign w:val="bottom"/>
            <w:tcBorders>
              <w:top w:val="single" w:sz="8" w:color="auto"/>
              <w:right w:val="single" w:sz="8" w:color="auto"/>
            </w:tcBorders>
          </w:tcPr>
          <w:p>
            <w:pPr>
              <w:spacing w:after="0"/>
              <w:rPr>
                <w:sz w:val="21"/>
                <w:szCs w:val="21"/>
                <w:color w:val="auto"/>
              </w:rPr>
            </w:pPr>
          </w:p>
        </w:tc>
        <w:tc>
          <w:tcPr>
            <w:tcW w:w="10300" w:type="dxa"/>
            <w:vAlign w:val="bottom"/>
            <w:tcBorders>
              <w:top w:val="single" w:sz="8" w:color="auto"/>
              <w:right w:val="single" w:sz="8" w:color="auto"/>
            </w:tcBorders>
            <w:gridSpan w:val="4"/>
          </w:tcPr>
          <w:p>
            <w:pPr>
              <w:ind w:left="2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500" w:type="dxa"/>
            <w:vAlign w:val="bottom"/>
            <w:gridSpan w:val="2"/>
          </w:tcPr>
          <w:p>
            <w:pPr>
              <w:ind w:left="200"/>
              <w:spacing w:after="0"/>
              <w:rPr>
                <w:sz w:val="20"/>
                <w:szCs w:val="20"/>
                <w:color w:val="auto"/>
              </w:rPr>
            </w:pPr>
            <w:r>
              <w:rPr>
                <w:rFonts w:ascii="Arial" w:cs="Arial" w:eastAsia="Arial" w:hAnsi="Arial"/>
                <w:sz w:val="18"/>
                <w:szCs w:val="18"/>
                <w:color w:val="auto"/>
              </w:rPr>
              <w:t>Een Pte. Ltd.</w:t>
            </w:r>
          </w:p>
        </w:tc>
        <w:tc>
          <w:tcPr>
            <w:tcW w:w="740" w:type="dxa"/>
            <w:vAlign w:val="bottom"/>
          </w:tcPr>
          <w:p>
            <w:pPr>
              <w:spacing w:after="0"/>
              <w:rPr>
                <w:sz w:val="20"/>
                <w:szCs w:val="20"/>
                <w:color w:val="auto"/>
              </w:rPr>
            </w:pPr>
          </w:p>
        </w:tc>
        <w:tc>
          <w:tcPr>
            <w:tcW w:w="8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0" w:type="dxa"/>
            <w:vAlign w:val="bottom"/>
            <w:tcBorders>
              <w:left w:val="single" w:sz="8" w:color="auto"/>
            </w:tcBorders>
          </w:tcPr>
          <w:p>
            <w:pPr>
              <w:ind w:left="120"/>
              <w:spacing w:after="0" w:line="189" w:lineRule="exact"/>
              <w:rPr>
                <w:sz w:val="20"/>
                <w:szCs w:val="20"/>
                <w:color w:val="auto"/>
              </w:rPr>
            </w:pPr>
            <w:r>
              <w:rPr>
                <w:rFonts w:ascii="Arial" w:cs="Arial" w:eastAsia="Arial" w:hAnsi="Arial"/>
                <w:sz w:val="18"/>
                <w:szCs w:val="18"/>
                <w:color w:val="auto"/>
              </w:rPr>
              <w:t>2</w:t>
            </w:r>
          </w:p>
        </w:tc>
        <w:tc>
          <w:tcPr>
            <w:tcW w:w="540" w:type="dxa"/>
            <w:vAlign w:val="bottom"/>
            <w:tcBorders>
              <w:right w:val="single" w:sz="8" w:color="auto"/>
            </w:tcBorders>
          </w:tcPr>
          <w:p>
            <w:pPr>
              <w:spacing w:after="0"/>
              <w:rPr>
                <w:sz w:val="16"/>
                <w:szCs w:val="16"/>
                <w:color w:val="auto"/>
              </w:rPr>
            </w:pPr>
          </w:p>
        </w:tc>
        <w:tc>
          <w:tcPr>
            <w:tcW w:w="10300" w:type="dxa"/>
            <w:vAlign w:val="bottom"/>
            <w:tcBorders>
              <w:right w:val="single" w:sz="8" w:color="auto"/>
            </w:tcBorders>
            <w:gridSpan w:val="4"/>
          </w:tcPr>
          <w:p>
            <w:pPr>
              <w:ind w:left="200"/>
              <w:spacing w:after="0" w:line="18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6"/>
        </w:trPr>
        <w:tc>
          <w:tcPr>
            <w:tcW w:w="40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gridSpan w:val="2"/>
          </w:tcPr>
          <w:p>
            <w:pPr>
              <w:ind w:left="2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740" w:type="dxa"/>
            <w:vAlign w:val="bottom"/>
            <w:tcBorders>
              <w:bottom w:val="single" w:sz="8" w:color="auto"/>
            </w:tcBorders>
          </w:tcPr>
          <w:p>
            <w:pPr>
              <w:spacing w:after="0"/>
              <w:rPr>
                <w:sz w:val="24"/>
                <w:szCs w:val="24"/>
                <w:color w:val="auto"/>
              </w:rPr>
            </w:pPr>
          </w:p>
        </w:tc>
        <w:tc>
          <w:tcPr>
            <w:tcW w:w="8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540" w:type="dxa"/>
            <w:vAlign w:val="bottom"/>
            <w:tcBorders>
              <w:right w:val="single" w:sz="8" w:color="auto"/>
            </w:tcBorders>
          </w:tcPr>
          <w:p>
            <w:pPr>
              <w:spacing w:after="0"/>
              <w:rPr>
                <w:sz w:val="20"/>
                <w:szCs w:val="20"/>
                <w:color w:val="auto"/>
              </w:rPr>
            </w:pPr>
          </w:p>
        </w:tc>
        <w:tc>
          <w:tcPr>
            <w:tcW w:w="1500" w:type="dxa"/>
            <w:vAlign w:val="bottom"/>
            <w:gridSpan w:val="2"/>
          </w:tcPr>
          <w:p>
            <w:pPr>
              <w:ind w:left="200"/>
              <w:spacing w:after="0"/>
              <w:rPr>
                <w:sz w:val="20"/>
                <w:szCs w:val="20"/>
                <w:color w:val="auto"/>
              </w:rPr>
            </w:pPr>
            <w:r>
              <w:rPr>
                <w:rFonts w:ascii="Arial" w:cs="Arial" w:eastAsia="Arial" w:hAnsi="Arial"/>
                <w:sz w:val="18"/>
                <w:szCs w:val="18"/>
                <w:color w:val="auto"/>
                <w:w w:val="96"/>
              </w:rPr>
              <w:t>SEC USE ONLY</w:t>
            </w:r>
          </w:p>
        </w:tc>
        <w:tc>
          <w:tcPr>
            <w:tcW w:w="740" w:type="dxa"/>
            <w:vAlign w:val="bottom"/>
          </w:tcPr>
          <w:p>
            <w:pPr>
              <w:spacing w:after="0"/>
              <w:rPr>
                <w:sz w:val="20"/>
                <w:szCs w:val="20"/>
                <w:color w:val="auto"/>
              </w:rPr>
            </w:pPr>
          </w:p>
        </w:tc>
        <w:tc>
          <w:tcPr>
            <w:tcW w:w="8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540" w:type="dxa"/>
            <w:vAlign w:val="bottom"/>
            <w:tcBorders>
              <w:right w:val="single" w:sz="8" w:color="auto"/>
            </w:tcBorders>
          </w:tcPr>
          <w:p>
            <w:pPr>
              <w:spacing w:after="0"/>
              <w:rPr>
                <w:sz w:val="19"/>
                <w:szCs w:val="19"/>
                <w:color w:val="auto"/>
              </w:rPr>
            </w:pPr>
          </w:p>
        </w:tc>
        <w:tc>
          <w:tcPr>
            <w:tcW w:w="10300" w:type="dxa"/>
            <w:vAlign w:val="bottom"/>
            <w:tcBorders>
              <w:right w:val="single" w:sz="8" w:color="auto"/>
            </w:tcBorders>
            <w:gridSpan w:val="4"/>
          </w:tcPr>
          <w:p>
            <w:pPr>
              <w:ind w:left="20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500" w:type="dxa"/>
            <w:vAlign w:val="bottom"/>
            <w:gridSpan w:val="2"/>
          </w:tcPr>
          <w:p>
            <w:pPr>
              <w:ind w:left="200"/>
              <w:spacing w:after="0"/>
              <w:rPr>
                <w:sz w:val="20"/>
                <w:szCs w:val="20"/>
                <w:color w:val="auto"/>
              </w:rPr>
            </w:pPr>
            <w:r>
              <w:rPr>
                <w:rFonts w:ascii="Arial" w:cs="Arial" w:eastAsia="Arial" w:hAnsi="Arial"/>
                <w:sz w:val="18"/>
                <w:szCs w:val="18"/>
                <w:color w:val="auto"/>
              </w:rPr>
              <w:t>OO</w:t>
            </w:r>
          </w:p>
        </w:tc>
        <w:tc>
          <w:tcPr>
            <w:tcW w:w="740" w:type="dxa"/>
            <w:vAlign w:val="bottom"/>
          </w:tcPr>
          <w:p>
            <w:pPr>
              <w:spacing w:after="0"/>
              <w:rPr>
                <w:sz w:val="20"/>
                <w:szCs w:val="20"/>
                <w:color w:val="auto"/>
              </w:rPr>
            </w:pPr>
          </w:p>
        </w:tc>
        <w:tc>
          <w:tcPr>
            <w:tcW w:w="8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0" w:type="dxa"/>
            <w:vAlign w:val="bottom"/>
            <w:tcBorders>
              <w:left w:val="single" w:sz="8" w:color="auto"/>
            </w:tcBorders>
          </w:tcPr>
          <w:p>
            <w:pPr>
              <w:ind w:left="120"/>
              <w:spacing w:after="0" w:line="189" w:lineRule="exact"/>
              <w:rPr>
                <w:sz w:val="20"/>
                <w:szCs w:val="20"/>
                <w:color w:val="auto"/>
              </w:rPr>
            </w:pPr>
            <w:r>
              <w:rPr>
                <w:rFonts w:ascii="Arial" w:cs="Arial" w:eastAsia="Arial" w:hAnsi="Arial"/>
                <w:sz w:val="18"/>
                <w:szCs w:val="18"/>
                <w:color w:val="auto"/>
              </w:rPr>
              <w:t>5</w:t>
            </w:r>
          </w:p>
        </w:tc>
        <w:tc>
          <w:tcPr>
            <w:tcW w:w="540" w:type="dxa"/>
            <w:vAlign w:val="bottom"/>
            <w:tcBorders>
              <w:right w:val="single" w:sz="8" w:color="auto"/>
            </w:tcBorders>
          </w:tcPr>
          <w:p>
            <w:pPr>
              <w:spacing w:after="0"/>
              <w:rPr>
                <w:sz w:val="16"/>
                <w:szCs w:val="16"/>
                <w:color w:val="auto"/>
              </w:rPr>
            </w:pPr>
          </w:p>
        </w:tc>
        <w:tc>
          <w:tcPr>
            <w:tcW w:w="10300" w:type="dxa"/>
            <w:vAlign w:val="bottom"/>
            <w:tcBorders>
              <w:right w:val="single" w:sz="8" w:color="auto"/>
            </w:tcBorders>
            <w:gridSpan w:val="4"/>
          </w:tcPr>
          <w:p>
            <w:pPr>
              <w:ind w:left="200"/>
              <w:spacing w:after="0" w:line="189" w:lineRule="exact"/>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86"/>
        </w:trPr>
        <w:tc>
          <w:tcPr>
            <w:tcW w:w="40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gridSpan w:val="2"/>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Borders>
              <w:bottom w:val="single" w:sz="8" w:color="auto"/>
            </w:tcBorders>
          </w:tcPr>
          <w:p>
            <w:pPr>
              <w:spacing w:after="0"/>
              <w:rPr>
                <w:sz w:val="24"/>
                <w:szCs w:val="24"/>
                <w:color w:val="auto"/>
              </w:rPr>
            </w:pPr>
          </w:p>
        </w:tc>
        <w:tc>
          <w:tcPr>
            <w:tcW w:w="8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6</w:t>
            </w:r>
          </w:p>
        </w:tc>
        <w:tc>
          <w:tcPr>
            <w:tcW w:w="540" w:type="dxa"/>
            <w:vAlign w:val="bottom"/>
            <w:tcBorders>
              <w:right w:val="single" w:sz="8" w:color="auto"/>
            </w:tcBorders>
          </w:tcPr>
          <w:p>
            <w:pPr>
              <w:spacing w:after="0"/>
              <w:rPr>
                <w:sz w:val="19"/>
                <w:szCs w:val="19"/>
                <w:color w:val="auto"/>
              </w:rPr>
            </w:pPr>
          </w:p>
        </w:tc>
        <w:tc>
          <w:tcPr>
            <w:tcW w:w="10300" w:type="dxa"/>
            <w:vAlign w:val="bottom"/>
            <w:tcBorders>
              <w:right w:val="single" w:sz="8" w:color="auto"/>
            </w:tcBorders>
            <w:gridSpan w:val="4"/>
          </w:tcPr>
          <w:p>
            <w:pPr>
              <w:ind w:left="2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500" w:type="dxa"/>
            <w:vAlign w:val="bottom"/>
            <w:gridSpan w:val="2"/>
          </w:tcPr>
          <w:p>
            <w:pPr>
              <w:ind w:left="200"/>
              <w:spacing w:after="0"/>
              <w:rPr>
                <w:sz w:val="20"/>
                <w:szCs w:val="20"/>
                <w:color w:val="auto"/>
              </w:rPr>
            </w:pPr>
            <w:r>
              <w:rPr>
                <w:rFonts w:ascii="Arial" w:cs="Arial" w:eastAsia="Arial" w:hAnsi="Arial"/>
                <w:sz w:val="18"/>
                <w:szCs w:val="18"/>
                <w:color w:val="auto"/>
              </w:rPr>
              <w:t>Singapore</w:t>
            </w:r>
          </w:p>
        </w:tc>
        <w:tc>
          <w:tcPr>
            <w:tcW w:w="740" w:type="dxa"/>
            <w:vAlign w:val="bottom"/>
          </w:tcPr>
          <w:p>
            <w:pPr>
              <w:spacing w:after="0"/>
              <w:rPr>
                <w:sz w:val="20"/>
                <w:szCs w:val="20"/>
                <w:color w:val="auto"/>
              </w:rPr>
            </w:pPr>
          </w:p>
        </w:tc>
        <w:tc>
          <w:tcPr>
            <w:tcW w:w="8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00" w:type="dxa"/>
            <w:vAlign w:val="bottom"/>
            <w:tcBorders>
              <w:left w:val="single" w:sz="8" w:color="auto"/>
            </w:tcBorders>
          </w:tcPr>
          <w:p>
            <w:pPr>
              <w:spacing w:after="0"/>
              <w:rPr>
                <w:sz w:val="19"/>
                <w:szCs w:val="19"/>
                <w:color w:val="auto"/>
              </w:rPr>
            </w:pPr>
          </w:p>
        </w:tc>
        <w:tc>
          <w:tcPr>
            <w:tcW w:w="1880" w:type="dxa"/>
            <w:vAlign w:val="bottom"/>
            <w:tcBorders>
              <w:right w:val="single" w:sz="8" w:color="auto"/>
            </w:tcBorders>
            <w:gridSpan w:val="2"/>
            <w:vMerge w:val="restart"/>
          </w:tcPr>
          <w:p>
            <w:pPr>
              <w:jc w:val="center"/>
              <w:ind w:right="310"/>
              <w:spacing w:after="0"/>
              <w:rPr>
                <w:sz w:val="20"/>
                <w:szCs w:val="20"/>
                <w:color w:val="auto"/>
              </w:rPr>
            </w:pPr>
            <w:r>
              <w:rPr>
                <w:rFonts w:ascii="Arial" w:cs="Arial" w:eastAsia="Arial" w:hAnsi="Arial"/>
                <w:sz w:val="18"/>
                <w:szCs w:val="18"/>
                <w:color w:val="auto"/>
                <w:w w:val="96"/>
              </w:rPr>
              <w:t>NUMBER OF</w:t>
            </w:r>
          </w:p>
        </w:tc>
        <w:tc>
          <w:tcPr>
            <w:tcW w:w="160" w:type="dxa"/>
            <w:vAlign w:val="bottom"/>
          </w:tcPr>
          <w:p>
            <w:pPr>
              <w:spacing w:after="0"/>
              <w:rPr>
                <w:sz w:val="19"/>
                <w:szCs w:val="19"/>
                <w:color w:val="auto"/>
              </w:rPr>
            </w:pPr>
          </w:p>
        </w:tc>
        <w:tc>
          <w:tcPr>
            <w:tcW w:w="7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7</w:t>
            </w:r>
          </w:p>
        </w:tc>
        <w:tc>
          <w:tcPr>
            <w:tcW w:w="80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35"/>
        </w:trPr>
        <w:tc>
          <w:tcPr>
            <w:tcW w:w="400" w:type="dxa"/>
            <w:vAlign w:val="bottom"/>
            <w:tcBorders>
              <w:left w:val="single" w:sz="8" w:color="auto"/>
            </w:tcBorders>
          </w:tcPr>
          <w:p>
            <w:pPr>
              <w:spacing w:after="0"/>
              <w:rPr>
                <w:sz w:val="11"/>
                <w:szCs w:val="11"/>
                <w:color w:val="auto"/>
              </w:rPr>
            </w:pPr>
          </w:p>
        </w:tc>
        <w:tc>
          <w:tcPr>
            <w:tcW w:w="1880" w:type="dxa"/>
            <w:vAlign w:val="bottom"/>
            <w:tcBorders>
              <w:right w:val="single" w:sz="8" w:color="auto"/>
            </w:tcBorders>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806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5"/>
        </w:trPr>
        <w:tc>
          <w:tcPr>
            <w:tcW w:w="400" w:type="dxa"/>
            <w:vAlign w:val="bottom"/>
            <w:tcBorders>
              <w:left w:val="single" w:sz="8" w:color="auto"/>
            </w:tcBorders>
          </w:tcPr>
          <w:p>
            <w:pPr>
              <w:spacing w:after="0"/>
              <w:rPr>
                <w:sz w:val="8"/>
                <w:szCs w:val="8"/>
                <w:color w:val="auto"/>
              </w:rPr>
            </w:pPr>
          </w:p>
        </w:tc>
        <w:tc>
          <w:tcPr>
            <w:tcW w:w="1880" w:type="dxa"/>
            <w:vAlign w:val="bottom"/>
            <w:tcBorders>
              <w:right w:val="single" w:sz="8" w:color="auto"/>
            </w:tcBorders>
            <w:gridSpan w:val="2"/>
            <w:vMerge w:val="restart"/>
          </w:tcPr>
          <w:p>
            <w:pPr>
              <w:jc w:val="center"/>
              <w:ind w:right="310"/>
              <w:spacing w:after="0"/>
              <w:rPr>
                <w:sz w:val="20"/>
                <w:szCs w:val="20"/>
                <w:color w:val="auto"/>
              </w:rPr>
            </w:pPr>
            <w:r>
              <w:rPr>
                <w:rFonts w:ascii="Arial" w:cs="Arial" w:eastAsia="Arial" w:hAnsi="Arial"/>
                <w:sz w:val="18"/>
                <w:szCs w:val="18"/>
                <w:color w:val="auto"/>
                <w:w w:val="91"/>
              </w:rPr>
              <w:t>SHARES</w:t>
            </w:r>
          </w:p>
        </w:tc>
        <w:tc>
          <w:tcPr>
            <w:tcW w:w="160" w:type="dxa"/>
            <w:vAlign w:val="bottom"/>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80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400" w:type="dxa"/>
            <w:vAlign w:val="bottom"/>
            <w:tcBorders>
              <w:left w:val="single" w:sz="8" w:color="auto"/>
            </w:tcBorders>
          </w:tcPr>
          <w:p>
            <w:pPr>
              <w:spacing w:after="0"/>
              <w:rPr>
                <w:sz w:val="2"/>
                <w:szCs w:val="2"/>
                <w:color w:val="auto"/>
              </w:rPr>
            </w:pPr>
          </w:p>
        </w:tc>
        <w:tc>
          <w:tcPr>
            <w:tcW w:w="1880" w:type="dxa"/>
            <w:vAlign w:val="bottom"/>
            <w:tcBorders>
              <w:right w:val="single" w:sz="8" w:color="auto"/>
            </w:tcBorders>
            <w:gridSpan w:val="2"/>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8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400" w:type="dxa"/>
            <w:vAlign w:val="bottom"/>
            <w:tcBorders>
              <w:left w:val="single" w:sz="8" w:color="auto"/>
            </w:tcBorders>
          </w:tcPr>
          <w:p>
            <w:pPr>
              <w:spacing w:after="0"/>
              <w:rPr>
                <w:sz w:val="6"/>
                <w:szCs w:val="6"/>
                <w:color w:val="auto"/>
              </w:rPr>
            </w:pPr>
          </w:p>
        </w:tc>
        <w:tc>
          <w:tcPr>
            <w:tcW w:w="1880" w:type="dxa"/>
            <w:vAlign w:val="bottom"/>
            <w:tcBorders>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8</w:t>
            </w:r>
          </w:p>
        </w:tc>
        <w:tc>
          <w:tcPr>
            <w:tcW w:w="806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52"/>
        </w:trPr>
        <w:tc>
          <w:tcPr>
            <w:tcW w:w="400" w:type="dxa"/>
            <w:vAlign w:val="bottom"/>
            <w:tcBorders>
              <w:left w:val="single" w:sz="8" w:color="auto"/>
            </w:tcBorders>
          </w:tcPr>
          <w:p>
            <w:pPr>
              <w:spacing w:after="0"/>
              <w:rPr>
                <w:sz w:val="13"/>
                <w:szCs w:val="13"/>
                <w:color w:val="auto"/>
              </w:rPr>
            </w:pPr>
          </w:p>
        </w:tc>
        <w:tc>
          <w:tcPr>
            <w:tcW w:w="1880" w:type="dxa"/>
            <w:vAlign w:val="bottom"/>
            <w:tcBorders>
              <w:right w:val="single" w:sz="8" w:color="auto"/>
            </w:tcBorders>
            <w:gridSpan w:val="2"/>
            <w:vMerge w:val="restart"/>
          </w:tcPr>
          <w:p>
            <w:pPr>
              <w:jc w:val="center"/>
              <w:ind w:right="310"/>
              <w:spacing w:after="0"/>
              <w:rPr>
                <w:sz w:val="20"/>
                <w:szCs w:val="20"/>
                <w:color w:val="auto"/>
              </w:rPr>
            </w:pPr>
            <w:r>
              <w:rPr>
                <w:rFonts w:ascii="Arial" w:cs="Arial" w:eastAsia="Arial" w:hAnsi="Arial"/>
                <w:sz w:val="18"/>
                <w:szCs w:val="18"/>
                <w:color w:val="auto"/>
              </w:rPr>
              <w:t>BENEFICIALLY</w:t>
            </w:r>
          </w:p>
        </w:tc>
        <w:tc>
          <w:tcPr>
            <w:tcW w:w="160" w:type="dxa"/>
            <w:vAlign w:val="bottom"/>
          </w:tcPr>
          <w:p>
            <w:pPr>
              <w:spacing w:after="0"/>
              <w:rPr>
                <w:sz w:val="13"/>
                <w:szCs w:val="13"/>
                <w:color w:val="auto"/>
              </w:rPr>
            </w:pPr>
          </w:p>
        </w:tc>
        <w:tc>
          <w:tcPr>
            <w:tcW w:w="740" w:type="dxa"/>
            <w:vAlign w:val="bottom"/>
            <w:tcBorders>
              <w:right w:val="single" w:sz="8" w:color="auto"/>
            </w:tcBorders>
            <w:vMerge w:val="continue"/>
          </w:tcPr>
          <w:p>
            <w:pPr>
              <w:spacing w:after="0"/>
              <w:rPr>
                <w:sz w:val="13"/>
                <w:szCs w:val="13"/>
                <w:color w:val="auto"/>
              </w:rPr>
            </w:pPr>
          </w:p>
        </w:tc>
        <w:tc>
          <w:tcPr>
            <w:tcW w:w="80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400" w:type="dxa"/>
            <w:vAlign w:val="bottom"/>
            <w:tcBorders>
              <w:left w:val="single" w:sz="8" w:color="auto"/>
            </w:tcBorders>
          </w:tcPr>
          <w:p>
            <w:pPr>
              <w:spacing w:after="0"/>
              <w:rPr>
                <w:sz w:val="5"/>
                <w:szCs w:val="5"/>
                <w:color w:val="auto"/>
              </w:rPr>
            </w:pPr>
          </w:p>
        </w:tc>
        <w:tc>
          <w:tcPr>
            <w:tcW w:w="1880" w:type="dxa"/>
            <w:vAlign w:val="bottom"/>
            <w:tcBorders>
              <w:right w:val="single" w:sz="8" w:color="auto"/>
            </w:tcBorders>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Borders>
              <w:right w:val="single" w:sz="8" w:color="auto"/>
            </w:tcBorders>
          </w:tcPr>
          <w:p>
            <w:pPr>
              <w:spacing w:after="0"/>
              <w:rPr>
                <w:sz w:val="5"/>
                <w:szCs w:val="5"/>
                <w:color w:val="auto"/>
              </w:rPr>
            </w:pPr>
          </w:p>
        </w:tc>
        <w:tc>
          <w:tcPr>
            <w:tcW w:w="8060" w:type="dxa"/>
            <w:vAlign w:val="bottom"/>
            <w:tcBorders>
              <w:right w:val="single" w:sz="8" w:color="auto"/>
            </w:tcBorders>
            <w:vMerge w:val="restart"/>
          </w:tcPr>
          <w:p>
            <w:pPr>
              <w:ind w:left="200"/>
              <w:spacing w:after="0" w:line="294" w:lineRule="exact"/>
              <w:rPr>
                <w:sz w:val="20"/>
                <w:szCs w:val="20"/>
                <w:color w:val="auto"/>
              </w:rPr>
            </w:pPr>
            <w:r>
              <w:rPr>
                <w:rFonts w:ascii="Arial" w:cs="Arial" w:eastAsia="Arial" w:hAnsi="Arial"/>
                <w:sz w:val="18"/>
                <w:szCs w:val="18"/>
                <w:color w:val="auto"/>
              </w:rPr>
              <w:t>3,100,000</w:t>
            </w:r>
            <w:r>
              <w:rPr>
                <w:rFonts w:ascii="Arial" w:cs="Arial" w:eastAsia="Arial" w:hAnsi="Arial"/>
                <w:sz w:val="29"/>
                <w:szCs w:val="29"/>
                <w:color w:val="auto"/>
                <w:vertAlign w:val="superscript"/>
              </w:rPr>
              <w:t>(3)</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188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97"/>
              </w:rPr>
              <w:t>OWNED BY</w:t>
            </w: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80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00" w:type="dxa"/>
            <w:vAlign w:val="bottom"/>
            <w:tcBorders>
              <w:left w:val="single" w:sz="8" w:color="auto"/>
            </w:tcBorders>
          </w:tcPr>
          <w:p>
            <w:pPr>
              <w:spacing w:after="0"/>
              <w:rPr>
                <w:sz w:val="15"/>
                <w:szCs w:val="15"/>
                <w:color w:val="auto"/>
              </w:rPr>
            </w:pPr>
          </w:p>
        </w:tc>
        <w:tc>
          <w:tcPr>
            <w:tcW w:w="1880" w:type="dxa"/>
            <w:vAlign w:val="bottom"/>
            <w:tcBorders>
              <w:right w:val="single" w:sz="8" w:color="auto"/>
            </w:tcBorders>
            <w:gridSpan w:val="2"/>
          </w:tcPr>
          <w:p>
            <w:pPr>
              <w:jc w:val="center"/>
              <w:ind w:right="310"/>
              <w:spacing w:after="0" w:line="182" w:lineRule="exact"/>
              <w:rPr>
                <w:sz w:val="20"/>
                <w:szCs w:val="20"/>
                <w:color w:val="auto"/>
              </w:rPr>
            </w:pPr>
            <w:r>
              <w:rPr>
                <w:rFonts w:ascii="Arial" w:cs="Arial" w:eastAsia="Arial" w:hAnsi="Arial"/>
                <w:sz w:val="18"/>
                <w:szCs w:val="18"/>
                <w:color w:val="auto"/>
                <w:w w:val="95"/>
              </w:rPr>
              <w:t>EACH</w:t>
            </w:r>
          </w:p>
        </w:tc>
        <w:tc>
          <w:tcPr>
            <w:tcW w:w="160" w:type="dxa"/>
            <w:vAlign w:val="bottom"/>
          </w:tcPr>
          <w:p>
            <w:pPr>
              <w:spacing w:after="0"/>
              <w:rPr>
                <w:sz w:val="15"/>
                <w:szCs w:val="15"/>
                <w:color w:val="auto"/>
              </w:rPr>
            </w:pPr>
          </w:p>
        </w:tc>
        <w:tc>
          <w:tcPr>
            <w:tcW w:w="74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8"/>
                <w:szCs w:val="18"/>
                <w:color w:val="auto"/>
              </w:rPr>
              <w:t>9</w:t>
            </w:r>
          </w:p>
        </w:tc>
        <w:tc>
          <w:tcPr>
            <w:tcW w:w="8060" w:type="dxa"/>
            <w:vAlign w:val="bottom"/>
            <w:tcBorders>
              <w:right w:val="single" w:sz="8" w:color="auto"/>
            </w:tcBorders>
          </w:tcPr>
          <w:p>
            <w:pPr>
              <w:ind w:left="2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188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93"/>
              </w:rPr>
              <w:t>REPORTING</w:t>
            </w:r>
          </w:p>
        </w:tc>
        <w:tc>
          <w:tcPr>
            <w:tcW w:w="16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0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1"/>
        </w:trPr>
        <w:tc>
          <w:tcPr>
            <w:tcW w:w="400" w:type="dxa"/>
            <w:vAlign w:val="bottom"/>
            <w:tcBorders>
              <w:left w:val="single" w:sz="8" w:color="auto"/>
            </w:tcBorders>
          </w:tcPr>
          <w:p>
            <w:pPr>
              <w:spacing w:after="0"/>
              <w:rPr>
                <w:sz w:val="7"/>
                <w:szCs w:val="7"/>
                <w:color w:val="auto"/>
              </w:rPr>
            </w:pPr>
          </w:p>
        </w:tc>
        <w:tc>
          <w:tcPr>
            <w:tcW w:w="1880" w:type="dxa"/>
            <w:vAlign w:val="bottom"/>
            <w:tcBorders>
              <w:right w:val="single" w:sz="8" w:color="auto"/>
            </w:tcBorders>
            <w:gridSpan w:val="2"/>
            <w:vMerge w:val="restart"/>
          </w:tcPr>
          <w:p>
            <w:pPr>
              <w:jc w:val="center"/>
              <w:ind w:right="310"/>
              <w:spacing w:after="0"/>
              <w:rPr>
                <w:sz w:val="20"/>
                <w:szCs w:val="20"/>
                <w:color w:val="auto"/>
              </w:rPr>
            </w:pPr>
            <w:r>
              <w:rPr>
                <w:rFonts w:ascii="Arial" w:cs="Arial" w:eastAsia="Arial" w:hAnsi="Arial"/>
                <w:sz w:val="18"/>
                <w:szCs w:val="18"/>
                <w:color w:val="auto"/>
                <w:w w:val="89"/>
              </w:rPr>
              <w:t>PERSON</w:t>
            </w:r>
          </w:p>
        </w:tc>
        <w:tc>
          <w:tcPr>
            <w:tcW w:w="160" w:type="dxa"/>
            <w:vAlign w:val="bottom"/>
            <w:tcBorders>
              <w:bottom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80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400" w:type="dxa"/>
            <w:vAlign w:val="bottom"/>
            <w:tcBorders>
              <w:left w:val="single" w:sz="8" w:color="auto"/>
            </w:tcBorders>
          </w:tcPr>
          <w:p>
            <w:pPr>
              <w:spacing w:after="0"/>
              <w:rPr>
                <w:sz w:val="9"/>
                <w:szCs w:val="9"/>
                <w:color w:val="auto"/>
              </w:rPr>
            </w:pPr>
          </w:p>
        </w:tc>
        <w:tc>
          <w:tcPr>
            <w:tcW w:w="1880" w:type="dxa"/>
            <w:vAlign w:val="bottom"/>
            <w:tcBorders>
              <w:right w:val="single" w:sz="8" w:color="auto"/>
            </w:tcBorders>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10</w:t>
            </w:r>
          </w:p>
        </w:tc>
        <w:tc>
          <w:tcPr>
            <w:tcW w:w="806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12"/>
        </w:trPr>
        <w:tc>
          <w:tcPr>
            <w:tcW w:w="400" w:type="dxa"/>
            <w:vAlign w:val="bottom"/>
            <w:tcBorders>
              <w:left w:val="single" w:sz="8" w:color="auto"/>
            </w:tcBorders>
          </w:tcPr>
          <w:p>
            <w:pPr>
              <w:spacing w:after="0"/>
              <w:rPr>
                <w:sz w:val="9"/>
                <w:szCs w:val="9"/>
                <w:color w:val="auto"/>
              </w:rPr>
            </w:pPr>
          </w:p>
        </w:tc>
        <w:tc>
          <w:tcPr>
            <w:tcW w:w="1880" w:type="dxa"/>
            <w:vAlign w:val="bottom"/>
            <w:tcBorders>
              <w:right w:val="single" w:sz="8" w:color="auto"/>
            </w:tcBorders>
            <w:gridSpan w:val="2"/>
            <w:vMerge w:val="restart"/>
          </w:tcPr>
          <w:p>
            <w:pPr>
              <w:jc w:val="center"/>
              <w:ind w:right="310"/>
              <w:spacing w:after="0"/>
              <w:rPr>
                <w:sz w:val="20"/>
                <w:szCs w:val="20"/>
                <w:color w:val="auto"/>
              </w:rPr>
            </w:pPr>
            <w:r>
              <w:rPr>
                <w:rFonts w:ascii="Arial" w:cs="Arial" w:eastAsia="Arial" w:hAnsi="Arial"/>
                <w:sz w:val="18"/>
                <w:szCs w:val="18"/>
                <w:color w:val="auto"/>
              </w:rPr>
              <w:t>WITH</w:t>
            </w:r>
          </w:p>
        </w:tc>
        <w:tc>
          <w:tcPr>
            <w:tcW w:w="160" w:type="dxa"/>
            <w:vAlign w:val="bottom"/>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80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400" w:type="dxa"/>
            <w:vAlign w:val="bottom"/>
            <w:tcBorders>
              <w:left w:val="single" w:sz="8" w:color="auto"/>
            </w:tcBorders>
          </w:tcPr>
          <w:p>
            <w:pPr>
              <w:spacing w:after="0"/>
              <w:rPr>
                <w:sz w:val="10"/>
                <w:szCs w:val="10"/>
                <w:color w:val="auto"/>
              </w:rPr>
            </w:pPr>
          </w:p>
        </w:tc>
        <w:tc>
          <w:tcPr>
            <w:tcW w:w="1880" w:type="dxa"/>
            <w:vAlign w:val="bottom"/>
            <w:tcBorders>
              <w:right w:val="single" w:sz="8" w:color="auto"/>
            </w:tcBorders>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8060" w:type="dxa"/>
            <w:vAlign w:val="bottom"/>
            <w:tcBorders>
              <w:right w:val="single" w:sz="8" w:color="auto"/>
            </w:tcBorders>
            <w:vMerge w:val="restart"/>
          </w:tcPr>
          <w:p>
            <w:pPr>
              <w:ind w:left="200"/>
              <w:spacing w:after="0" w:line="294" w:lineRule="exact"/>
              <w:rPr>
                <w:sz w:val="20"/>
                <w:szCs w:val="20"/>
                <w:color w:val="auto"/>
              </w:rPr>
            </w:pPr>
            <w:r>
              <w:rPr>
                <w:rFonts w:ascii="Arial" w:cs="Arial" w:eastAsia="Arial" w:hAnsi="Arial"/>
                <w:sz w:val="18"/>
                <w:szCs w:val="18"/>
                <w:color w:val="auto"/>
              </w:rPr>
              <w:t>3,100,000</w:t>
            </w:r>
            <w:r>
              <w:rPr>
                <w:rFonts w:ascii="Arial" w:cs="Arial" w:eastAsia="Arial" w:hAnsi="Arial"/>
                <w:sz w:val="29"/>
                <w:szCs w:val="29"/>
                <w:color w:val="auto"/>
                <w:vertAlign w:val="superscript"/>
              </w:rPr>
              <w:t>(3)</w:t>
            </w:r>
          </w:p>
        </w:tc>
        <w:tc>
          <w:tcPr>
            <w:tcW w:w="0" w:type="dxa"/>
            <w:vAlign w:val="bottom"/>
          </w:tcPr>
          <w:p>
            <w:pPr>
              <w:spacing w:after="0"/>
              <w:rPr>
                <w:sz w:val="1"/>
                <w:szCs w:val="1"/>
                <w:color w:val="auto"/>
              </w:rPr>
            </w:pPr>
          </w:p>
        </w:tc>
      </w:tr>
      <w:tr>
        <w:trPr>
          <w:trHeight w:val="175"/>
        </w:trPr>
        <w:tc>
          <w:tcPr>
            <w:tcW w:w="400" w:type="dxa"/>
            <w:vAlign w:val="bottom"/>
            <w:tcBorders>
              <w:left w:val="single" w:sz="8" w:color="auto"/>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4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06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540" w:type="dxa"/>
            <w:vAlign w:val="bottom"/>
            <w:tcBorders>
              <w:right w:val="single" w:sz="8" w:color="auto"/>
            </w:tcBorders>
          </w:tcPr>
          <w:p>
            <w:pPr>
              <w:spacing w:after="0"/>
              <w:rPr>
                <w:sz w:val="19"/>
                <w:szCs w:val="19"/>
                <w:color w:val="auto"/>
              </w:rPr>
            </w:pPr>
          </w:p>
        </w:tc>
        <w:tc>
          <w:tcPr>
            <w:tcW w:w="10300" w:type="dxa"/>
            <w:vAlign w:val="bottom"/>
            <w:tcBorders>
              <w:right w:val="single" w:sz="8" w:color="auto"/>
            </w:tcBorders>
            <w:gridSpan w:val="4"/>
          </w:tcPr>
          <w:p>
            <w:pPr>
              <w:ind w:left="2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340" w:type="dxa"/>
            <w:vAlign w:val="bottom"/>
          </w:tcPr>
          <w:p>
            <w:pPr>
              <w:ind w:left="200"/>
              <w:spacing w:after="0"/>
              <w:rPr>
                <w:sz w:val="20"/>
                <w:szCs w:val="20"/>
                <w:color w:val="auto"/>
              </w:rPr>
            </w:pPr>
            <w:r>
              <w:rPr>
                <w:rFonts w:ascii="Arial" w:cs="Arial" w:eastAsia="Arial" w:hAnsi="Arial"/>
                <w:sz w:val="18"/>
                <w:szCs w:val="18"/>
                <w:color w:val="auto"/>
              </w:rPr>
              <w:t>3,100,000</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030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0" w:type="dxa"/>
            <w:vAlign w:val="bottom"/>
            <w:tcBorders>
              <w:left w:val="single" w:sz="8" w:color="auto"/>
            </w:tcBorders>
          </w:tcPr>
          <w:p>
            <w:pPr>
              <w:ind w:left="120"/>
              <w:spacing w:after="0" w:line="189" w:lineRule="exact"/>
              <w:rPr>
                <w:sz w:val="20"/>
                <w:szCs w:val="20"/>
                <w:color w:val="auto"/>
              </w:rPr>
            </w:pPr>
            <w:r>
              <w:rPr>
                <w:rFonts w:ascii="Arial" w:cs="Arial" w:eastAsia="Arial" w:hAnsi="Arial"/>
                <w:sz w:val="18"/>
                <w:szCs w:val="18"/>
                <w:color w:val="auto"/>
              </w:rPr>
              <w:t>12</w:t>
            </w:r>
          </w:p>
        </w:tc>
        <w:tc>
          <w:tcPr>
            <w:tcW w:w="540" w:type="dxa"/>
            <w:vAlign w:val="bottom"/>
            <w:tcBorders>
              <w:right w:val="single" w:sz="8" w:color="auto"/>
            </w:tcBorders>
          </w:tcPr>
          <w:p>
            <w:pPr>
              <w:spacing w:after="0"/>
              <w:rPr>
                <w:sz w:val="16"/>
                <w:szCs w:val="16"/>
                <w:color w:val="auto"/>
              </w:rPr>
            </w:pPr>
          </w:p>
        </w:tc>
        <w:tc>
          <w:tcPr>
            <w:tcW w:w="10300" w:type="dxa"/>
            <w:vAlign w:val="bottom"/>
            <w:tcBorders>
              <w:right w:val="single" w:sz="8" w:color="auto"/>
            </w:tcBorders>
            <w:gridSpan w:val="4"/>
          </w:tcPr>
          <w:p>
            <w:pPr>
              <w:ind w:left="200"/>
              <w:spacing w:after="0" w:line="189" w:lineRule="exact"/>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86"/>
        </w:trPr>
        <w:tc>
          <w:tcPr>
            <w:tcW w:w="40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gridSpan w:val="2"/>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Borders>
              <w:bottom w:val="single" w:sz="8" w:color="auto"/>
            </w:tcBorders>
          </w:tcPr>
          <w:p>
            <w:pPr>
              <w:spacing w:after="0"/>
              <w:rPr>
                <w:sz w:val="24"/>
                <w:szCs w:val="24"/>
                <w:color w:val="auto"/>
              </w:rPr>
            </w:pPr>
          </w:p>
        </w:tc>
        <w:tc>
          <w:tcPr>
            <w:tcW w:w="8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13</w:t>
            </w:r>
          </w:p>
        </w:tc>
        <w:tc>
          <w:tcPr>
            <w:tcW w:w="540" w:type="dxa"/>
            <w:vAlign w:val="bottom"/>
            <w:tcBorders>
              <w:right w:val="single" w:sz="8" w:color="auto"/>
            </w:tcBorders>
          </w:tcPr>
          <w:p>
            <w:pPr>
              <w:spacing w:after="0"/>
              <w:rPr>
                <w:sz w:val="19"/>
                <w:szCs w:val="19"/>
                <w:color w:val="auto"/>
              </w:rPr>
            </w:pPr>
          </w:p>
        </w:tc>
        <w:tc>
          <w:tcPr>
            <w:tcW w:w="10300" w:type="dxa"/>
            <w:vAlign w:val="bottom"/>
            <w:tcBorders>
              <w:right w:val="single" w:sz="8" w:color="auto"/>
            </w:tcBorders>
            <w:gridSpan w:val="4"/>
          </w:tcPr>
          <w:p>
            <w:pPr>
              <w:ind w:left="2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340" w:type="dxa"/>
            <w:vAlign w:val="bottom"/>
          </w:tcPr>
          <w:p>
            <w:pPr>
              <w:ind w:left="20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030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14</w:t>
            </w:r>
          </w:p>
        </w:tc>
        <w:tc>
          <w:tcPr>
            <w:tcW w:w="540" w:type="dxa"/>
            <w:vAlign w:val="bottom"/>
            <w:tcBorders>
              <w:right w:val="single" w:sz="8" w:color="auto"/>
            </w:tcBorders>
          </w:tcPr>
          <w:p>
            <w:pPr>
              <w:spacing w:after="0"/>
              <w:rPr>
                <w:sz w:val="19"/>
                <w:szCs w:val="19"/>
                <w:color w:val="auto"/>
              </w:rPr>
            </w:pPr>
          </w:p>
        </w:tc>
        <w:tc>
          <w:tcPr>
            <w:tcW w:w="10300" w:type="dxa"/>
            <w:vAlign w:val="bottom"/>
            <w:tcBorders>
              <w:right w:val="single" w:sz="8" w:color="auto"/>
            </w:tcBorders>
            <w:gridSpan w:val="4"/>
          </w:tcPr>
          <w:p>
            <w:pPr>
              <w:ind w:left="2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500" w:type="dxa"/>
            <w:vAlign w:val="bottom"/>
            <w:gridSpan w:val="2"/>
          </w:tcPr>
          <w:p>
            <w:pPr>
              <w:ind w:left="200"/>
              <w:spacing w:after="0"/>
              <w:rPr>
                <w:sz w:val="20"/>
                <w:szCs w:val="20"/>
                <w:color w:val="auto"/>
              </w:rPr>
            </w:pPr>
            <w:r>
              <w:rPr>
                <w:rFonts w:ascii="Arial" w:cs="Arial" w:eastAsia="Arial" w:hAnsi="Arial"/>
                <w:sz w:val="18"/>
                <w:szCs w:val="18"/>
                <w:color w:val="auto"/>
              </w:rPr>
              <w:t>OO</w:t>
            </w:r>
          </w:p>
        </w:tc>
        <w:tc>
          <w:tcPr>
            <w:tcW w:w="740" w:type="dxa"/>
            <w:vAlign w:val="bottom"/>
          </w:tcPr>
          <w:p>
            <w:pPr>
              <w:spacing w:after="0"/>
              <w:rPr>
                <w:sz w:val="20"/>
                <w:szCs w:val="20"/>
                <w:color w:val="auto"/>
              </w:rPr>
            </w:pPr>
          </w:p>
        </w:tc>
        <w:tc>
          <w:tcPr>
            <w:tcW w:w="8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8"/>
        <w:spacing w:after="0" w:line="263"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Een Pte. Limited, a private limited company under the Companies Act (Chapter 50) of Singapore, (“</w:t>
      </w:r>
      <w:r>
        <w:rPr>
          <w:rFonts w:ascii="Arial" w:cs="Arial" w:eastAsia="Arial" w:hAnsi="Arial"/>
          <w:sz w:val="18"/>
          <w:szCs w:val="18"/>
          <w:u w:val="single" w:color="auto"/>
          <w:color w:val="auto"/>
        </w:rPr>
        <w:t>Een</w:t>
      </w:r>
      <w:r>
        <w:rPr>
          <w:rFonts w:ascii="Arial" w:cs="Arial" w:eastAsia="Arial" w:hAnsi="Arial"/>
          <w:sz w:val="18"/>
          <w:szCs w:val="18"/>
          <w:color w:val="auto"/>
        </w:rPr>
        <w:t>”), owns 740 ordinary shares, or approximately 74% of the outstanding capital stock, of One Spire, and therefore shares voting and dispositive power over the 3,100,000 Ordinary Shares held by One Spire.</w:t>
      </w:r>
    </w:p>
    <w:p>
      <w:pPr>
        <w:sectPr>
          <w:pgSz w:w="11900" w:h="16838" w:orient="portrait"/>
          <w:cols w:equalWidth="0" w:num="1">
            <w:col w:w="11240"/>
          </w:cols>
          <w:pgMar w:left="320" w:top="476"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Y4600W108</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400" w:type="dxa"/>
            <w:vAlign w:val="bottom"/>
            <w:tcBorders>
              <w:top w:val="single" w:sz="8" w:color="auto"/>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540" w:type="dxa"/>
            <w:vAlign w:val="bottom"/>
            <w:tcBorders>
              <w:top w:val="single" w:sz="8" w:color="auto"/>
              <w:right w:val="single" w:sz="8" w:color="auto"/>
            </w:tcBorders>
          </w:tcPr>
          <w:p>
            <w:pPr>
              <w:spacing w:after="0"/>
              <w:rPr>
                <w:sz w:val="21"/>
                <w:szCs w:val="21"/>
                <w:color w:val="auto"/>
              </w:rPr>
            </w:pPr>
          </w:p>
        </w:tc>
        <w:tc>
          <w:tcPr>
            <w:tcW w:w="10300" w:type="dxa"/>
            <w:vAlign w:val="bottom"/>
            <w:tcBorders>
              <w:top w:val="single" w:sz="8" w:color="auto"/>
              <w:right w:val="single" w:sz="8" w:color="auto"/>
            </w:tcBorders>
            <w:gridSpan w:val="4"/>
          </w:tcPr>
          <w:p>
            <w:pPr>
              <w:ind w:left="2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500" w:type="dxa"/>
            <w:vAlign w:val="bottom"/>
            <w:gridSpan w:val="2"/>
          </w:tcPr>
          <w:p>
            <w:pPr>
              <w:ind w:left="200"/>
              <w:spacing w:after="0"/>
              <w:rPr>
                <w:sz w:val="20"/>
                <w:szCs w:val="20"/>
                <w:color w:val="auto"/>
              </w:rPr>
            </w:pPr>
            <w:r>
              <w:rPr>
                <w:rFonts w:ascii="Arial" w:cs="Arial" w:eastAsia="Arial" w:hAnsi="Arial"/>
                <w:sz w:val="18"/>
                <w:szCs w:val="18"/>
                <w:color w:val="auto"/>
              </w:rPr>
              <w:t>Hong Yap Lau</w:t>
            </w:r>
          </w:p>
        </w:tc>
        <w:tc>
          <w:tcPr>
            <w:tcW w:w="740" w:type="dxa"/>
            <w:vAlign w:val="bottom"/>
          </w:tcPr>
          <w:p>
            <w:pPr>
              <w:spacing w:after="0"/>
              <w:rPr>
                <w:sz w:val="20"/>
                <w:szCs w:val="20"/>
                <w:color w:val="auto"/>
              </w:rPr>
            </w:pPr>
          </w:p>
        </w:tc>
        <w:tc>
          <w:tcPr>
            <w:tcW w:w="8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0" w:type="dxa"/>
            <w:vAlign w:val="bottom"/>
            <w:tcBorders>
              <w:left w:val="single" w:sz="8" w:color="auto"/>
            </w:tcBorders>
          </w:tcPr>
          <w:p>
            <w:pPr>
              <w:ind w:left="120"/>
              <w:spacing w:after="0" w:line="189" w:lineRule="exact"/>
              <w:rPr>
                <w:sz w:val="20"/>
                <w:szCs w:val="20"/>
                <w:color w:val="auto"/>
              </w:rPr>
            </w:pPr>
            <w:r>
              <w:rPr>
                <w:rFonts w:ascii="Arial" w:cs="Arial" w:eastAsia="Arial" w:hAnsi="Arial"/>
                <w:sz w:val="18"/>
                <w:szCs w:val="18"/>
                <w:color w:val="auto"/>
              </w:rPr>
              <w:t>2</w:t>
            </w:r>
          </w:p>
        </w:tc>
        <w:tc>
          <w:tcPr>
            <w:tcW w:w="540" w:type="dxa"/>
            <w:vAlign w:val="bottom"/>
            <w:tcBorders>
              <w:right w:val="single" w:sz="8" w:color="auto"/>
            </w:tcBorders>
          </w:tcPr>
          <w:p>
            <w:pPr>
              <w:spacing w:after="0"/>
              <w:rPr>
                <w:sz w:val="16"/>
                <w:szCs w:val="16"/>
                <w:color w:val="auto"/>
              </w:rPr>
            </w:pPr>
          </w:p>
        </w:tc>
        <w:tc>
          <w:tcPr>
            <w:tcW w:w="10300" w:type="dxa"/>
            <w:vAlign w:val="bottom"/>
            <w:tcBorders>
              <w:right w:val="single" w:sz="8" w:color="auto"/>
            </w:tcBorders>
            <w:gridSpan w:val="4"/>
          </w:tcPr>
          <w:p>
            <w:pPr>
              <w:ind w:left="200"/>
              <w:spacing w:after="0" w:line="18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6"/>
        </w:trPr>
        <w:tc>
          <w:tcPr>
            <w:tcW w:w="40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gridSpan w:val="2"/>
          </w:tcPr>
          <w:p>
            <w:pPr>
              <w:ind w:left="2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740" w:type="dxa"/>
            <w:vAlign w:val="bottom"/>
            <w:tcBorders>
              <w:bottom w:val="single" w:sz="8" w:color="auto"/>
            </w:tcBorders>
          </w:tcPr>
          <w:p>
            <w:pPr>
              <w:spacing w:after="0"/>
              <w:rPr>
                <w:sz w:val="24"/>
                <w:szCs w:val="24"/>
                <w:color w:val="auto"/>
              </w:rPr>
            </w:pPr>
          </w:p>
        </w:tc>
        <w:tc>
          <w:tcPr>
            <w:tcW w:w="8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540" w:type="dxa"/>
            <w:vAlign w:val="bottom"/>
            <w:tcBorders>
              <w:right w:val="single" w:sz="8" w:color="auto"/>
            </w:tcBorders>
          </w:tcPr>
          <w:p>
            <w:pPr>
              <w:spacing w:after="0"/>
              <w:rPr>
                <w:sz w:val="20"/>
                <w:szCs w:val="20"/>
                <w:color w:val="auto"/>
              </w:rPr>
            </w:pPr>
          </w:p>
        </w:tc>
        <w:tc>
          <w:tcPr>
            <w:tcW w:w="1500" w:type="dxa"/>
            <w:vAlign w:val="bottom"/>
            <w:gridSpan w:val="2"/>
          </w:tcPr>
          <w:p>
            <w:pPr>
              <w:ind w:left="200"/>
              <w:spacing w:after="0"/>
              <w:rPr>
                <w:sz w:val="20"/>
                <w:szCs w:val="20"/>
                <w:color w:val="auto"/>
              </w:rPr>
            </w:pPr>
            <w:r>
              <w:rPr>
                <w:rFonts w:ascii="Arial" w:cs="Arial" w:eastAsia="Arial" w:hAnsi="Arial"/>
                <w:sz w:val="18"/>
                <w:szCs w:val="18"/>
                <w:color w:val="auto"/>
                <w:w w:val="96"/>
              </w:rPr>
              <w:t>SEC USE ONLY</w:t>
            </w:r>
          </w:p>
        </w:tc>
        <w:tc>
          <w:tcPr>
            <w:tcW w:w="740" w:type="dxa"/>
            <w:vAlign w:val="bottom"/>
          </w:tcPr>
          <w:p>
            <w:pPr>
              <w:spacing w:after="0"/>
              <w:rPr>
                <w:sz w:val="20"/>
                <w:szCs w:val="20"/>
                <w:color w:val="auto"/>
              </w:rPr>
            </w:pPr>
          </w:p>
        </w:tc>
        <w:tc>
          <w:tcPr>
            <w:tcW w:w="8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540" w:type="dxa"/>
            <w:vAlign w:val="bottom"/>
            <w:tcBorders>
              <w:right w:val="single" w:sz="8" w:color="auto"/>
            </w:tcBorders>
          </w:tcPr>
          <w:p>
            <w:pPr>
              <w:spacing w:after="0"/>
              <w:rPr>
                <w:sz w:val="19"/>
                <w:szCs w:val="19"/>
                <w:color w:val="auto"/>
              </w:rPr>
            </w:pPr>
          </w:p>
        </w:tc>
        <w:tc>
          <w:tcPr>
            <w:tcW w:w="10300" w:type="dxa"/>
            <w:vAlign w:val="bottom"/>
            <w:tcBorders>
              <w:right w:val="single" w:sz="8" w:color="auto"/>
            </w:tcBorders>
            <w:gridSpan w:val="4"/>
          </w:tcPr>
          <w:p>
            <w:pPr>
              <w:ind w:left="20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500" w:type="dxa"/>
            <w:vAlign w:val="bottom"/>
            <w:gridSpan w:val="2"/>
          </w:tcPr>
          <w:p>
            <w:pPr>
              <w:ind w:left="200"/>
              <w:spacing w:after="0"/>
              <w:rPr>
                <w:sz w:val="20"/>
                <w:szCs w:val="20"/>
                <w:color w:val="auto"/>
              </w:rPr>
            </w:pPr>
            <w:r>
              <w:rPr>
                <w:rFonts w:ascii="Arial" w:cs="Arial" w:eastAsia="Arial" w:hAnsi="Arial"/>
                <w:sz w:val="18"/>
                <w:szCs w:val="18"/>
                <w:color w:val="auto"/>
              </w:rPr>
              <w:t>OO</w:t>
            </w:r>
          </w:p>
        </w:tc>
        <w:tc>
          <w:tcPr>
            <w:tcW w:w="740" w:type="dxa"/>
            <w:vAlign w:val="bottom"/>
          </w:tcPr>
          <w:p>
            <w:pPr>
              <w:spacing w:after="0"/>
              <w:rPr>
                <w:sz w:val="20"/>
                <w:szCs w:val="20"/>
                <w:color w:val="auto"/>
              </w:rPr>
            </w:pPr>
          </w:p>
        </w:tc>
        <w:tc>
          <w:tcPr>
            <w:tcW w:w="8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0" w:type="dxa"/>
            <w:vAlign w:val="bottom"/>
            <w:tcBorders>
              <w:left w:val="single" w:sz="8" w:color="auto"/>
            </w:tcBorders>
          </w:tcPr>
          <w:p>
            <w:pPr>
              <w:ind w:left="120"/>
              <w:spacing w:after="0" w:line="189" w:lineRule="exact"/>
              <w:rPr>
                <w:sz w:val="20"/>
                <w:szCs w:val="20"/>
                <w:color w:val="auto"/>
              </w:rPr>
            </w:pPr>
            <w:r>
              <w:rPr>
                <w:rFonts w:ascii="Arial" w:cs="Arial" w:eastAsia="Arial" w:hAnsi="Arial"/>
                <w:sz w:val="18"/>
                <w:szCs w:val="18"/>
                <w:color w:val="auto"/>
              </w:rPr>
              <w:t>5</w:t>
            </w:r>
          </w:p>
        </w:tc>
        <w:tc>
          <w:tcPr>
            <w:tcW w:w="540" w:type="dxa"/>
            <w:vAlign w:val="bottom"/>
            <w:tcBorders>
              <w:right w:val="single" w:sz="8" w:color="auto"/>
            </w:tcBorders>
          </w:tcPr>
          <w:p>
            <w:pPr>
              <w:spacing w:after="0"/>
              <w:rPr>
                <w:sz w:val="16"/>
                <w:szCs w:val="16"/>
                <w:color w:val="auto"/>
              </w:rPr>
            </w:pPr>
          </w:p>
        </w:tc>
        <w:tc>
          <w:tcPr>
            <w:tcW w:w="10300" w:type="dxa"/>
            <w:vAlign w:val="bottom"/>
            <w:tcBorders>
              <w:right w:val="single" w:sz="8" w:color="auto"/>
            </w:tcBorders>
            <w:gridSpan w:val="4"/>
          </w:tcPr>
          <w:p>
            <w:pPr>
              <w:ind w:left="200"/>
              <w:spacing w:after="0" w:line="189" w:lineRule="exact"/>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86"/>
        </w:trPr>
        <w:tc>
          <w:tcPr>
            <w:tcW w:w="40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gridSpan w:val="2"/>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Borders>
              <w:bottom w:val="single" w:sz="8" w:color="auto"/>
            </w:tcBorders>
          </w:tcPr>
          <w:p>
            <w:pPr>
              <w:spacing w:after="0"/>
              <w:rPr>
                <w:sz w:val="24"/>
                <w:szCs w:val="24"/>
                <w:color w:val="auto"/>
              </w:rPr>
            </w:pPr>
          </w:p>
        </w:tc>
        <w:tc>
          <w:tcPr>
            <w:tcW w:w="8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6</w:t>
            </w:r>
          </w:p>
        </w:tc>
        <w:tc>
          <w:tcPr>
            <w:tcW w:w="540" w:type="dxa"/>
            <w:vAlign w:val="bottom"/>
            <w:tcBorders>
              <w:right w:val="single" w:sz="8" w:color="auto"/>
            </w:tcBorders>
          </w:tcPr>
          <w:p>
            <w:pPr>
              <w:spacing w:after="0"/>
              <w:rPr>
                <w:sz w:val="19"/>
                <w:szCs w:val="19"/>
                <w:color w:val="auto"/>
              </w:rPr>
            </w:pPr>
          </w:p>
        </w:tc>
        <w:tc>
          <w:tcPr>
            <w:tcW w:w="10300" w:type="dxa"/>
            <w:vAlign w:val="bottom"/>
            <w:tcBorders>
              <w:right w:val="single" w:sz="8" w:color="auto"/>
            </w:tcBorders>
            <w:gridSpan w:val="4"/>
          </w:tcPr>
          <w:p>
            <w:pPr>
              <w:ind w:left="2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500" w:type="dxa"/>
            <w:vAlign w:val="bottom"/>
            <w:gridSpan w:val="2"/>
          </w:tcPr>
          <w:p>
            <w:pPr>
              <w:ind w:left="200"/>
              <w:spacing w:after="0"/>
              <w:rPr>
                <w:sz w:val="20"/>
                <w:szCs w:val="20"/>
                <w:color w:val="auto"/>
              </w:rPr>
            </w:pPr>
            <w:r>
              <w:rPr>
                <w:rFonts w:ascii="Arial" w:cs="Arial" w:eastAsia="Arial" w:hAnsi="Arial"/>
                <w:sz w:val="18"/>
                <w:szCs w:val="18"/>
                <w:color w:val="auto"/>
              </w:rPr>
              <w:t>Malaysia</w:t>
            </w:r>
          </w:p>
        </w:tc>
        <w:tc>
          <w:tcPr>
            <w:tcW w:w="740" w:type="dxa"/>
            <w:vAlign w:val="bottom"/>
          </w:tcPr>
          <w:p>
            <w:pPr>
              <w:spacing w:after="0"/>
              <w:rPr>
                <w:sz w:val="20"/>
                <w:szCs w:val="20"/>
                <w:color w:val="auto"/>
              </w:rPr>
            </w:pPr>
          </w:p>
        </w:tc>
        <w:tc>
          <w:tcPr>
            <w:tcW w:w="8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400" w:type="dxa"/>
            <w:vAlign w:val="bottom"/>
            <w:tcBorders>
              <w:left w:val="single" w:sz="8" w:color="auto"/>
            </w:tcBorders>
          </w:tcPr>
          <w:p>
            <w:pPr>
              <w:spacing w:after="0"/>
              <w:rPr>
                <w:sz w:val="19"/>
                <w:szCs w:val="19"/>
                <w:color w:val="auto"/>
              </w:rPr>
            </w:pPr>
          </w:p>
        </w:tc>
        <w:tc>
          <w:tcPr>
            <w:tcW w:w="1880" w:type="dxa"/>
            <w:vAlign w:val="bottom"/>
            <w:tcBorders>
              <w:right w:val="single" w:sz="8" w:color="auto"/>
            </w:tcBorders>
            <w:gridSpan w:val="2"/>
            <w:vMerge w:val="restart"/>
          </w:tcPr>
          <w:p>
            <w:pPr>
              <w:jc w:val="center"/>
              <w:ind w:right="310"/>
              <w:spacing w:after="0"/>
              <w:rPr>
                <w:sz w:val="20"/>
                <w:szCs w:val="20"/>
                <w:color w:val="auto"/>
              </w:rPr>
            </w:pPr>
            <w:r>
              <w:rPr>
                <w:rFonts w:ascii="Arial" w:cs="Arial" w:eastAsia="Arial" w:hAnsi="Arial"/>
                <w:sz w:val="18"/>
                <w:szCs w:val="18"/>
                <w:color w:val="auto"/>
                <w:w w:val="96"/>
              </w:rPr>
              <w:t>NUMBER OF</w:t>
            </w:r>
          </w:p>
        </w:tc>
        <w:tc>
          <w:tcPr>
            <w:tcW w:w="160" w:type="dxa"/>
            <w:vAlign w:val="bottom"/>
          </w:tcPr>
          <w:p>
            <w:pPr>
              <w:spacing w:after="0"/>
              <w:rPr>
                <w:sz w:val="19"/>
                <w:szCs w:val="19"/>
                <w:color w:val="auto"/>
              </w:rPr>
            </w:pPr>
          </w:p>
        </w:tc>
        <w:tc>
          <w:tcPr>
            <w:tcW w:w="7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7</w:t>
            </w:r>
          </w:p>
        </w:tc>
        <w:tc>
          <w:tcPr>
            <w:tcW w:w="80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31"/>
        </w:trPr>
        <w:tc>
          <w:tcPr>
            <w:tcW w:w="400" w:type="dxa"/>
            <w:vAlign w:val="bottom"/>
            <w:tcBorders>
              <w:left w:val="single" w:sz="8" w:color="auto"/>
            </w:tcBorders>
          </w:tcPr>
          <w:p>
            <w:pPr>
              <w:spacing w:after="0"/>
              <w:rPr>
                <w:sz w:val="11"/>
                <w:szCs w:val="11"/>
                <w:color w:val="auto"/>
              </w:rPr>
            </w:pPr>
          </w:p>
        </w:tc>
        <w:tc>
          <w:tcPr>
            <w:tcW w:w="1880" w:type="dxa"/>
            <w:vAlign w:val="bottom"/>
            <w:tcBorders>
              <w:right w:val="single" w:sz="8" w:color="auto"/>
            </w:tcBorders>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8060" w:type="dxa"/>
            <w:vAlign w:val="bottom"/>
            <w:tcBorders>
              <w:right w:val="single" w:sz="8" w:color="auto"/>
            </w:tcBorders>
            <w:vMerge w:val="restart"/>
          </w:tcPr>
          <w:p>
            <w:pPr>
              <w:ind w:left="200"/>
              <w:spacing w:after="0" w:line="294" w:lineRule="exact"/>
              <w:rPr>
                <w:sz w:val="20"/>
                <w:szCs w:val="20"/>
                <w:color w:val="auto"/>
              </w:rPr>
            </w:pPr>
            <w:r>
              <w:rPr>
                <w:rFonts w:ascii="Arial" w:cs="Arial" w:eastAsia="Arial" w:hAnsi="Arial"/>
                <w:sz w:val="18"/>
                <w:szCs w:val="18"/>
                <w:color w:val="auto"/>
              </w:rPr>
              <w:t>3,100,000</w:t>
            </w:r>
            <w:r>
              <w:rPr>
                <w:rFonts w:ascii="Arial" w:cs="Arial" w:eastAsia="Arial" w:hAnsi="Arial"/>
                <w:sz w:val="29"/>
                <w:szCs w:val="29"/>
                <w:color w:val="auto"/>
                <w:vertAlign w:val="superscript"/>
              </w:rPr>
              <w:t>(4)</w:t>
            </w:r>
          </w:p>
        </w:tc>
        <w:tc>
          <w:tcPr>
            <w:tcW w:w="0" w:type="dxa"/>
            <w:vAlign w:val="bottom"/>
          </w:tcPr>
          <w:p>
            <w:pPr>
              <w:spacing w:after="0"/>
              <w:rPr>
                <w:sz w:val="1"/>
                <w:szCs w:val="1"/>
                <w:color w:val="auto"/>
              </w:rPr>
            </w:pPr>
          </w:p>
        </w:tc>
      </w:tr>
      <w:tr>
        <w:trPr>
          <w:trHeight w:val="163"/>
        </w:trPr>
        <w:tc>
          <w:tcPr>
            <w:tcW w:w="400" w:type="dxa"/>
            <w:vAlign w:val="bottom"/>
            <w:tcBorders>
              <w:left w:val="single" w:sz="8" w:color="auto"/>
            </w:tcBorders>
          </w:tcPr>
          <w:p>
            <w:pPr>
              <w:spacing w:after="0"/>
              <w:rPr>
                <w:sz w:val="14"/>
                <w:szCs w:val="14"/>
                <w:color w:val="auto"/>
              </w:rPr>
            </w:pPr>
          </w:p>
        </w:tc>
        <w:tc>
          <w:tcPr>
            <w:tcW w:w="1880" w:type="dxa"/>
            <w:vAlign w:val="bottom"/>
            <w:tcBorders>
              <w:right w:val="single" w:sz="8" w:color="auto"/>
            </w:tcBorders>
            <w:gridSpan w:val="2"/>
          </w:tcPr>
          <w:p>
            <w:pPr>
              <w:jc w:val="center"/>
              <w:ind w:right="310"/>
              <w:spacing w:after="0" w:line="157" w:lineRule="exact"/>
              <w:rPr>
                <w:sz w:val="20"/>
                <w:szCs w:val="20"/>
                <w:color w:val="auto"/>
              </w:rPr>
            </w:pPr>
            <w:r>
              <w:rPr>
                <w:rFonts w:ascii="Arial" w:cs="Arial" w:eastAsia="Arial" w:hAnsi="Arial"/>
                <w:sz w:val="18"/>
                <w:szCs w:val="18"/>
                <w:color w:val="auto"/>
                <w:w w:val="91"/>
              </w:rPr>
              <w:t>SHARES</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806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00" w:type="dxa"/>
            <w:vAlign w:val="bottom"/>
            <w:tcBorders>
              <w:left w:val="single" w:sz="8" w:color="auto"/>
            </w:tcBorders>
          </w:tcPr>
          <w:p>
            <w:pPr>
              <w:spacing w:after="0"/>
              <w:rPr>
                <w:sz w:val="19"/>
                <w:szCs w:val="19"/>
                <w:color w:val="auto"/>
              </w:rPr>
            </w:pPr>
          </w:p>
        </w:tc>
        <w:tc>
          <w:tcPr>
            <w:tcW w:w="188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rPr>
              <w:t>BENEFICIALLY</w:t>
            </w:r>
          </w:p>
        </w:tc>
        <w:tc>
          <w:tcPr>
            <w:tcW w:w="160" w:type="dxa"/>
            <w:vAlign w:val="bottom"/>
          </w:tcPr>
          <w:p>
            <w:pPr>
              <w:spacing w:after="0"/>
              <w:rPr>
                <w:sz w:val="19"/>
                <w:szCs w:val="19"/>
                <w:color w:val="auto"/>
              </w:rPr>
            </w:pPr>
          </w:p>
        </w:tc>
        <w:tc>
          <w:tcPr>
            <w:tcW w:w="7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8</w:t>
            </w:r>
          </w:p>
        </w:tc>
        <w:tc>
          <w:tcPr>
            <w:tcW w:w="80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7"/>
        </w:trPr>
        <w:tc>
          <w:tcPr>
            <w:tcW w:w="400" w:type="dxa"/>
            <w:vAlign w:val="bottom"/>
            <w:tcBorders>
              <w:left w:val="single" w:sz="8" w:color="auto"/>
            </w:tcBorders>
          </w:tcPr>
          <w:p>
            <w:pPr>
              <w:spacing w:after="0"/>
              <w:rPr>
                <w:sz w:val="22"/>
                <w:szCs w:val="22"/>
                <w:color w:val="auto"/>
              </w:rPr>
            </w:pPr>
          </w:p>
        </w:tc>
        <w:tc>
          <w:tcPr>
            <w:tcW w:w="188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97"/>
              </w:rPr>
              <w:t>OWNED BY</w:t>
            </w: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spacing w:after="0"/>
              <w:rPr>
                <w:sz w:val="22"/>
                <w:szCs w:val="22"/>
                <w:color w:val="auto"/>
              </w:rPr>
            </w:pPr>
          </w:p>
        </w:tc>
        <w:tc>
          <w:tcPr>
            <w:tcW w:w="80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3"/>
        </w:trPr>
        <w:tc>
          <w:tcPr>
            <w:tcW w:w="400" w:type="dxa"/>
            <w:vAlign w:val="bottom"/>
            <w:tcBorders>
              <w:left w:val="single" w:sz="8" w:color="auto"/>
            </w:tcBorders>
          </w:tcPr>
          <w:p>
            <w:pPr>
              <w:spacing w:after="0"/>
              <w:rPr>
                <w:sz w:val="15"/>
                <w:szCs w:val="15"/>
                <w:color w:val="auto"/>
              </w:rPr>
            </w:pPr>
          </w:p>
        </w:tc>
        <w:tc>
          <w:tcPr>
            <w:tcW w:w="1880" w:type="dxa"/>
            <w:vAlign w:val="bottom"/>
            <w:tcBorders>
              <w:right w:val="single" w:sz="8" w:color="auto"/>
            </w:tcBorders>
            <w:gridSpan w:val="2"/>
          </w:tcPr>
          <w:p>
            <w:pPr>
              <w:jc w:val="center"/>
              <w:ind w:right="310"/>
              <w:spacing w:after="0" w:line="182" w:lineRule="exact"/>
              <w:rPr>
                <w:sz w:val="20"/>
                <w:szCs w:val="20"/>
                <w:color w:val="auto"/>
              </w:rPr>
            </w:pPr>
            <w:r>
              <w:rPr>
                <w:rFonts w:ascii="Arial" w:cs="Arial" w:eastAsia="Arial" w:hAnsi="Arial"/>
                <w:sz w:val="18"/>
                <w:szCs w:val="18"/>
                <w:color w:val="auto"/>
                <w:w w:val="95"/>
              </w:rPr>
              <w:t>EACH</w:t>
            </w:r>
          </w:p>
        </w:tc>
        <w:tc>
          <w:tcPr>
            <w:tcW w:w="160" w:type="dxa"/>
            <w:vAlign w:val="bottom"/>
          </w:tcPr>
          <w:p>
            <w:pPr>
              <w:spacing w:after="0"/>
              <w:rPr>
                <w:sz w:val="15"/>
                <w:szCs w:val="15"/>
                <w:color w:val="auto"/>
              </w:rPr>
            </w:pPr>
          </w:p>
        </w:tc>
        <w:tc>
          <w:tcPr>
            <w:tcW w:w="74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8"/>
                <w:szCs w:val="18"/>
                <w:color w:val="auto"/>
              </w:rPr>
              <w:t>9</w:t>
            </w:r>
          </w:p>
        </w:tc>
        <w:tc>
          <w:tcPr>
            <w:tcW w:w="8060" w:type="dxa"/>
            <w:vAlign w:val="bottom"/>
            <w:tcBorders>
              <w:right w:val="single" w:sz="8" w:color="auto"/>
            </w:tcBorders>
          </w:tcPr>
          <w:p>
            <w:pPr>
              <w:ind w:left="2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7"/>
        </w:trPr>
        <w:tc>
          <w:tcPr>
            <w:tcW w:w="400" w:type="dxa"/>
            <w:vAlign w:val="bottom"/>
            <w:tcBorders>
              <w:left w:val="single" w:sz="8" w:color="auto"/>
            </w:tcBorders>
          </w:tcPr>
          <w:p>
            <w:pPr>
              <w:spacing w:after="0"/>
              <w:rPr>
                <w:sz w:val="22"/>
                <w:szCs w:val="22"/>
                <w:color w:val="auto"/>
              </w:rPr>
            </w:pPr>
          </w:p>
        </w:tc>
        <w:tc>
          <w:tcPr>
            <w:tcW w:w="188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93"/>
              </w:rPr>
              <w:t>REPORTING</w:t>
            </w:r>
          </w:p>
        </w:tc>
        <w:tc>
          <w:tcPr>
            <w:tcW w:w="160" w:type="dxa"/>
            <w:vAlign w:val="bottom"/>
          </w:tcPr>
          <w:p>
            <w:pPr>
              <w:spacing w:after="0"/>
              <w:rPr>
                <w:sz w:val="22"/>
                <w:szCs w:val="22"/>
                <w:color w:val="auto"/>
              </w:rPr>
            </w:pPr>
          </w:p>
        </w:tc>
        <w:tc>
          <w:tcPr>
            <w:tcW w:w="740" w:type="dxa"/>
            <w:vAlign w:val="bottom"/>
            <w:tcBorders>
              <w:right w:val="single" w:sz="8" w:color="auto"/>
            </w:tcBorders>
          </w:tcPr>
          <w:p>
            <w:pPr>
              <w:spacing w:after="0"/>
              <w:rPr>
                <w:sz w:val="22"/>
                <w:szCs w:val="22"/>
                <w:color w:val="auto"/>
              </w:rPr>
            </w:pPr>
          </w:p>
        </w:tc>
        <w:tc>
          <w:tcPr>
            <w:tcW w:w="8060" w:type="dxa"/>
            <w:vAlign w:val="bottom"/>
            <w:tcBorders>
              <w:right w:val="single" w:sz="8" w:color="auto"/>
            </w:tcBorders>
          </w:tcPr>
          <w:p>
            <w:pPr>
              <w:ind w:left="200"/>
              <w:spacing w:after="0" w:line="256" w:lineRule="exact"/>
              <w:rPr>
                <w:sz w:val="20"/>
                <w:szCs w:val="20"/>
                <w:color w:val="auto"/>
              </w:rPr>
            </w:pPr>
            <w:r>
              <w:rPr>
                <w:rFonts w:ascii="Arial" w:cs="Arial" w:eastAsia="Arial" w:hAnsi="Arial"/>
                <w:sz w:val="18"/>
                <w:szCs w:val="18"/>
                <w:color w:val="auto"/>
              </w:rPr>
              <w:t>3,100,000</w:t>
            </w:r>
            <w:r>
              <w:rPr>
                <w:rFonts w:ascii="Arial" w:cs="Arial" w:eastAsia="Arial" w:hAnsi="Arial"/>
                <w:sz w:val="29"/>
                <w:szCs w:val="29"/>
                <w:color w:val="auto"/>
                <w:vertAlign w:val="superscript"/>
              </w:rPr>
              <w:t>(4)</w:t>
            </w:r>
          </w:p>
        </w:tc>
        <w:tc>
          <w:tcPr>
            <w:tcW w:w="0" w:type="dxa"/>
            <w:vAlign w:val="bottom"/>
          </w:tcPr>
          <w:p>
            <w:pPr>
              <w:spacing w:after="0"/>
              <w:rPr>
                <w:sz w:val="1"/>
                <w:szCs w:val="1"/>
                <w:color w:val="auto"/>
              </w:rPr>
            </w:pPr>
          </w:p>
        </w:tc>
      </w:tr>
      <w:tr>
        <w:trPr>
          <w:trHeight w:val="81"/>
        </w:trPr>
        <w:tc>
          <w:tcPr>
            <w:tcW w:w="400" w:type="dxa"/>
            <w:vAlign w:val="bottom"/>
            <w:tcBorders>
              <w:left w:val="single" w:sz="8" w:color="auto"/>
            </w:tcBorders>
          </w:tcPr>
          <w:p>
            <w:pPr>
              <w:spacing w:after="0"/>
              <w:rPr>
                <w:sz w:val="7"/>
                <w:szCs w:val="7"/>
                <w:color w:val="auto"/>
              </w:rPr>
            </w:pPr>
          </w:p>
        </w:tc>
        <w:tc>
          <w:tcPr>
            <w:tcW w:w="1880" w:type="dxa"/>
            <w:vAlign w:val="bottom"/>
            <w:tcBorders>
              <w:right w:val="single" w:sz="8" w:color="auto"/>
            </w:tcBorders>
            <w:gridSpan w:val="2"/>
            <w:vMerge w:val="restart"/>
          </w:tcPr>
          <w:p>
            <w:pPr>
              <w:jc w:val="center"/>
              <w:ind w:right="310"/>
              <w:spacing w:after="0" w:line="175" w:lineRule="exact"/>
              <w:rPr>
                <w:sz w:val="20"/>
                <w:szCs w:val="20"/>
                <w:color w:val="auto"/>
              </w:rPr>
            </w:pPr>
            <w:r>
              <w:rPr>
                <w:rFonts w:ascii="Arial" w:cs="Arial" w:eastAsia="Arial" w:hAnsi="Arial"/>
                <w:sz w:val="18"/>
                <w:szCs w:val="18"/>
                <w:color w:val="auto"/>
                <w:w w:val="89"/>
              </w:rPr>
              <w:t>PERSON</w:t>
            </w:r>
          </w:p>
        </w:tc>
        <w:tc>
          <w:tcPr>
            <w:tcW w:w="160" w:type="dxa"/>
            <w:vAlign w:val="bottom"/>
            <w:tcBorders>
              <w:bottom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80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400" w:type="dxa"/>
            <w:vAlign w:val="bottom"/>
            <w:tcBorders>
              <w:left w:val="single" w:sz="8" w:color="auto"/>
            </w:tcBorders>
          </w:tcPr>
          <w:p>
            <w:pPr>
              <w:spacing w:after="0"/>
              <w:rPr>
                <w:sz w:val="6"/>
                <w:szCs w:val="6"/>
                <w:color w:val="auto"/>
              </w:rPr>
            </w:pPr>
          </w:p>
        </w:tc>
        <w:tc>
          <w:tcPr>
            <w:tcW w:w="1880" w:type="dxa"/>
            <w:vAlign w:val="bottom"/>
            <w:tcBorders>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10</w:t>
            </w:r>
          </w:p>
        </w:tc>
        <w:tc>
          <w:tcPr>
            <w:tcW w:w="806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8"/>
        </w:trPr>
        <w:tc>
          <w:tcPr>
            <w:tcW w:w="400" w:type="dxa"/>
            <w:vAlign w:val="bottom"/>
            <w:tcBorders>
              <w:left w:val="single" w:sz="8" w:color="auto"/>
            </w:tcBorders>
          </w:tcPr>
          <w:p>
            <w:pPr>
              <w:spacing w:after="0"/>
              <w:rPr>
                <w:sz w:val="12"/>
                <w:szCs w:val="12"/>
                <w:color w:val="auto"/>
              </w:rPr>
            </w:pPr>
          </w:p>
        </w:tc>
        <w:tc>
          <w:tcPr>
            <w:tcW w:w="1880" w:type="dxa"/>
            <w:vAlign w:val="bottom"/>
            <w:tcBorders>
              <w:right w:val="single" w:sz="8" w:color="auto"/>
            </w:tcBorders>
            <w:gridSpan w:val="2"/>
            <w:vMerge w:val="restart"/>
          </w:tcPr>
          <w:p>
            <w:pPr>
              <w:jc w:val="center"/>
              <w:ind w:right="310"/>
              <w:spacing w:after="0"/>
              <w:rPr>
                <w:sz w:val="20"/>
                <w:szCs w:val="20"/>
                <w:color w:val="auto"/>
              </w:rPr>
            </w:pPr>
            <w:r>
              <w:rPr>
                <w:rFonts w:ascii="Arial" w:cs="Arial" w:eastAsia="Arial" w:hAnsi="Arial"/>
                <w:sz w:val="18"/>
                <w:szCs w:val="18"/>
                <w:color w:val="auto"/>
              </w:rPr>
              <w:t>WITH</w:t>
            </w:r>
          </w:p>
        </w:tc>
        <w:tc>
          <w:tcPr>
            <w:tcW w:w="160" w:type="dxa"/>
            <w:vAlign w:val="bottom"/>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80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400" w:type="dxa"/>
            <w:vAlign w:val="bottom"/>
            <w:tcBorders>
              <w:left w:val="single" w:sz="8" w:color="auto"/>
            </w:tcBorders>
          </w:tcPr>
          <w:p>
            <w:pPr>
              <w:spacing w:after="0"/>
              <w:rPr>
                <w:sz w:val="7"/>
                <w:szCs w:val="7"/>
                <w:color w:val="auto"/>
              </w:rPr>
            </w:pPr>
          </w:p>
        </w:tc>
        <w:tc>
          <w:tcPr>
            <w:tcW w:w="1880" w:type="dxa"/>
            <w:vAlign w:val="bottom"/>
            <w:tcBorders>
              <w:right w:val="single" w:sz="8" w:color="auto"/>
            </w:tcBorders>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806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8"/>
        </w:trPr>
        <w:tc>
          <w:tcPr>
            <w:tcW w:w="400" w:type="dxa"/>
            <w:vAlign w:val="bottom"/>
            <w:tcBorders>
              <w:lef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0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gridSpan w:val="2"/>
          </w:tcPr>
          <w:p>
            <w:pPr>
              <w:spacing w:after="0"/>
              <w:rPr>
                <w:sz w:val="2"/>
                <w:szCs w:val="2"/>
                <w:color w:val="auto"/>
              </w:rPr>
            </w:pPr>
          </w:p>
        </w:tc>
        <w:tc>
          <w:tcPr>
            <w:tcW w:w="8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540" w:type="dxa"/>
            <w:vAlign w:val="bottom"/>
            <w:tcBorders>
              <w:right w:val="single" w:sz="8" w:color="auto"/>
            </w:tcBorders>
          </w:tcPr>
          <w:p>
            <w:pPr>
              <w:spacing w:after="0"/>
              <w:rPr>
                <w:sz w:val="19"/>
                <w:szCs w:val="19"/>
                <w:color w:val="auto"/>
              </w:rPr>
            </w:pPr>
          </w:p>
        </w:tc>
        <w:tc>
          <w:tcPr>
            <w:tcW w:w="10300" w:type="dxa"/>
            <w:vAlign w:val="bottom"/>
            <w:tcBorders>
              <w:right w:val="single" w:sz="8" w:color="auto"/>
            </w:tcBorders>
            <w:gridSpan w:val="4"/>
          </w:tcPr>
          <w:p>
            <w:pPr>
              <w:ind w:left="2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340" w:type="dxa"/>
            <w:vAlign w:val="bottom"/>
          </w:tcPr>
          <w:p>
            <w:pPr>
              <w:ind w:left="200"/>
              <w:spacing w:after="0"/>
              <w:rPr>
                <w:sz w:val="20"/>
                <w:szCs w:val="20"/>
                <w:color w:val="auto"/>
              </w:rPr>
            </w:pPr>
            <w:r>
              <w:rPr>
                <w:rFonts w:ascii="Arial" w:cs="Arial" w:eastAsia="Arial" w:hAnsi="Arial"/>
                <w:sz w:val="18"/>
                <w:szCs w:val="18"/>
                <w:color w:val="auto"/>
              </w:rPr>
              <w:t>3,100,000</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030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0" w:type="dxa"/>
            <w:vAlign w:val="bottom"/>
            <w:tcBorders>
              <w:left w:val="single" w:sz="8" w:color="auto"/>
            </w:tcBorders>
          </w:tcPr>
          <w:p>
            <w:pPr>
              <w:ind w:left="120"/>
              <w:spacing w:after="0" w:line="189" w:lineRule="exact"/>
              <w:rPr>
                <w:sz w:val="20"/>
                <w:szCs w:val="20"/>
                <w:color w:val="auto"/>
              </w:rPr>
            </w:pPr>
            <w:r>
              <w:rPr>
                <w:rFonts w:ascii="Arial" w:cs="Arial" w:eastAsia="Arial" w:hAnsi="Arial"/>
                <w:sz w:val="18"/>
                <w:szCs w:val="18"/>
                <w:color w:val="auto"/>
              </w:rPr>
              <w:t>12</w:t>
            </w:r>
          </w:p>
        </w:tc>
        <w:tc>
          <w:tcPr>
            <w:tcW w:w="540" w:type="dxa"/>
            <w:vAlign w:val="bottom"/>
            <w:tcBorders>
              <w:right w:val="single" w:sz="8" w:color="auto"/>
            </w:tcBorders>
          </w:tcPr>
          <w:p>
            <w:pPr>
              <w:spacing w:after="0"/>
              <w:rPr>
                <w:sz w:val="16"/>
                <w:szCs w:val="16"/>
                <w:color w:val="auto"/>
              </w:rPr>
            </w:pPr>
          </w:p>
        </w:tc>
        <w:tc>
          <w:tcPr>
            <w:tcW w:w="10300" w:type="dxa"/>
            <w:vAlign w:val="bottom"/>
            <w:tcBorders>
              <w:right w:val="single" w:sz="8" w:color="auto"/>
            </w:tcBorders>
            <w:gridSpan w:val="4"/>
          </w:tcPr>
          <w:p>
            <w:pPr>
              <w:ind w:left="200"/>
              <w:spacing w:after="0" w:line="189" w:lineRule="exact"/>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86"/>
        </w:trPr>
        <w:tc>
          <w:tcPr>
            <w:tcW w:w="40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gridSpan w:val="2"/>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Borders>
              <w:bottom w:val="single" w:sz="8" w:color="auto"/>
            </w:tcBorders>
          </w:tcPr>
          <w:p>
            <w:pPr>
              <w:spacing w:after="0"/>
              <w:rPr>
                <w:sz w:val="24"/>
                <w:szCs w:val="24"/>
                <w:color w:val="auto"/>
              </w:rPr>
            </w:pPr>
          </w:p>
        </w:tc>
        <w:tc>
          <w:tcPr>
            <w:tcW w:w="8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13</w:t>
            </w:r>
          </w:p>
        </w:tc>
        <w:tc>
          <w:tcPr>
            <w:tcW w:w="540" w:type="dxa"/>
            <w:vAlign w:val="bottom"/>
            <w:tcBorders>
              <w:right w:val="single" w:sz="8" w:color="auto"/>
            </w:tcBorders>
          </w:tcPr>
          <w:p>
            <w:pPr>
              <w:spacing w:after="0"/>
              <w:rPr>
                <w:sz w:val="19"/>
                <w:szCs w:val="19"/>
                <w:color w:val="auto"/>
              </w:rPr>
            </w:pPr>
          </w:p>
        </w:tc>
        <w:tc>
          <w:tcPr>
            <w:tcW w:w="10300" w:type="dxa"/>
            <w:vAlign w:val="bottom"/>
            <w:tcBorders>
              <w:right w:val="single" w:sz="8" w:color="auto"/>
            </w:tcBorders>
            <w:gridSpan w:val="4"/>
          </w:tcPr>
          <w:p>
            <w:pPr>
              <w:ind w:left="2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340" w:type="dxa"/>
            <w:vAlign w:val="bottom"/>
          </w:tcPr>
          <w:p>
            <w:pPr>
              <w:ind w:left="20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030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14</w:t>
            </w:r>
          </w:p>
        </w:tc>
        <w:tc>
          <w:tcPr>
            <w:tcW w:w="540" w:type="dxa"/>
            <w:vAlign w:val="bottom"/>
            <w:tcBorders>
              <w:right w:val="single" w:sz="8" w:color="auto"/>
            </w:tcBorders>
          </w:tcPr>
          <w:p>
            <w:pPr>
              <w:spacing w:after="0"/>
              <w:rPr>
                <w:sz w:val="19"/>
                <w:szCs w:val="19"/>
                <w:color w:val="auto"/>
              </w:rPr>
            </w:pPr>
          </w:p>
        </w:tc>
        <w:tc>
          <w:tcPr>
            <w:tcW w:w="10300" w:type="dxa"/>
            <w:vAlign w:val="bottom"/>
            <w:tcBorders>
              <w:right w:val="single" w:sz="8" w:color="auto"/>
            </w:tcBorders>
            <w:gridSpan w:val="4"/>
          </w:tcPr>
          <w:p>
            <w:pPr>
              <w:ind w:left="2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500" w:type="dxa"/>
            <w:vAlign w:val="bottom"/>
            <w:gridSpan w:val="2"/>
          </w:tcPr>
          <w:p>
            <w:pPr>
              <w:ind w:left="200"/>
              <w:spacing w:after="0"/>
              <w:rPr>
                <w:sz w:val="20"/>
                <w:szCs w:val="20"/>
                <w:color w:val="auto"/>
              </w:rPr>
            </w:pPr>
            <w:r>
              <w:rPr>
                <w:rFonts w:ascii="Arial" w:cs="Arial" w:eastAsia="Arial" w:hAnsi="Arial"/>
                <w:sz w:val="18"/>
                <w:szCs w:val="18"/>
                <w:color w:val="auto"/>
              </w:rPr>
              <w:t>OO</w:t>
            </w:r>
          </w:p>
        </w:tc>
        <w:tc>
          <w:tcPr>
            <w:tcW w:w="740" w:type="dxa"/>
            <w:vAlign w:val="bottom"/>
          </w:tcPr>
          <w:p>
            <w:pPr>
              <w:spacing w:after="0"/>
              <w:rPr>
                <w:sz w:val="20"/>
                <w:szCs w:val="20"/>
                <w:color w:val="auto"/>
              </w:rPr>
            </w:pPr>
          </w:p>
        </w:tc>
        <w:tc>
          <w:tcPr>
            <w:tcW w:w="8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80" w:firstLine="8"/>
        <w:spacing w:after="0" w:line="277"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 Note 3 above. Mr. Lau is the director of Een, and therefore shares voting and dispositive power over the 3,100,000 Ordinary Shares held by One Spire pursuant to Een’s indirect ownership of the 3,100,000 Ordinary Shares held by One Spire.</w:t>
      </w:r>
    </w:p>
    <w:p>
      <w:pPr>
        <w:sectPr>
          <w:pgSz w:w="11900" w:h="16838" w:orient="portrait"/>
          <w:cols w:equalWidth="0" w:num="1">
            <w:col w:w="11240"/>
          </w:cols>
          <w:pgMar w:left="320" w:top="47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Y4600W108</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400" w:type="dxa"/>
            <w:vAlign w:val="bottom"/>
            <w:tcBorders>
              <w:top w:val="single" w:sz="8" w:color="auto"/>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540" w:type="dxa"/>
            <w:vAlign w:val="bottom"/>
            <w:tcBorders>
              <w:top w:val="single" w:sz="8" w:color="auto"/>
              <w:right w:val="single" w:sz="8" w:color="auto"/>
            </w:tcBorders>
          </w:tcPr>
          <w:p>
            <w:pPr>
              <w:spacing w:after="0"/>
              <w:rPr>
                <w:sz w:val="21"/>
                <w:szCs w:val="21"/>
                <w:color w:val="auto"/>
              </w:rPr>
            </w:pPr>
          </w:p>
        </w:tc>
        <w:tc>
          <w:tcPr>
            <w:tcW w:w="10300" w:type="dxa"/>
            <w:vAlign w:val="bottom"/>
            <w:tcBorders>
              <w:top w:val="single" w:sz="8" w:color="auto"/>
              <w:right w:val="single" w:sz="8" w:color="auto"/>
            </w:tcBorders>
            <w:gridSpan w:val="4"/>
          </w:tcPr>
          <w:p>
            <w:pPr>
              <w:ind w:left="2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4"/>
          </w:tcPr>
          <w:p>
            <w:pPr>
              <w:ind w:left="200"/>
              <w:spacing w:after="0"/>
              <w:rPr>
                <w:sz w:val="20"/>
                <w:szCs w:val="20"/>
                <w:color w:val="auto"/>
              </w:rPr>
            </w:pPr>
            <w:r>
              <w:rPr>
                <w:rFonts w:ascii="Arial" w:cs="Arial" w:eastAsia="Arial" w:hAnsi="Arial"/>
                <w:sz w:val="18"/>
                <w:szCs w:val="18"/>
                <w:color w:val="auto"/>
              </w:rPr>
              <w:t>Acacia Trust, by Swiss Independent Trustees, S.A. as trustee</w:t>
            </w:r>
          </w:p>
        </w:tc>
        <w:tc>
          <w:tcPr>
            <w:tcW w:w="0" w:type="dxa"/>
            <w:vAlign w:val="bottom"/>
          </w:tcPr>
          <w:p>
            <w:pPr>
              <w:spacing w:after="0"/>
              <w:rPr>
                <w:sz w:val="1"/>
                <w:szCs w:val="1"/>
                <w:color w:val="auto"/>
              </w:rPr>
            </w:pP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0" w:type="dxa"/>
            <w:vAlign w:val="bottom"/>
            <w:tcBorders>
              <w:left w:val="single" w:sz="8" w:color="auto"/>
            </w:tcBorders>
          </w:tcPr>
          <w:p>
            <w:pPr>
              <w:ind w:left="120"/>
              <w:spacing w:after="0" w:line="189" w:lineRule="exact"/>
              <w:rPr>
                <w:sz w:val="20"/>
                <w:szCs w:val="20"/>
                <w:color w:val="auto"/>
              </w:rPr>
            </w:pPr>
            <w:r>
              <w:rPr>
                <w:rFonts w:ascii="Arial" w:cs="Arial" w:eastAsia="Arial" w:hAnsi="Arial"/>
                <w:sz w:val="18"/>
                <w:szCs w:val="18"/>
                <w:color w:val="auto"/>
              </w:rPr>
              <w:t>2</w:t>
            </w:r>
          </w:p>
        </w:tc>
        <w:tc>
          <w:tcPr>
            <w:tcW w:w="540" w:type="dxa"/>
            <w:vAlign w:val="bottom"/>
            <w:tcBorders>
              <w:right w:val="single" w:sz="8" w:color="auto"/>
            </w:tcBorders>
          </w:tcPr>
          <w:p>
            <w:pPr>
              <w:spacing w:after="0"/>
              <w:rPr>
                <w:sz w:val="16"/>
                <w:szCs w:val="16"/>
                <w:color w:val="auto"/>
              </w:rPr>
            </w:pPr>
          </w:p>
        </w:tc>
        <w:tc>
          <w:tcPr>
            <w:tcW w:w="10300" w:type="dxa"/>
            <w:vAlign w:val="bottom"/>
            <w:tcBorders>
              <w:right w:val="single" w:sz="8" w:color="auto"/>
            </w:tcBorders>
            <w:gridSpan w:val="4"/>
          </w:tcPr>
          <w:p>
            <w:pPr>
              <w:ind w:left="200"/>
              <w:spacing w:after="0" w:line="18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6"/>
        </w:trPr>
        <w:tc>
          <w:tcPr>
            <w:tcW w:w="40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gridSpan w:val="2"/>
          </w:tcPr>
          <w:p>
            <w:pPr>
              <w:ind w:left="2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740" w:type="dxa"/>
            <w:vAlign w:val="bottom"/>
            <w:tcBorders>
              <w:bottom w:val="single" w:sz="8" w:color="auto"/>
            </w:tcBorders>
          </w:tcPr>
          <w:p>
            <w:pPr>
              <w:spacing w:after="0"/>
              <w:rPr>
                <w:sz w:val="24"/>
                <w:szCs w:val="24"/>
                <w:color w:val="auto"/>
              </w:rPr>
            </w:pPr>
          </w:p>
        </w:tc>
        <w:tc>
          <w:tcPr>
            <w:tcW w:w="8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540" w:type="dxa"/>
            <w:vAlign w:val="bottom"/>
            <w:tcBorders>
              <w:right w:val="single" w:sz="8" w:color="auto"/>
            </w:tcBorders>
          </w:tcPr>
          <w:p>
            <w:pPr>
              <w:spacing w:after="0"/>
              <w:rPr>
                <w:sz w:val="20"/>
                <w:szCs w:val="20"/>
                <w:color w:val="auto"/>
              </w:rPr>
            </w:pPr>
          </w:p>
        </w:tc>
        <w:tc>
          <w:tcPr>
            <w:tcW w:w="1500" w:type="dxa"/>
            <w:vAlign w:val="bottom"/>
            <w:gridSpan w:val="2"/>
          </w:tcPr>
          <w:p>
            <w:pPr>
              <w:ind w:left="200"/>
              <w:spacing w:after="0"/>
              <w:rPr>
                <w:sz w:val="20"/>
                <w:szCs w:val="20"/>
                <w:color w:val="auto"/>
              </w:rPr>
            </w:pPr>
            <w:r>
              <w:rPr>
                <w:rFonts w:ascii="Arial" w:cs="Arial" w:eastAsia="Arial" w:hAnsi="Arial"/>
                <w:sz w:val="18"/>
                <w:szCs w:val="18"/>
                <w:color w:val="auto"/>
                <w:w w:val="96"/>
              </w:rPr>
              <w:t>SEC USE ONLY</w:t>
            </w:r>
          </w:p>
        </w:tc>
        <w:tc>
          <w:tcPr>
            <w:tcW w:w="740" w:type="dxa"/>
            <w:vAlign w:val="bottom"/>
          </w:tcPr>
          <w:p>
            <w:pPr>
              <w:spacing w:after="0"/>
              <w:rPr>
                <w:sz w:val="20"/>
                <w:szCs w:val="20"/>
                <w:color w:val="auto"/>
              </w:rPr>
            </w:pPr>
          </w:p>
        </w:tc>
        <w:tc>
          <w:tcPr>
            <w:tcW w:w="8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540" w:type="dxa"/>
            <w:vAlign w:val="bottom"/>
            <w:tcBorders>
              <w:right w:val="single" w:sz="8" w:color="auto"/>
            </w:tcBorders>
          </w:tcPr>
          <w:p>
            <w:pPr>
              <w:spacing w:after="0"/>
              <w:rPr>
                <w:sz w:val="19"/>
                <w:szCs w:val="19"/>
                <w:color w:val="auto"/>
              </w:rPr>
            </w:pPr>
          </w:p>
        </w:tc>
        <w:tc>
          <w:tcPr>
            <w:tcW w:w="10300" w:type="dxa"/>
            <w:vAlign w:val="bottom"/>
            <w:tcBorders>
              <w:right w:val="single" w:sz="8" w:color="auto"/>
            </w:tcBorders>
            <w:gridSpan w:val="4"/>
          </w:tcPr>
          <w:p>
            <w:pPr>
              <w:ind w:left="20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500" w:type="dxa"/>
            <w:vAlign w:val="bottom"/>
            <w:gridSpan w:val="2"/>
          </w:tcPr>
          <w:p>
            <w:pPr>
              <w:ind w:left="200"/>
              <w:spacing w:after="0"/>
              <w:rPr>
                <w:sz w:val="20"/>
                <w:szCs w:val="20"/>
                <w:color w:val="auto"/>
              </w:rPr>
            </w:pPr>
            <w:r>
              <w:rPr>
                <w:rFonts w:ascii="Arial" w:cs="Arial" w:eastAsia="Arial" w:hAnsi="Arial"/>
                <w:sz w:val="18"/>
                <w:szCs w:val="18"/>
                <w:color w:val="auto"/>
              </w:rPr>
              <w:t>OO</w:t>
            </w:r>
          </w:p>
        </w:tc>
        <w:tc>
          <w:tcPr>
            <w:tcW w:w="740" w:type="dxa"/>
            <w:vAlign w:val="bottom"/>
          </w:tcPr>
          <w:p>
            <w:pPr>
              <w:spacing w:after="0"/>
              <w:rPr>
                <w:sz w:val="20"/>
                <w:szCs w:val="20"/>
                <w:color w:val="auto"/>
              </w:rPr>
            </w:pPr>
          </w:p>
        </w:tc>
        <w:tc>
          <w:tcPr>
            <w:tcW w:w="8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0" w:type="dxa"/>
            <w:vAlign w:val="bottom"/>
            <w:tcBorders>
              <w:left w:val="single" w:sz="8" w:color="auto"/>
            </w:tcBorders>
          </w:tcPr>
          <w:p>
            <w:pPr>
              <w:ind w:left="120"/>
              <w:spacing w:after="0" w:line="189" w:lineRule="exact"/>
              <w:rPr>
                <w:sz w:val="20"/>
                <w:szCs w:val="20"/>
                <w:color w:val="auto"/>
              </w:rPr>
            </w:pPr>
            <w:r>
              <w:rPr>
                <w:rFonts w:ascii="Arial" w:cs="Arial" w:eastAsia="Arial" w:hAnsi="Arial"/>
                <w:sz w:val="18"/>
                <w:szCs w:val="18"/>
                <w:color w:val="auto"/>
              </w:rPr>
              <w:t>5</w:t>
            </w:r>
          </w:p>
        </w:tc>
        <w:tc>
          <w:tcPr>
            <w:tcW w:w="540" w:type="dxa"/>
            <w:vAlign w:val="bottom"/>
            <w:tcBorders>
              <w:right w:val="single" w:sz="8" w:color="auto"/>
            </w:tcBorders>
          </w:tcPr>
          <w:p>
            <w:pPr>
              <w:spacing w:after="0"/>
              <w:rPr>
                <w:sz w:val="16"/>
                <w:szCs w:val="16"/>
                <w:color w:val="auto"/>
              </w:rPr>
            </w:pPr>
          </w:p>
        </w:tc>
        <w:tc>
          <w:tcPr>
            <w:tcW w:w="10300" w:type="dxa"/>
            <w:vAlign w:val="bottom"/>
            <w:tcBorders>
              <w:right w:val="single" w:sz="8" w:color="auto"/>
            </w:tcBorders>
            <w:gridSpan w:val="4"/>
          </w:tcPr>
          <w:p>
            <w:pPr>
              <w:ind w:left="200"/>
              <w:spacing w:after="0" w:line="189" w:lineRule="exact"/>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86"/>
        </w:trPr>
        <w:tc>
          <w:tcPr>
            <w:tcW w:w="40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gridSpan w:val="2"/>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Borders>
              <w:bottom w:val="single" w:sz="8" w:color="auto"/>
            </w:tcBorders>
          </w:tcPr>
          <w:p>
            <w:pPr>
              <w:spacing w:after="0"/>
              <w:rPr>
                <w:sz w:val="24"/>
                <w:szCs w:val="24"/>
                <w:color w:val="auto"/>
              </w:rPr>
            </w:pPr>
          </w:p>
        </w:tc>
        <w:tc>
          <w:tcPr>
            <w:tcW w:w="8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6</w:t>
            </w:r>
          </w:p>
        </w:tc>
        <w:tc>
          <w:tcPr>
            <w:tcW w:w="540" w:type="dxa"/>
            <w:vAlign w:val="bottom"/>
            <w:tcBorders>
              <w:right w:val="single" w:sz="8" w:color="auto"/>
            </w:tcBorders>
          </w:tcPr>
          <w:p>
            <w:pPr>
              <w:spacing w:after="0"/>
              <w:rPr>
                <w:sz w:val="19"/>
                <w:szCs w:val="19"/>
                <w:color w:val="auto"/>
              </w:rPr>
            </w:pPr>
          </w:p>
        </w:tc>
        <w:tc>
          <w:tcPr>
            <w:tcW w:w="10300" w:type="dxa"/>
            <w:vAlign w:val="bottom"/>
            <w:tcBorders>
              <w:right w:val="single" w:sz="8" w:color="auto"/>
            </w:tcBorders>
            <w:gridSpan w:val="4"/>
          </w:tcPr>
          <w:p>
            <w:pPr>
              <w:ind w:left="2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4"/>
          </w:tcPr>
          <w:p>
            <w:pPr>
              <w:ind w:left="200"/>
              <w:spacing w:after="0"/>
              <w:rPr>
                <w:sz w:val="20"/>
                <w:szCs w:val="20"/>
                <w:color w:val="auto"/>
              </w:rPr>
            </w:pPr>
            <w:r>
              <w:rPr>
                <w:rFonts w:ascii="Arial" w:cs="Arial" w:eastAsia="Arial" w:hAnsi="Arial"/>
                <w:sz w:val="18"/>
                <w:szCs w:val="18"/>
                <w:color w:val="auto"/>
              </w:rPr>
              <w:t>Jersey Law – Administered in Switzerland</w:t>
            </w:r>
          </w:p>
        </w:tc>
        <w:tc>
          <w:tcPr>
            <w:tcW w:w="0" w:type="dxa"/>
            <w:vAlign w:val="bottom"/>
          </w:tcPr>
          <w:p>
            <w:pPr>
              <w:spacing w:after="0"/>
              <w:rPr>
                <w:sz w:val="1"/>
                <w:szCs w:val="1"/>
                <w:color w:val="auto"/>
              </w:rPr>
            </w:pP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00" w:type="dxa"/>
            <w:vAlign w:val="bottom"/>
            <w:tcBorders>
              <w:left w:val="single" w:sz="8" w:color="auto"/>
            </w:tcBorders>
          </w:tcPr>
          <w:p>
            <w:pPr>
              <w:spacing w:after="0"/>
              <w:rPr>
                <w:sz w:val="19"/>
                <w:szCs w:val="19"/>
                <w:color w:val="auto"/>
              </w:rPr>
            </w:pPr>
          </w:p>
        </w:tc>
        <w:tc>
          <w:tcPr>
            <w:tcW w:w="1880" w:type="dxa"/>
            <w:vAlign w:val="bottom"/>
            <w:tcBorders>
              <w:right w:val="single" w:sz="8" w:color="auto"/>
            </w:tcBorders>
            <w:gridSpan w:val="2"/>
            <w:vMerge w:val="restart"/>
          </w:tcPr>
          <w:p>
            <w:pPr>
              <w:jc w:val="center"/>
              <w:ind w:right="310"/>
              <w:spacing w:after="0"/>
              <w:rPr>
                <w:sz w:val="20"/>
                <w:szCs w:val="20"/>
                <w:color w:val="auto"/>
              </w:rPr>
            </w:pPr>
            <w:r>
              <w:rPr>
                <w:rFonts w:ascii="Arial" w:cs="Arial" w:eastAsia="Arial" w:hAnsi="Arial"/>
                <w:sz w:val="18"/>
                <w:szCs w:val="18"/>
                <w:color w:val="auto"/>
                <w:w w:val="96"/>
              </w:rPr>
              <w:t>NUMBER OF</w:t>
            </w:r>
          </w:p>
        </w:tc>
        <w:tc>
          <w:tcPr>
            <w:tcW w:w="160" w:type="dxa"/>
            <w:vAlign w:val="bottom"/>
          </w:tcPr>
          <w:p>
            <w:pPr>
              <w:spacing w:after="0"/>
              <w:rPr>
                <w:sz w:val="19"/>
                <w:szCs w:val="19"/>
                <w:color w:val="auto"/>
              </w:rPr>
            </w:pPr>
          </w:p>
        </w:tc>
        <w:tc>
          <w:tcPr>
            <w:tcW w:w="7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7</w:t>
            </w:r>
          </w:p>
        </w:tc>
        <w:tc>
          <w:tcPr>
            <w:tcW w:w="80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35"/>
        </w:trPr>
        <w:tc>
          <w:tcPr>
            <w:tcW w:w="400" w:type="dxa"/>
            <w:vAlign w:val="bottom"/>
            <w:tcBorders>
              <w:left w:val="single" w:sz="8" w:color="auto"/>
            </w:tcBorders>
          </w:tcPr>
          <w:p>
            <w:pPr>
              <w:spacing w:after="0"/>
              <w:rPr>
                <w:sz w:val="11"/>
                <w:szCs w:val="11"/>
                <w:color w:val="auto"/>
              </w:rPr>
            </w:pPr>
          </w:p>
        </w:tc>
        <w:tc>
          <w:tcPr>
            <w:tcW w:w="1880" w:type="dxa"/>
            <w:vAlign w:val="bottom"/>
            <w:tcBorders>
              <w:right w:val="single" w:sz="8" w:color="auto"/>
            </w:tcBorders>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806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5"/>
        </w:trPr>
        <w:tc>
          <w:tcPr>
            <w:tcW w:w="400" w:type="dxa"/>
            <w:vAlign w:val="bottom"/>
            <w:tcBorders>
              <w:left w:val="single" w:sz="8" w:color="auto"/>
            </w:tcBorders>
          </w:tcPr>
          <w:p>
            <w:pPr>
              <w:spacing w:after="0"/>
              <w:rPr>
                <w:sz w:val="8"/>
                <w:szCs w:val="8"/>
                <w:color w:val="auto"/>
              </w:rPr>
            </w:pPr>
          </w:p>
        </w:tc>
        <w:tc>
          <w:tcPr>
            <w:tcW w:w="1880" w:type="dxa"/>
            <w:vAlign w:val="bottom"/>
            <w:tcBorders>
              <w:right w:val="single" w:sz="8" w:color="auto"/>
            </w:tcBorders>
            <w:gridSpan w:val="2"/>
            <w:vMerge w:val="restart"/>
          </w:tcPr>
          <w:p>
            <w:pPr>
              <w:jc w:val="center"/>
              <w:ind w:right="310"/>
              <w:spacing w:after="0"/>
              <w:rPr>
                <w:sz w:val="20"/>
                <w:szCs w:val="20"/>
                <w:color w:val="auto"/>
              </w:rPr>
            </w:pPr>
            <w:r>
              <w:rPr>
                <w:rFonts w:ascii="Arial" w:cs="Arial" w:eastAsia="Arial" w:hAnsi="Arial"/>
                <w:sz w:val="18"/>
                <w:szCs w:val="18"/>
                <w:color w:val="auto"/>
                <w:w w:val="91"/>
              </w:rPr>
              <w:t>SHARES</w:t>
            </w:r>
          </w:p>
        </w:tc>
        <w:tc>
          <w:tcPr>
            <w:tcW w:w="160" w:type="dxa"/>
            <w:vAlign w:val="bottom"/>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80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400" w:type="dxa"/>
            <w:vAlign w:val="bottom"/>
            <w:tcBorders>
              <w:left w:val="single" w:sz="8" w:color="auto"/>
            </w:tcBorders>
          </w:tcPr>
          <w:p>
            <w:pPr>
              <w:spacing w:after="0"/>
              <w:rPr>
                <w:sz w:val="2"/>
                <w:szCs w:val="2"/>
                <w:color w:val="auto"/>
              </w:rPr>
            </w:pPr>
          </w:p>
        </w:tc>
        <w:tc>
          <w:tcPr>
            <w:tcW w:w="1880" w:type="dxa"/>
            <w:vAlign w:val="bottom"/>
            <w:tcBorders>
              <w:right w:val="single" w:sz="8" w:color="auto"/>
            </w:tcBorders>
            <w:gridSpan w:val="2"/>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8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400" w:type="dxa"/>
            <w:vAlign w:val="bottom"/>
            <w:tcBorders>
              <w:left w:val="single" w:sz="8" w:color="auto"/>
            </w:tcBorders>
          </w:tcPr>
          <w:p>
            <w:pPr>
              <w:spacing w:after="0"/>
              <w:rPr>
                <w:sz w:val="6"/>
                <w:szCs w:val="6"/>
                <w:color w:val="auto"/>
              </w:rPr>
            </w:pPr>
          </w:p>
        </w:tc>
        <w:tc>
          <w:tcPr>
            <w:tcW w:w="1880" w:type="dxa"/>
            <w:vAlign w:val="bottom"/>
            <w:tcBorders>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8</w:t>
            </w:r>
          </w:p>
        </w:tc>
        <w:tc>
          <w:tcPr>
            <w:tcW w:w="806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52"/>
        </w:trPr>
        <w:tc>
          <w:tcPr>
            <w:tcW w:w="400" w:type="dxa"/>
            <w:vAlign w:val="bottom"/>
            <w:tcBorders>
              <w:left w:val="single" w:sz="8" w:color="auto"/>
            </w:tcBorders>
          </w:tcPr>
          <w:p>
            <w:pPr>
              <w:spacing w:after="0"/>
              <w:rPr>
                <w:sz w:val="13"/>
                <w:szCs w:val="13"/>
                <w:color w:val="auto"/>
              </w:rPr>
            </w:pPr>
          </w:p>
        </w:tc>
        <w:tc>
          <w:tcPr>
            <w:tcW w:w="1880" w:type="dxa"/>
            <w:vAlign w:val="bottom"/>
            <w:tcBorders>
              <w:right w:val="single" w:sz="8" w:color="auto"/>
            </w:tcBorders>
            <w:gridSpan w:val="2"/>
            <w:vMerge w:val="restart"/>
          </w:tcPr>
          <w:p>
            <w:pPr>
              <w:jc w:val="center"/>
              <w:ind w:right="310"/>
              <w:spacing w:after="0"/>
              <w:rPr>
                <w:sz w:val="20"/>
                <w:szCs w:val="20"/>
                <w:color w:val="auto"/>
              </w:rPr>
            </w:pPr>
            <w:r>
              <w:rPr>
                <w:rFonts w:ascii="Arial" w:cs="Arial" w:eastAsia="Arial" w:hAnsi="Arial"/>
                <w:sz w:val="18"/>
                <w:szCs w:val="18"/>
                <w:color w:val="auto"/>
              </w:rPr>
              <w:t>BENEFICIALLY</w:t>
            </w:r>
          </w:p>
        </w:tc>
        <w:tc>
          <w:tcPr>
            <w:tcW w:w="160" w:type="dxa"/>
            <w:vAlign w:val="bottom"/>
          </w:tcPr>
          <w:p>
            <w:pPr>
              <w:spacing w:after="0"/>
              <w:rPr>
                <w:sz w:val="13"/>
                <w:szCs w:val="13"/>
                <w:color w:val="auto"/>
              </w:rPr>
            </w:pPr>
          </w:p>
        </w:tc>
        <w:tc>
          <w:tcPr>
            <w:tcW w:w="740" w:type="dxa"/>
            <w:vAlign w:val="bottom"/>
            <w:tcBorders>
              <w:right w:val="single" w:sz="8" w:color="auto"/>
            </w:tcBorders>
            <w:vMerge w:val="continue"/>
          </w:tcPr>
          <w:p>
            <w:pPr>
              <w:spacing w:after="0"/>
              <w:rPr>
                <w:sz w:val="13"/>
                <w:szCs w:val="13"/>
                <w:color w:val="auto"/>
              </w:rPr>
            </w:pPr>
          </w:p>
        </w:tc>
        <w:tc>
          <w:tcPr>
            <w:tcW w:w="80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400" w:type="dxa"/>
            <w:vAlign w:val="bottom"/>
            <w:tcBorders>
              <w:left w:val="single" w:sz="8" w:color="auto"/>
            </w:tcBorders>
          </w:tcPr>
          <w:p>
            <w:pPr>
              <w:spacing w:after="0"/>
              <w:rPr>
                <w:sz w:val="5"/>
                <w:szCs w:val="5"/>
                <w:color w:val="auto"/>
              </w:rPr>
            </w:pPr>
          </w:p>
        </w:tc>
        <w:tc>
          <w:tcPr>
            <w:tcW w:w="1880" w:type="dxa"/>
            <w:vAlign w:val="bottom"/>
            <w:tcBorders>
              <w:right w:val="single" w:sz="8" w:color="auto"/>
            </w:tcBorders>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Borders>
              <w:right w:val="single" w:sz="8" w:color="auto"/>
            </w:tcBorders>
          </w:tcPr>
          <w:p>
            <w:pPr>
              <w:spacing w:after="0"/>
              <w:rPr>
                <w:sz w:val="5"/>
                <w:szCs w:val="5"/>
                <w:color w:val="auto"/>
              </w:rPr>
            </w:pPr>
          </w:p>
        </w:tc>
        <w:tc>
          <w:tcPr>
            <w:tcW w:w="8060" w:type="dxa"/>
            <w:vAlign w:val="bottom"/>
            <w:tcBorders>
              <w:right w:val="single" w:sz="8" w:color="auto"/>
            </w:tcBorders>
            <w:vMerge w:val="restart"/>
          </w:tcPr>
          <w:p>
            <w:pPr>
              <w:ind w:left="200"/>
              <w:spacing w:after="0" w:line="294" w:lineRule="exact"/>
              <w:rPr>
                <w:sz w:val="20"/>
                <w:szCs w:val="20"/>
                <w:color w:val="auto"/>
              </w:rPr>
            </w:pPr>
            <w:r>
              <w:rPr>
                <w:rFonts w:ascii="Arial" w:cs="Arial" w:eastAsia="Arial" w:hAnsi="Arial"/>
                <w:sz w:val="18"/>
                <w:szCs w:val="18"/>
                <w:color w:val="auto"/>
              </w:rPr>
              <w:t>3,100,000</w:t>
            </w:r>
            <w:r>
              <w:rPr>
                <w:rFonts w:ascii="Arial" w:cs="Arial" w:eastAsia="Arial" w:hAnsi="Arial"/>
                <w:sz w:val="29"/>
                <w:szCs w:val="29"/>
                <w:color w:val="auto"/>
                <w:vertAlign w:val="superscript"/>
              </w:rPr>
              <w:t>(5)</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188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97"/>
              </w:rPr>
              <w:t>OWNED BY</w:t>
            </w: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80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00" w:type="dxa"/>
            <w:vAlign w:val="bottom"/>
            <w:tcBorders>
              <w:left w:val="single" w:sz="8" w:color="auto"/>
            </w:tcBorders>
          </w:tcPr>
          <w:p>
            <w:pPr>
              <w:spacing w:after="0"/>
              <w:rPr>
                <w:sz w:val="15"/>
                <w:szCs w:val="15"/>
                <w:color w:val="auto"/>
              </w:rPr>
            </w:pPr>
          </w:p>
        </w:tc>
        <w:tc>
          <w:tcPr>
            <w:tcW w:w="1880" w:type="dxa"/>
            <w:vAlign w:val="bottom"/>
            <w:tcBorders>
              <w:right w:val="single" w:sz="8" w:color="auto"/>
            </w:tcBorders>
            <w:gridSpan w:val="2"/>
          </w:tcPr>
          <w:p>
            <w:pPr>
              <w:jc w:val="center"/>
              <w:ind w:right="310"/>
              <w:spacing w:after="0" w:line="182" w:lineRule="exact"/>
              <w:rPr>
                <w:sz w:val="20"/>
                <w:szCs w:val="20"/>
                <w:color w:val="auto"/>
              </w:rPr>
            </w:pPr>
            <w:r>
              <w:rPr>
                <w:rFonts w:ascii="Arial" w:cs="Arial" w:eastAsia="Arial" w:hAnsi="Arial"/>
                <w:sz w:val="18"/>
                <w:szCs w:val="18"/>
                <w:color w:val="auto"/>
                <w:w w:val="95"/>
              </w:rPr>
              <w:t>EACH</w:t>
            </w:r>
          </w:p>
        </w:tc>
        <w:tc>
          <w:tcPr>
            <w:tcW w:w="160" w:type="dxa"/>
            <w:vAlign w:val="bottom"/>
          </w:tcPr>
          <w:p>
            <w:pPr>
              <w:spacing w:after="0"/>
              <w:rPr>
                <w:sz w:val="15"/>
                <w:szCs w:val="15"/>
                <w:color w:val="auto"/>
              </w:rPr>
            </w:pPr>
          </w:p>
        </w:tc>
        <w:tc>
          <w:tcPr>
            <w:tcW w:w="74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8"/>
                <w:szCs w:val="18"/>
                <w:color w:val="auto"/>
              </w:rPr>
              <w:t>9</w:t>
            </w:r>
          </w:p>
        </w:tc>
        <w:tc>
          <w:tcPr>
            <w:tcW w:w="8060" w:type="dxa"/>
            <w:vAlign w:val="bottom"/>
            <w:tcBorders>
              <w:right w:val="single" w:sz="8" w:color="auto"/>
            </w:tcBorders>
          </w:tcPr>
          <w:p>
            <w:pPr>
              <w:ind w:left="2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188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93"/>
              </w:rPr>
              <w:t>REPORTING</w:t>
            </w:r>
          </w:p>
        </w:tc>
        <w:tc>
          <w:tcPr>
            <w:tcW w:w="16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0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1"/>
        </w:trPr>
        <w:tc>
          <w:tcPr>
            <w:tcW w:w="400" w:type="dxa"/>
            <w:vAlign w:val="bottom"/>
            <w:tcBorders>
              <w:left w:val="single" w:sz="8" w:color="auto"/>
            </w:tcBorders>
          </w:tcPr>
          <w:p>
            <w:pPr>
              <w:spacing w:after="0"/>
              <w:rPr>
                <w:sz w:val="7"/>
                <w:szCs w:val="7"/>
                <w:color w:val="auto"/>
              </w:rPr>
            </w:pPr>
          </w:p>
        </w:tc>
        <w:tc>
          <w:tcPr>
            <w:tcW w:w="1880" w:type="dxa"/>
            <w:vAlign w:val="bottom"/>
            <w:tcBorders>
              <w:right w:val="single" w:sz="8" w:color="auto"/>
            </w:tcBorders>
            <w:gridSpan w:val="2"/>
            <w:vMerge w:val="restart"/>
          </w:tcPr>
          <w:p>
            <w:pPr>
              <w:jc w:val="center"/>
              <w:ind w:right="310"/>
              <w:spacing w:after="0"/>
              <w:rPr>
                <w:sz w:val="20"/>
                <w:szCs w:val="20"/>
                <w:color w:val="auto"/>
              </w:rPr>
            </w:pPr>
            <w:r>
              <w:rPr>
                <w:rFonts w:ascii="Arial" w:cs="Arial" w:eastAsia="Arial" w:hAnsi="Arial"/>
                <w:sz w:val="18"/>
                <w:szCs w:val="18"/>
                <w:color w:val="auto"/>
                <w:w w:val="89"/>
              </w:rPr>
              <w:t>PERSON</w:t>
            </w:r>
          </w:p>
        </w:tc>
        <w:tc>
          <w:tcPr>
            <w:tcW w:w="160" w:type="dxa"/>
            <w:vAlign w:val="bottom"/>
            <w:tcBorders>
              <w:bottom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80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400" w:type="dxa"/>
            <w:vAlign w:val="bottom"/>
            <w:tcBorders>
              <w:left w:val="single" w:sz="8" w:color="auto"/>
            </w:tcBorders>
          </w:tcPr>
          <w:p>
            <w:pPr>
              <w:spacing w:after="0"/>
              <w:rPr>
                <w:sz w:val="9"/>
                <w:szCs w:val="9"/>
                <w:color w:val="auto"/>
              </w:rPr>
            </w:pPr>
          </w:p>
        </w:tc>
        <w:tc>
          <w:tcPr>
            <w:tcW w:w="1880" w:type="dxa"/>
            <w:vAlign w:val="bottom"/>
            <w:tcBorders>
              <w:right w:val="single" w:sz="8" w:color="auto"/>
            </w:tcBorders>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10</w:t>
            </w:r>
          </w:p>
        </w:tc>
        <w:tc>
          <w:tcPr>
            <w:tcW w:w="806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12"/>
        </w:trPr>
        <w:tc>
          <w:tcPr>
            <w:tcW w:w="400" w:type="dxa"/>
            <w:vAlign w:val="bottom"/>
            <w:tcBorders>
              <w:left w:val="single" w:sz="8" w:color="auto"/>
            </w:tcBorders>
          </w:tcPr>
          <w:p>
            <w:pPr>
              <w:spacing w:after="0"/>
              <w:rPr>
                <w:sz w:val="9"/>
                <w:szCs w:val="9"/>
                <w:color w:val="auto"/>
              </w:rPr>
            </w:pPr>
          </w:p>
        </w:tc>
        <w:tc>
          <w:tcPr>
            <w:tcW w:w="1880" w:type="dxa"/>
            <w:vAlign w:val="bottom"/>
            <w:tcBorders>
              <w:right w:val="single" w:sz="8" w:color="auto"/>
            </w:tcBorders>
            <w:gridSpan w:val="2"/>
            <w:vMerge w:val="restart"/>
          </w:tcPr>
          <w:p>
            <w:pPr>
              <w:jc w:val="center"/>
              <w:ind w:right="310"/>
              <w:spacing w:after="0"/>
              <w:rPr>
                <w:sz w:val="20"/>
                <w:szCs w:val="20"/>
                <w:color w:val="auto"/>
              </w:rPr>
            </w:pPr>
            <w:r>
              <w:rPr>
                <w:rFonts w:ascii="Arial" w:cs="Arial" w:eastAsia="Arial" w:hAnsi="Arial"/>
                <w:sz w:val="18"/>
                <w:szCs w:val="18"/>
                <w:color w:val="auto"/>
              </w:rPr>
              <w:t>WITH</w:t>
            </w:r>
          </w:p>
        </w:tc>
        <w:tc>
          <w:tcPr>
            <w:tcW w:w="160" w:type="dxa"/>
            <w:vAlign w:val="bottom"/>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80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400" w:type="dxa"/>
            <w:vAlign w:val="bottom"/>
            <w:tcBorders>
              <w:left w:val="single" w:sz="8" w:color="auto"/>
            </w:tcBorders>
          </w:tcPr>
          <w:p>
            <w:pPr>
              <w:spacing w:after="0"/>
              <w:rPr>
                <w:sz w:val="10"/>
                <w:szCs w:val="10"/>
                <w:color w:val="auto"/>
              </w:rPr>
            </w:pPr>
          </w:p>
        </w:tc>
        <w:tc>
          <w:tcPr>
            <w:tcW w:w="1880" w:type="dxa"/>
            <w:vAlign w:val="bottom"/>
            <w:tcBorders>
              <w:right w:val="single" w:sz="8" w:color="auto"/>
            </w:tcBorders>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8060" w:type="dxa"/>
            <w:vAlign w:val="bottom"/>
            <w:tcBorders>
              <w:right w:val="single" w:sz="8" w:color="auto"/>
            </w:tcBorders>
            <w:vMerge w:val="restart"/>
          </w:tcPr>
          <w:p>
            <w:pPr>
              <w:ind w:left="200"/>
              <w:spacing w:after="0" w:line="294" w:lineRule="exact"/>
              <w:rPr>
                <w:sz w:val="20"/>
                <w:szCs w:val="20"/>
                <w:color w:val="auto"/>
              </w:rPr>
            </w:pPr>
            <w:r>
              <w:rPr>
                <w:rFonts w:ascii="Arial" w:cs="Arial" w:eastAsia="Arial" w:hAnsi="Arial"/>
                <w:sz w:val="18"/>
                <w:szCs w:val="18"/>
                <w:color w:val="auto"/>
              </w:rPr>
              <w:t>3,100,000</w:t>
            </w:r>
            <w:r>
              <w:rPr>
                <w:rFonts w:ascii="Arial" w:cs="Arial" w:eastAsia="Arial" w:hAnsi="Arial"/>
                <w:sz w:val="29"/>
                <w:szCs w:val="29"/>
                <w:color w:val="auto"/>
                <w:vertAlign w:val="superscript"/>
              </w:rPr>
              <w:t>(5)</w:t>
            </w:r>
          </w:p>
        </w:tc>
        <w:tc>
          <w:tcPr>
            <w:tcW w:w="0" w:type="dxa"/>
            <w:vAlign w:val="bottom"/>
          </w:tcPr>
          <w:p>
            <w:pPr>
              <w:spacing w:after="0"/>
              <w:rPr>
                <w:sz w:val="1"/>
                <w:szCs w:val="1"/>
                <w:color w:val="auto"/>
              </w:rPr>
            </w:pPr>
          </w:p>
        </w:tc>
      </w:tr>
      <w:tr>
        <w:trPr>
          <w:trHeight w:val="176"/>
        </w:trPr>
        <w:tc>
          <w:tcPr>
            <w:tcW w:w="400" w:type="dxa"/>
            <w:vAlign w:val="bottom"/>
            <w:tcBorders>
              <w:left w:val="single" w:sz="8" w:color="auto"/>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4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06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540" w:type="dxa"/>
            <w:vAlign w:val="bottom"/>
            <w:tcBorders>
              <w:right w:val="single" w:sz="8" w:color="auto"/>
            </w:tcBorders>
          </w:tcPr>
          <w:p>
            <w:pPr>
              <w:spacing w:after="0"/>
              <w:rPr>
                <w:sz w:val="19"/>
                <w:szCs w:val="19"/>
                <w:color w:val="auto"/>
              </w:rPr>
            </w:pPr>
          </w:p>
        </w:tc>
        <w:tc>
          <w:tcPr>
            <w:tcW w:w="10300" w:type="dxa"/>
            <w:vAlign w:val="bottom"/>
            <w:tcBorders>
              <w:right w:val="single" w:sz="8" w:color="auto"/>
            </w:tcBorders>
            <w:gridSpan w:val="4"/>
          </w:tcPr>
          <w:p>
            <w:pPr>
              <w:ind w:left="2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340" w:type="dxa"/>
            <w:vAlign w:val="bottom"/>
          </w:tcPr>
          <w:p>
            <w:pPr>
              <w:ind w:left="200"/>
              <w:spacing w:after="0"/>
              <w:rPr>
                <w:sz w:val="20"/>
                <w:szCs w:val="20"/>
                <w:color w:val="auto"/>
              </w:rPr>
            </w:pPr>
            <w:r>
              <w:rPr>
                <w:rFonts w:ascii="Arial" w:cs="Arial" w:eastAsia="Arial" w:hAnsi="Arial"/>
                <w:sz w:val="18"/>
                <w:szCs w:val="18"/>
                <w:color w:val="auto"/>
              </w:rPr>
              <w:t>3,100,000</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030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0" w:type="dxa"/>
            <w:vAlign w:val="bottom"/>
            <w:tcBorders>
              <w:left w:val="single" w:sz="8" w:color="auto"/>
            </w:tcBorders>
          </w:tcPr>
          <w:p>
            <w:pPr>
              <w:ind w:left="120"/>
              <w:spacing w:after="0" w:line="189" w:lineRule="exact"/>
              <w:rPr>
                <w:sz w:val="20"/>
                <w:szCs w:val="20"/>
                <w:color w:val="auto"/>
              </w:rPr>
            </w:pPr>
            <w:r>
              <w:rPr>
                <w:rFonts w:ascii="Arial" w:cs="Arial" w:eastAsia="Arial" w:hAnsi="Arial"/>
                <w:sz w:val="18"/>
                <w:szCs w:val="18"/>
                <w:color w:val="auto"/>
              </w:rPr>
              <w:t>12</w:t>
            </w:r>
          </w:p>
        </w:tc>
        <w:tc>
          <w:tcPr>
            <w:tcW w:w="540" w:type="dxa"/>
            <w:vAlign w:val="bottom"/>
            <w:tcBorders>
              <w:right w:val="single" w:sz="8" w:color="auto"/>
            </w:tcBorders>
          </w:tcPr>
          <w:p>
            <w:pPr>
              <w:spacing w:after="0"/>
              <w:rPr>
                <w:sz w:val="16"/>
                <w:szCs w:val="16"/>
                <w:color w:val="auto"/>
              </w:rPr>
            </w:pPr>
          </w:p>
        </w:tc>
        <w:tc>
          <w:tcPr>
            <w:tcW w:w="10300" w:type="dxa"/>
            <w:vAlign w:val="bottom"/>
            <w:tcBorders>
              <w:right w:val="single" w:sz="8" w:color="auto"/>
            </w:tcBorders>
            <w:gridSpan w:val="4"/>
          </w:tcPr>
          <w:p>
            <w:pPr>
              <w:ind w:left="200"/>
              <w:spacing w:after="0" w:line="189" w:lineRule="exact"/>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86"/>
        </w:trPr>
        <w:tc>
          <w:tcPr>
            <w:tcW w:w="40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gridSpan w:val="2"/>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Borders>
              <w:bottom w:val="single" w:sz="8" w:color="auto"/>
            </w:tcBorders>
          </w:tcPr>
          <w:p>
            <w:pPr>
              <w:spacing w:after="0"/>
              <w:rPr>
                <w:sz w:val="24"/>
                <w:szCs w:val="24"/>
                <w:color w:val="auto"/>
              </w:rPr>
            </w:pPr>
          </w:p>
        </w:tc>
        <w:tc>
          <w:tcPr>
            <w:tcW w:w="8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13</w:t>
            </w:r>
          </w:p>
        </w:tc>
        <w:tc>
          <w:tcPr>
            <w:tcW w:w="540" w:type="dxa"/>
            <w:vAlign w:val="bottom"/>
            <w:tcBorders>
              <w:right w:val="single" w:sz="8" w:color="auto"/>
            </w:tcBorders>
          </w:tcPr>
          <w:p>
            <w:pPr>
              <w:spacing w:after="0"/>
              <w:rPr>
                <w:sz w:val="19"/>
                <w:szCs w:val="19"/>
                <w:color w:val="auto"/>
              </w:rPr>
            </w:pPr>
          </w:p>
        </w:tc>
        <w:tc>
          <w:tcPr>
            <w:tcW w:w="10300" w:type="dxa"/>
            <w:vAlign w:val="bottom"/>
            <w:tcBorders>
              <w:right w:val="single" w:sz="8" w:color="auto"/>
            </w:tcBorders>
            <w:gridSpan w:val="4"/>
          </w:tcPr>
          <w:p>
            <w:pPr>
              <w:ind w:left="2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340" w:type="dxa"/>
            <w:vAlign w:val="bottom"/>
          </w:tcPr>
          <w:p>
            <w:pPr>
              <w:ind w:left="20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030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14</w:t>
            </w:r>
          </w:p>
        </w:tc>
        <w:tc>
          <w:tcPr>
            <w:tcW w:w="540" w:type="dxa"/>
            <w:vAlign w:val="bottom"/>
            <w:tcBorders>
              <w:right w:val="single" w:sz="8" w:color="auto"/>
            </w:tcBorders>
          </w:tcPr>
          <w:p>
            <w:pPr>
              <w:spacing w:after="0"/>
              <w:rPr>
                <w:sz w:val="19"/>
                <w:szCs w:val="19"/>
                <w:color w:val="auto"/>
              </w:rPr>
            </w:pPr>
          </w:p>
        </w:tc>
        <w:tc>
          <w:tcPr>
            <w:tcW w:w="10300" w:type="dxa"/>
            <w:vAlign w:val="bottom"/>
            <w:tcBorders>
              <w:right w:val="single" w:sz="8" w:color="auto"/>
            </w:tcBorders>
            <w:gridSpan w:val="4"/>
          </w:tcPr>
          <w:p>
            <w:pPr>
              <w:ind w:left="2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500" w:type="dxa"/>
            <w:vAlign w:val="bottom"/>
            <w:gridSpan w:val="2"/>
          </w:tcPr>
          <w:p>
            <w:pPr>
              <w:ind w:left="200"/>
              <w:spacing w:after="0"/>
              <w:rPr>
                <w:sz w:val="20"/>
                <w:szCs w:val="20"/>
                <w:color w:val="auto"/>
              </w:rPr>
            </w:pPr>
            <w:r>
              <w:rPr>
                <w:rFonts w:ascii="Arial" w:cs="Arial" w:eastAsia="Arial" w:hAnsi="Arial"/>
                <w:sz w:val="18"/>
                <w:szCs w:val="18"/>
                <w:color w:val="auto"/>
              </w:rPr>
              <w:t>OO</w:t>
            </w:r>
          </w:p>
        </w:tc>
        <w:tc>
          <w:tcPr>
            <w:tcW w:w="740" w:type="dxa"/>
            <w:vAlign w:val="bottom"/>
          </w:tcPr>
          <w:p>
            <w:pPr>
              <w:spacing w:after="0"/>
              <w:rPr>
                <w:sz w:val="20"/>
                <w:szCs w:val="20"/>
                <w:color w:val="auto"/>
              </w:rPr>
            </w:pPr>
          </w:p>
        </w:tc>
        <w:tc>
          <w:tcPr>
            <w:tcW w:w="8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firstLine="8"/>
        <w:spacing w:after="0" w:line="311" w:lineRule="auto"/>
        <w:tabs>
          <w:tab w:leader="none" w:pos="255" w:val="left"/>
        </w:tabs>
        <w:numPr>
          <w:ilvl w:val="0"/>
          <w:numId w:val="6"/>
        </w:numPr>
        <w:rPr>
          <w:rFonts w:ascii="Arial" w:cs="Arial" w:eastAsia="Arial" w:hAnsi="Arial"/>
          <w:sz w:val="16"/>
          <w:szCs w:val="16"/>
          <w:color w:val="auto"/>
        </w:rPr>
      </w:pPr>
      <w:r>
        <w:rPr>
          <w:rFonts w:ascii="Arial" w:cs="Arial" w:eastAsia="Arial" w:hAnsi="Arial"/>
          <w:sz w:val="16"/>
          <w:szCs w:val="16"/>
          <w:color w:val="auto"/>
        </w:rPr>
        <w:t>See Note 3 above. Een is wholly owned by Acacia Trust, a Jersey Law trust, administered in Switzerland (“</w:t>
      </w:r>
      <w:r>
        <w:rPr>
          <w:rFonts w:ascii="Arial" w:cs="Arial" w:eastAsia="Arial" w:hAnsi="Arial"/>
          <w:sz w:val="16"/>
          <w:szCs w:val="16"/>
          <w:u w:val="single" w:color="auto"/>
          <w:color w:val="auto"/>
        </w:rPr>
        <w:t>Acacia Trust</w:t>
      </w:r>
      <w:r>
        <w:rPr>
          <w:rFonts w:ascii="Arial" w:cs="Arial" w:eastAsia="Arial" w:hAnsi="Arial"/>
          <w:sz w:val="16"/>
          <w:szCs w:val="16"/>
          <w:color w:val="auto"/>
        </w:rPr>
        <w:t>”), of which Mr. Marais is a beneficiary. Swiss Independent Trustees, S.A., in its capacity as trustee of Acacia Trust and not in its individual capacity, shares voting and dispositive power over the 3,100,000 Ordinary Shares held by One Spire, pursuant to Een’s indirect ownership of the 3,100,000 Ordinary Shares held by One Spire.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This Amendment No. 2 amends, restates and supersedes the statement on Schedule 13D (the “</w:t>
      </w:r>
      <w:r>
        <w:rPr>
          <w:rFonts w:ascii="Arial" w:cs="Arial" w:eastAsia="Arial" w:hAnsi="Arial"/>
          <w:sz w:val="16"/>
          <w:szCs w:val="16"/>
          <w:u w:val="single" w:color="auto"/>
          <w:color w:val="auto"/>
        </w:rPr>
        <w:t>Schedule 13D</w:t>
      </w:r>
      <w:r>
        <w:rPr>
          <w:rFonts w:ascii="Arial" w:cs="Arial" w:eastAsia="Arial" w:hAnsi="Arial"/>
          <w:sz w:val="16"/>
          <w:szCs w:val="16"/>
          <w:color w:val="auto"/>
        </w:rPr>
        <w:t>”) filed with the U.S.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on April 26, 2021, as amended and restated by the Amendment No. 1 filed with the SEC on August 23, 2021 (File No. 005-92497), by (i) Juan Marais, a South African Citizen, (ii) Jennefe Allen, a South African citizen, (iii) Georgem Holdings (Pty) Ltd., a South African proprietary limited company (“</w:t>
      </w:r>
      <w:r>
        <w:rPr>
          <w:rFonts w:ascii="Arial" w:cs="Arial" w:eastAsia="Arial" w:hAnsi="Arial"/>
          <w:sz w:val="16"/>
          <w:szCs w:val="16"/>
          <w:u w:val="single" w:color="auto"/>
          <w:color w:val="auto"/>
        </w:rPr>
        <w:t>Georgem</w:t>
      </w:r>
      <w:r>
        <w:rPr>
          <w:rFonts w:ascii="Arial" w:cs="Arial" w:eastAsia="Arial" w:hAnsi="Arial"/>
          <w:sz w:val="16"/>
          <w:szCs w:val="16"/>
          <w:color w:val="auto"/>
        </w:rPr>
        <w:t>”), (iv) Georgem Trust, a South African Trust, (v) Een (as defined below), (vi) Hong Yap Lau, a Malaysian citizen,</w:t>
      </w:r>
    </w:p>
    <w:p>
      <w:pPr>
        <w:spacing w:after="0" w:line="1" w:lineRule="exact"/>
        <w:rPr>
          <w:sz w:val="20"/>
          <w:szCs w:val="20"/>
          <w:color w:val="auto"/>
        </w:rPr>
      </w:pPr>
    </w:p>
    <w:p>
      <w:pPr>
        <w:ind w:right="440" w:firstLine="8"/>
        <w:spacing w:after="0" w:line="260" w:lineRule="auto"/>
        <w:tabs>
          <w:tab w:leader="none" w:pos="355" w:val="left"/>
        </w:tabs>
        <w:numPr>
          <w:ilvl w:val="0"/>
          <w:numId w:val="7"/>
        </w:numPr>
        <w:rPr>
          <w:rFonts w:ascii="Arial" w:cs="Arial" w:eastAsia="Arial" w:hAnsi="Arial"/>
          <w:sz w:val="18"/>
          <w:szCs w:val="18"/>
          <w:color w:val="auto"/>
        </w:rPr>
      </w:pPr>
      <w:r>
        <w:rPr>
          <w:rFonts w:ascii="Arial" w:cs="Arial" w:eastAsia="Arial" w:hAnsi="Arial"/>
          <w:sz w:val="18"/>
          <w:szCs w:val="18"/>
          <w:color w:val="auto"/>
        </w:rPr>
        <w:t>Acacia Trust (as defined below) and (viii) One Spire (as defined below) relating to the Ordinary Shares of the Issuer. Information reported in this Schedule 13D/A amends, restates and supersedes information provided in the Schedule 13D, as amended.</w:t>
      </w:r>
    </w:p>
    <w:p>
      <w:pPr>
        <w:spacing w:after="0" w:line="18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Security and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 w:name="page7"/>
    <w:bookmarkEnd w:id="6"/>
    <w:p>
      <w:pPr>
        <w:ind w:right="120"/>
        <w:spacing w:after="0" w:line="342" w:lineRule="auto"/>
        <w:rPr>
          <w:sz w:val="20"/>
          <w:szCs w:val="20"/>
          <w:color w:val="auto"/>
        </w:rPr>
      </w:pPr>
      <w:r>
        <w:rPr>
          <w:rFonts w:ascii="Arial" w:cs="Arial" w:eastAsia="Arial" w:hAnsi="Arial"/>
          <w:sz w:val="16"/>
          <w:szCs w:val="16"/>
          <w:color w:val="auto"/>
        </w:rPr>
        <w:t>This Schedule 13D/A relates to the ordinary shares, no par value per share (the “</w:t>
      </w:r>
      <w:r>
        <w:rPr>
          <w:rFonts w:ascii="Arial" w:cs="Arial" w:eastAsia="Arial" w:hAnsi="Arial"/>
          <w:sz w:val="16"/>
          <w:szCs w:val="16"/>
          <w:u w:val="single" w:color="auto"/>
          <w:color w:val="auto"/>
        </w:rPr>
        <w:t>Ordinary Shares</w:t>
      </w:r>
      <w:r>
        <w:rPr>
          <w:rFonts w:ascii="Arial" w:cs="Arial" w:eastAsia="Arial" w:hAnsi="Arial"/>
          <w:sz w:val="16"/>
          <w:szCs w:val="16"/>
          <w:color w:val="auto"/>
        </w:rPr>
        <w:t>”) of Karooooo Ltd., a Singapore public limited company (the “</w:t>
      </w:r>
      <w:r>
        <w:rPr>
          <w:rFonts w:ascii="Arial" w:cs="Arial" w:eastAsia="Arial" w:hAnsi="Arial"/>
          <w:sz w:val="16"/>
          <w:szCs w:val="16"/>
          <w:u w:val="single" w:color="auto"/>
          <w:color w:val="auto"/>
        </w:rPr>
        <w:t>Issuer</w:t>
      </w:r>
      <w:r>
        <w:rPr>
          <w:rFonts w:ascii="Arial" w:cs="Arial" w:eastAsia="Arial" w:hAnsi="Arial"/>
          <w:sz w:val="16"/>
          <w:szCs w:val="16"/>
          <w:color w:val="auto"/>
        </w:rPr>
        <w:t>”). The address of the principal executive office of the Issuer is 10 Anson Road, #12-14, International Plaza, Singapore 079903.</w:t>
      </w:r>
    </w:p>
    <w:p>
      <w:pPr>
        <w:spacing w:after="0" w:line="12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29"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(a)-(b) This Schedule 13D/A is being filed by: (i) Juan Marais, a South African citizen, (ii) Een Pte. Ltd., a private limited company under the Companies Act (Chapter 50) of Singapore (“</w:t>
      </w:r>
      <w:r>
        <w:rPr>
          <w:rFonts w:ascii="Arial" w:cs="Arial" w:eastAsia="Arial" w:hAnsi="Arial"/>
          <w:sz w:val="16"/>
          <w:szCs w:val="16"/>
          <w:u w:val="single" w:color="auto"/>
          <w:color w:val="auto"/>
        </w:rPr>
        <w:t>Een</w:t>
      </w:r>
      <w:r>
        <w:rPr>
          <w:rFonts w:ascii="Arial" w:cs="Arial" w:eastAsia="Arial" w:hAnsi="Arial"/>
          <w:sz w:val="16"/>
          <w:szCs w:val="16"/>
          <w:color w:val="auto"/>
        </w:rPr>
        <w:t>”), (iii) Hong Yap Lau, a Malaysian citizen, (iv) Acacia Trust, a Jersey Law trust, administered in Switzerland, by Swiss Independent Trustees, S.A., in its capacity as the trustee on behalf of Acacia Trust (“</w:t>
      </w:r>
      <w:r>
        <w:rPr>
          <w:rFonts w:ascii="Arial" w:cs="Arial" w:eastAsia="Arial" w:hAnsi="Arial"/>
          <w:sz w:val="16"/>
          <w:szCs w:val="16"/>
          <w:u w:val="single" w:color="auto"/>
          <w:color w:val="auto"/>
        </w:rPr>
        <w:t>Acacia Trust</w:t>
      </w:r>
      <w:r>
        <w:rPr>
          <w:rFonts w:ascii="Arial" w:cs="Arial" w:eastAsia="Arial" w:hAnsi="Arial"/>
          <w:sz w:val="16"/>
          <w:szCs w:val="16"/>
          <w:color w:val="auto"/>
        </w:rPr>
        <w:t>” and, together with Een and Mr. Lau, the “</w:t>
      </w:r>
      <w:r>
        <w:rPr>
          <w:rFonts w:ascii="Arial" w:cs="Arial" w:eastAsia="Arial" w:hAnsi="Arial"/>
          <w:sz w:val="16"/>
          <w:szCs w:val="16"/>
          <w:u w:val="single" w:color="auto"/>
          <w:color w:val="auto"/>
        </w:rPr>
        <w:t>Een</w:t>
      </w:r>
      <w:r>
        <w:rPr>
          <w:rFonts w:ascii="Arial" w:cs="Arial" w:eastAsia="Arial" w:hAnsi="Arial"/>
          <w:sz w:val="16"/>
          <w:szCs w:val="16"/>
          <w:color w:val="auto"/>
        </w:rPr>
        <w:t xml:space="preserve"> </w:t>
      </w:r>
      <w:r>
        <w:rPr>
          <w:rFonts w:ascii="Arial" w:cs="Arial" w:eastAsia="Arial" w:hAnsi="Arial"/>
          <w:sz w:val="16"/>
          <w:szCs w:val="16"/>
          <w:u w:val="single" w:color="auto"/>
          <w:color w:val="auto"/>
        </w:rPr>
        <w:t>Entities</w:t>
      </w:r>
      <w:r>
        <w:rPr>
          <w:rFonts w:ascii="Arial" w:cs="Arial" w:eastAsia="Arial" w:hAnsi="Arial"/>
          <w:sz w:val="16"/>
          <w:szCs w:val="16"/>
          <w:color w:val="auto"/>
        </w:rPr>
        <w:t>”), (v) One Spire (Pty) Ltd., a South African proprietary limited company (“</w:t>
      </w:r>
      <w:r>
        <w:rPr>
          <w:rFonts w:ascii="Arial" w:cs="Arial" w:eastAsia="Arial" w:hAnsi="Arial"/>
          <w:sz w:val="16"/>
          <w:szCs w:val="16"/>
          <w:u w:val="single" w:color="auto"/>
          <w:color w:val="auto"/>
        </w:rPr>
        <w:t>One Spire</w:t>
      </w:r>
      <w:r>
        <w:rPr>
          <w:rFonts w:ascii="Arial" w:cs="Arial" w:eastAsia="Arial" w:hAnsi="Arial"/>
          <w:sz w:val="16"/>
          <w:szCs w:val="16"/>
          <w:color w:val="auto"/>
        </w:rPr>
        <w:t>”) (collectively, the “</w:t>
      </w:r>
      <w:r>
        <w:rPr>
          <w:rFonts w:ascii="Arial" w:cs="Arial" w:eastAsia="Arial" w:hAnsi="Arial"/>
          <w:sz w:val="16"/>
          <w:szCs w:val="16"/>
          <w:u w:val="single" w:color="auto"/>
          <w:color w:val="auto"/>
        </w:rPr>
        <w:t>Reporting Persons</w:t>
      </w:r>
      <w:r>
        <w:rPr>
          <w:rFonts w:ascii="Arial" w:cs="Arial" w:eastAsia="Arial" w:hAnsi="Arial"/>
          <w:sz w:val="16"/>
          <w:szCs w:val="16"/>
          <w:color w:val="auto"/>
        </w:rPr>
        <w:t>”).</w:t>
      </w:r>
    </w:p>
    <w:p>
      <w:pPr>
        <w:spacing w:after="0" w:line="157"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Mr. Lau is the director of Een, which is wholly owned by Acacia Trust and owns approximately 74% of the outstanding capital stock of One Spire. Mr. Marais is the director of One Spire, and therefore Mr. Marais, Mr. Lau, Een and Acacia Trust share voting and investment power over the shares held by One Spire.</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address of the principal business office of each of Mr. Marais, Een, Acacia Trust and One Spire is c/o Juan Marais, 21 Penhurst Avenue, Essexwold, Bedfordview, South Africa 2007.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address of the principal business office of Mr. Lau is c/o Karooooo Ltd., 10 Anson Road #12-14, International Plaza, Sinapore 079903.</w:t>
      </w:r>
    </w:p>
    <w:p>
      <w:pPr>
        <w:spacing w:after="0" w:line="225" w:lineRule="exact"/>
        <w:rPr>
          <w:sz w:val="20"/>
          <w:szCs w:val="20"/>
          <w:color w:val="auto"/>
        </w:rPr>
      </w:pPr>
    </w:p>
    <w:p>
      <w:pPr>
        <w:ind w:right="40" w:firstLine="8"/>
        <w:spacing w:after="0" w:line="286" w:lineRule="auto"/>
        <w:tabs>
          <w:tab w:leader="none" w:pos="24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principal business of Mr. Marais is serving as Chief Sales Officer of the Issuer. The principal business of Een is holding securities of One Spire. The principal business of Mr. Lau is serving as Senior Consolidation Officer of the Issuer. The principal business of Acacia Trust is to hold assets on behalf of its beneficiaries, Mr. Marais and his immediate family. The principal business of One Spire is holding securities of the Issuer.</w:t>
      </w:r>
    </w:p>
    <w:p>
      <w:pPr>
        <w:spacing w:after="0" w:line="165" w:lineRule="exact"/>
        <w:rPr>
          <w:rFonts w:ascii="Arial" w:cs="Arial" w:eastAsia="Arial" w:hAnsi="Arial"/>
          <w:sz w:val="17"/>
          <w:szCs w:val="17"/>
          <w:color w:val="auto"/>
        </w:rPr>
      </w:pPr>
    </w:p>
    <w:p>
      <w:pPr>
        <w:ind w:right="780" w:firstLine="8"/>
        <w:spacing w:after="0" w:line="277"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the last five years, none of the Reporting Persons have been convicted in a criminal proceeding (excluding traffic violations or similar misdemeanors).</w:t>
      </w:r>
    </w:p>
    <w:p>
      <w:pPr>
        <w:spacing w:after="0" w:line="170" w:lineRule="exact"/>
        <w:rPr>
          <w:rFonts w:ascii="Arial" w:cs="Arial" w:eastAsia="Arial" w:hAnsi="Arial"/>
          <w:sz w:val="18"/>
          <w:szCs w:val="18"/>
          <w:color w:val="auto"/>
        </w:rPr>
      </w:pPr>
    </w:p>
    <w:p>
      <w:pPr>
        <w:ind w:right="500" w:firstLine="8"/>
        <w:spacing w:after="0" w:line="286" w:lineRule="auto"/>
        <w:tabs>
          <w:tab w:leader="none" w:pos="245" w:val="left"/>
        </w:tabs>
        <w:numPr>
          <w:ilvl w:val="0"/>
          <w:numId w:val="8"/>
        </w:numPr>
        <w:rPr>
          <w:rFonts w:ascii="Arial" w:cs="Arial" w:eastAsia="Arial" w:hAnsi="Arial"/>
          <w:sz w:val="17"/>
          <w:szCs w:val="17"/>
          <w:color w:val="auto"/>
        </w:rPr>
      </w:pPr>
      <w:r>
        <w:rPr>
          <w:rFonts w:ascii="Arial" w:cs="Arial" w:eastAsia="Arial" w:hAnsi="Arial"/>
          <w:sz w:val="17"/>
          <w:szCs w:val="17"/>
          <w:color w:val="auto"/>
        </w:rPr>
        <w:t>During the last five years, none of the Reporting Persons have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65" w:lineRule="exact"/>
        <w:rPr>
          <w:rFonts w:ascii="Arial" w:cs="Arial" w:eastAsia="Arial" w:hAnsi="Arial"/>
          <w:sz w:val="17"/>
          <w:szCs w:val="17"/>
          <w:color w:val="auto"/>
        </w:rPr>
      </w:pPr>
    </w:p>
    <w:p>
      <w:pPr>
        <w:ind w:left="240" w:hanging="232"/>
        <w:spacing w:after="0"/>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 Item 2(a)-(b) above for citizenship or place of organization, as applicable, of each of the Reporting Persons.</w:t>
      </w:r>
    </w:p>
    <w:p>
      <w:pPr>
        <w:spacing w:after="0" w:line="22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29"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Funds for the purchase by Georgem of the Ordinary Shares reported in the Schedule 13D, as amended, and referred to herein as the Initial Georgem Holding (as defined below) were derived from a corporate reorganization (the “</w:t>
      </w:r>
      <w:r>
        <w:rPr>
          <w:rFonts w:ascii="Arial" w:cs="Arial" w:eastAsia="Arial" w:hAnsi="Arial"/>
          <w:sz w:val="16"/>
          <w:szCs w:val="16"/>
          <w:u w:val="single" w:color="auto"/>
          <w:color w:val="auto"/>
        </w:rPr>
        <w:t>Corporate Reorganization</w:t>
      </w:r>
      <w:r>
        <w:rPr>
          <w:rFonts w:ascii="Arial" w:cs="Arial" w:eastAsia="Arial" w:hAnsi="Arial"/>
          <w:sz w:val="16"/>
          <w:szCs w:val="16"/>
          <w:color w:val="auto"/>
        </w:rPr>
        <w:t>”), in connection with the Issuer’s initial public offering in the United States. The Corporate Reorganization is described in Item 4 of this Schedule 13D/A, which is incorporated herein by reference.</w:t>
      </w:r>
    </w:p>
    <w:p>
      <w:pPr>
        <w:spacing w:after="0" w:line="14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August 16, 2021, Georgem and One Spire entered into that certain Sale of Shares Agreement (the “</w:t>
      </w:r>
      <w:r>
        <w:rPr>
          <w:rFonts w:ascii="Arial" w:cs="Arial" w:eastAsia="Arial" w:hAnsi="Arial"/>
          <w:sz w:val="17"/>
          <w:szCs w:val="17"/>
          <w:u w:val="single" w:color="auto"/>
          <w:color w:val="auto"/>
        </w:rPr>
        <w:t>August Sale of Shares Agreement</w:t>
      </w:r>
      <w:r>
        <w:rPr>
          <w:rFonts w:ascii="Arial" w:cs="Arial" w:eastAsia="Arial" w:hAnsi="Arial"/>
          <w:sz w:val="17"/>
          <w:szCs w:val="17"/>
          <w:color w:val="auto"/>
        </w:rPr>
        <w:t>”), dated as of August 16, 2021. Pursuant to the August Sale of Shares Agreement, One Spire agreed to acquire, as an off-market trade, 3,000,000 Ordinary Shares held by Georgem for aggregate consideration of R1.26 billion at a purchase price of R420 per Ordinary Share (the “</w:t>
      </w:r>
      <w:r>
        <w:rPr>
          <w:rFonts w:ascii="Arial" w:cs="Arial" w:eastAsia="Arial" w:hAnsi="Arial"/>
          <w:sz w:val="17"/>
          <w:szCs w:val="17"/>
          <w:u w:val="single" w:color="auto"/>
          <w:color w:val="auto"/>
        </w:rPr>
        <w:t>August One Spire Transaction</w:t>
      </w:r>
      <w:r>
        <w:rPr>
          <w:rFonts w:ascii="Arial" w:cs="Arial" w:eastAsia="Arial" w:hAnsi="Arial"/>
          <w:sz w:val="17"/>
          <w:szCs w:val="17"/>
          <w:color w:val="auto"/>
        </w:rPr>
        <w:t>”). Funds for the August One Spire Transaction were payable by One Spire to Georgem pursuant to an interest-free loan arrangement undertaken with the purpose of acquiring the 3,000,000 Ordinary Shares underlying the August One Spire Transaction. On August 23, 2021, Georgem and One Spire consummated the August One Spire Transaction. The August One Spire Transaction is described in Item 4 of this Schedule 13D/A and the August Sale of Shares Agreement is described in Item 6 of this Schedule 13D/A, which are incorporated herein by reference.</w:t>
      </w:r>
    </w:p>
    <w:p>
      <w:pPr>
        <w:spacing w:after="0" w:line="17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On August 25, 2021, Georgem sold 309,000 Ordinary Shares on the Johannesburg Stock Exchange pursuant to Rule 144 for aggregate consideration of R149,715,135.00 at a price of R484.52 per Ordinary Share, through Merrill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Lynch South Africa (Pty) Ltd. as broker, primarily to fund the payment of taxes and costs related to the Scheme (as defined below).</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November 29, 2021, Georgem and One Spire entered into that certain Sale of Shares Agreement (the “</w:t>
      </w:r>
      <w:r>
        <w:rPr>
          <w:rFonts w:ascii="Arial" w:cs="Arial" w:eastAsia="Arial" w:hAnsi="Arial"/>
          <w:sz w:val="17"/>
          <w:szCs w:val="17"/>
          <w:u w:val="single" w:color="auto"/>
          <w:color w:val="auto"/>
        </w:rPr>
        <w:t>November Sale of Shares Agreement</w:t>
      </w:r>
      <w:r>
        <w:rPr>
          <w:rFonts w:ascii="Arial" w:cs="Arial" w:eastAsia="Arial" w:hAnsi="Arial"/>
          <w:sz w:val="17"/>
          <w:szCs w:val="17"/>
          <w:color w:val="auto"/>
        </w:rPr>
        <w:t>”), dated as of November 29, 2021. Pursuant to the November Sale of Shares Agreement, One Spire agreed to acquire, as an off-market trade, 100,000 Ordinary Shares held by Georgem for aggregate consideration of R50,000,000.00 at a purchase price of R500 per Ordinary Share. Funds for the November One Spire Transaction are payable by One Spire to Georgem pursuant to an interest-free loan arrangement undertaken with the purpose of acquiring the 100,000 Ordinary Shares underlying the November One Spire Transaction. On November 29, 2021, Georgem and One Spire consummated the November One Spire Transaction. The November One Spire Transaction is described in Item 4 of this Schedule 13D/A and the November Sale of Shares Agreement is described in Item 6 of this Schedule 13D/A, which are incorporated herein by reference.</w:t>
      </w:r>
    </w:p>
    <w:p>
      <w:pPr>
        <w:spacing w:after="0" w:line="17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On November 30, 2021, Georgem sold 141,000 Ordinary Shares on the Johannesburg Stock Exchange pursuant to Rule 144 for aggregate consideration of R71,040,967.12 at a price of R503.84 per Ordinary Share, through Peresec SA Nominees (Pty) Ltd. as broker, primarily to fund the payment of taxes and costs related to the Scheme (as defined below). Georgem no longer holds any Ordinary Shares.</w:t>
      </w:r>
    </w:p>
    <w:p>
      <w:pPr>
        <w:spacing w:after="0" w:line="18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Purpose of Transaction</w:t>
      </w:r>
    </w:p>
    <w:p>
      <w:pPr>
        <w:spacing w:after="0" w:line="22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Corporate Reorganization was undertaken pursuant to a scheme of arrangement under Section 114(1) (as read with Section 115) of the South African Companies Act (the “</w:t>
      </w:r>
      <w:r>
        <w:rPr>
          <w:rFonts w:ascii="Arial" w:cs="Arial" w:eastAsia="Arial" w:hAnsi="Arial"/>
          <w:sz w:val="18"/>
          <w:szCs w:val="18"/>
          <w:u w:val="single" w:color="auto"/>
          <w:color w:val="auto"/>
        </w:rPr>
        <w:t>Scheme</w:t>
      </w:r>
      <w:r>
        <w:rPr>
          <w:rFonts w:ascii="Arial" w:cs="Arial" w:eastAsia="Arial" w:hAnsi="Arial"/>
          <w:sz w:val="18"/>
          <w:szCs w:val="18"/>
          <w:color w:val="auto"/>
        </w:rPr>
        <w:t>”), whereby the Issuer, as the majority shareholder of Cartrack Holdings Limited (“</w:t>
      </w:r>
      <w:r>
        <w:rPr>
          <w:rFonts w:ascii="Arial" w:cs="Arial" w:eastAsia="Arial" w:hAnsi="Arial"/>
          <w:sz w:val="18"/>
          <w:szCs w:val="18"/>
          <w:u w:val="single" w:color="auto"/>
          <w:color w:val="auto"/>
        </w:rPr>
        <w:t>Cartrack</w:t>
      </w:r>
      <w:r>
        <w:rPr>
          <w:rFonts w:ascii="Arial" w:cs="Arial" w:eastAsia="Arial" w:hAnsi="Arial"/>
          <w:sz w:val="18"/>
          <w:szCs w:val="18"/>
          <w:color w:val="auto"/>
        </w:rPr>
        <w:t>”) acquired for cash all of the outstanding ordinary shares held by the minority shareholders of Cartrack at a price equal to R42.00 per share (the “</w:t>
      </w:r>
      <w:r>
        <w:rPr>
          <w:rFonts w:ascii="Arial" w:cs="Arial" w:eastAsia="Arial" w:hAnsi="Arial"/>
          <w:sz w:val="18"/>
          <w:szCs w:val="18"/>
          <w:u w:val="single" w:color="auto"/>
          <w:color w:val="auto"/>
        </w:rPr>
        <w:t>Scheme Consideration</w:t>
      </w:r>
      <w:r>
        <w:rPr>
          <w:rFonts w:ascii="Arial" w:cs="Arial" w:eastAsia="Arial" w:hAnsi="Arial"/>
          <w:sz w:val="18"/>
          <w:szCs w:val="18"/>
          <w:color w:val="auto"/>
        </w:rPr>
        <w:t>”), and, as a result, Cartrack became a wholly owned subsidiary of the Issuer. In connection with the Scheme, certain eligible shareholders of Cartrack elected to use all or a portion of their Scheme Consideration to subscribe for Ordinary Shares of the Issuer (the “</w:t>
      </w:r>
      <w:r>
        <w:rPr>
          <w:rFonts w:ascii="Arial" w:cs="Arial" w:eastAsia="Arial" w:hAnsi="Arial"/>
          <w:sz w:val="18"/>
          <w:szCs w:val="18"/>
          <w:u w:val="single" w:color="auto"/>
          <w:color w:val="auto"/>
        </w:rPr>
        <w:t>Reinvestment</w:t>
      </w:r>
      <w:r>
        <w:rPr>
          <w:rFonts w:ascii="Arial" w:cs="Arial" w:eastAsia="Arial" w:hAnsi="Arial"/>
          <w:sz w:val="18"/>
          <w:szCs w:val="18"/>
          <w:color w:val="auto"/>
        </w:rPr>
        <w:t>”). Georgem, an eligible Cartrack shareholder, used its Scheme Consideration to participate in the Reinvestment and acquired 3,550,000 Ordinary Shares on April 21, 2021 (the “</w:t>
      </w:r>
      <w:r>
        <w:rPr>
          <w:rFonts w:ascii="Arial" w:cs="Arial" w:eastAsia="Arial" w:hAnsi="Arial"/>
          <w:sz w:val="18"/>
          <w:szCs w:val="18"/>
          <w:u w:val="single" w:color="auto"/>
          <w:color w:val="auto"/>
        </w:rPr>
        <w:t>Initial Georgem</w:t>
      </w:r>
      <w:r>
        <w:rPr>
          <w:rFonts w:ascii="Arial" w:cs="Arial" w:eastAsia="Arial" w:hAnsi="Arial"/>
          <w:sz w:val="18"/>
          <w:szCs w:val="18"/>
          <w:color w:val="auto"/>
        </w:rPr>
        <w:t xml:space="preserve"> </w:t>
      </w:r>
      <w:r>
        <w:rPr>
          <w:rFonts w:ascii="Arial" w:cs="Arial" w:eastAsia="Arial" w:hAnsi="Arial"/>
          <w:sz w:val="18"/>
          <w:szCs w:val="18"/>
          <w:u w:val="single" w:color="auto"/>
          <w:color w:val="auto"/>
        </w:rPr>
        <w:t>Holding</w:t>
      </w:r>
      <w:r>
        <w:rPr>
          <w:rFonts w:ascii="Arial" w:cs="Arial" w:eastAsia="Arial" w:hAnsi="Arial"/>
          <w:sz w:val="18"/>
          <w:szCs w:val="18"/>
          <w:color w:val="auto"/>
        </w:rPr>
        <w:t>”).</w:t>
      </w:r>
    </w:p>
    <w:p>
      <w:pPr>
        <w:spacing w:after="0" w:line="19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On August 23, 2021, Georgem and One Spire consummated the August One Spire Transaction. Funds for the August One Spire Transaction were payable by One Spire to Georgem pursuant to an interest-free loan arrangement undertaken with the purpose of acquiring the 3,000,000 Ordinary Shares underlying the August One Spire Transaction.</w:t>
      </w:r>
    </w:p>
    <w:p>
      <w:pPr>
        <w:spacing w:after="0" w:line="18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On August 25, 2021, Georgem sold 309,000 Ordinary Shares on the Johannesburg Stock Exchange pursuant to Rule 144 for aggregate consideration of R149,715,135.00 at a price of R484.52 per Ordinary Share, through Merrill Lynch South Africa (Pty) Ltd. as broker, primarily to fund the payment of taxes and costs related to the Scheme (as defined below). Georgem retained 241,000 Ordinary Shares following this sale.</w:t>
      </w:r>
    </w:p>
    <w:p>
      <w:pPr>
        <w:spacing w:after="0" w:line="165"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On November 29, 2021, Georgem and One Spire consummated the November One Spire Transaction. Funds for the November One Spire Transaction were payable by One Spire to Georgem pursuant to an interest-free loan arrangement undertaken with the purpose of acquiring the 100,000 Ordinary Shares underlying the November One Spire Transaction. Georgem retained 141,000 Ordinary Shares following the November One Spire Transaction.</w:t>
      </w:r>
    </w:p>
    <w:p>
      <w:pPr>
        <w:spacing w:after="0" w:line="14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On November 30, 2021, Georgem sold 141,000 Ordinary Shares on the Johannesburg Stock Exchange pursuant to Rule 144 for aggregate consideration of R71,040,967.12 at a price of R503.84 per Ordinary Share, through Peresec SA Nominees (Pty) Ltd. as broker, primarily to fund the payment of taxes and costs related to the Scheme (as defined below). Georgem no longer holds any Ordinary Shares.</w:t>
      </w:r>
    </w:p>
    <w:p>
      <w:pPr>
        <w:spacing w:after="0" w:line="18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Mr. Marais serves as a director of One Spire, and therefore retains beneficial ownership over the 3,100,000 Ordinary Shares held by One Spire following consummation of the November One Spire Transaction. The Een Entities own 740 ordinary shares, or approximately 74% of the outstanding capital stock, of One Spire, and therefore share voting and investment power over the 3,100,000 Ordinary Shares held by One Spire.</w:t>
      </w:r>
    </w:p>
    <w:p>
      <w:pPr>
        <w:spacing w:after="0" w:line="16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No Reporting Person has any present plan or proposal to acquire or dispose of any Ordinary Shares, although each Reporting Person at any time and from time to time may acquire additional Ordinary Shares or, subject to the terms of the A&amp;R One Spire Voting Agreement (as defined below), dispose of Ordinary Shares, as applicable, depending upon prevailing market, economic and other conditions, other investment and business opportunities available to the Reporting Persons, liquidity requirements of the Reporting Persons, tax considerations and/or other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considerations. One Spire does not intend to dispose any Ordinary Shares within 12 months from the date of this Schedule 13D/A filing.</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Subject to the foregoing, none of the Reporting Persons has any plans or proposals which relate to, or could result in, any of the matters referred to in paragraphs (a) through (j), inclusive, of the instructions to Item 4 of Schedule 13D. The Reporting Persons may, at any time and from time to time, review or reconsider their position and/or change their purpose and/or formulate plans or proposals with respect thereto.</w:t>
      </w:r>
    </w:p>
    <w:p>
      <w:pPr>
        <w:spacing w:after="0" w:line="16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29"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(a)-(b) The aggregate number and percentage of the Ordinary Shares beneficially owned by each Reporting Person and, for each Reporting Person, the number of shares as to which there is sole power to vote or to direct the vote, shared power to vote or to direct the vote, sole power to dispose or to direct the disposition, or shared power to dispose or to direct the disposition are set forth on rows 7 through 11 and row 13 of the cover pages of this Schedule 13D/A and are incorporated herein by reference. Calculations of the percentage of Ordinary Shares beneficially owned assumes that there were 30,951,106 Ordinary Shares outstanding as reported in the Issuer’s Report on Form 6-K filed with the U.S. Securities and Exchange Commission on October 14, 2021.</w:t>
      </w:r>
    </w:p>
    <w:p>
      <w:pPr>
        <w:spacing w:after="0" w:line="161"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Neither the filing of this Schedule 13D/A nor any of its contents shall be deemed to constitute an admission that any Reporting Person is the beneficial owner of the Ordinary Shares referred to herein for purposes of Section 13(d) of the Exchange Act, or for any other purpose and each of the Reporting Persons expressly disclaims beneficial ownership of such Ordinary Shares.</w:t>
      </w:r>
    </w:p>
    <w:p>
      <w:pPr>
        <w:spacing w:after="0" w:line="184"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7"/>
          <w:szCs w:val="17"/>
          <w:color w:val="auto"/>
        </w:rPr>
      </w:pPr>
      <w:r>
        <w:rPr>
          <w:rFonts w:ascii="Arial" w:cs="Arial" w:eastAsia="Arial" w:hAnsi="Arial"/>
          <w:sz w:val="17"/>
          <w:szCs w:val="17"/>
          <w:color w:val="auto"/>
        </w:rPr>
        <w:t>Except as set forth in this Schedule 13D/A, the Reporting Persons have not effected any transaction in Ordinary Shares in the past 60 days.</w:t>
      </w:r>
    </w:p>
    <w:p>
      <w:pPr>
        <w:spacing w:after="0" w:line="236" w:lineRule="exact"/>
        <w:rPr>
          <w:rFonts w:ascii="Arial" w:cs="Arial" w:eastAsia="Arial" w:hAnsi="Arial"/>
          <w:sz w:val="17"/>
          <w:szCs w:val="17"/>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The information set forth, or incorporated by reference, in Items 3 through 5 of this Schedule 13D/A is incorporated by reference into this Item 6. Except as otherwise described in this Schedule 13D/A, to the knowledge of the Reporting Persons, there are no other contracts, arrangements, understandings or relationships (legal or otherwise) among the persons named in Item 2 or listed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and between such persons and any person, with respect to any securities of the Issuer, including but not limited to transfer or voting of any of the securities, finder’s fees, joint ventures, loan or option arrangements, puts or calls, guarantees of profits, division of profits or loss, or the giving or withholding of proxies.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Agreements</w:t>
      </w:r>
    </w:p>
    <w:p>
      <w:pPr>
        <w:spacing w:after="0" w:line="2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anticipation of the initial public offering of Karooooo Ltd., and recognizing that Mr. Calisto, as founder, would receive no special rights pursuant to the Constitution of the Issuer, Mr. Calisto and Georgem entered into that certain Voting Agreement (the “</w:t>
      </w:r>
      <w:r>
        <w:rPr>
          <w:rFonts w:ascii="Arial" w:cs="Arial" w:eastAsia="Arial" w:hAnsi="Arial"/>
          <w:sz w:val="17"/>
          <w:szCs w:val="17"/>
          <w:u w:val="single" w:color="auto"/>
          <w:color w:val="auto"/>
        </w:rPr>
        <w:t>Original Georgem Voting Agreement</w:t>
      </w:r>
      <w:r>
        <w:rPr>
          <w:rFonts w:ascii="Arial" w:cs="Arial" w:eastAsia="Arial" w:hAnsi="Arial"/>
          <w:sz w:val="17"/>
          <w:szCs w:val="17"/>
          <w:color w:val="auto"/>
        </w:rPr>
        <w:t>”), dated as of March 22, 2021, with the purpose of providing Mr. Calisto and his permitted transferees the right to exercise, or cause Georgem to exercise as directed by Mr. Calisto and his permitted transferees, the voting rights in respect of the Initial Georgem Holding.</w:t>
      </w:r>
    </w:p>
    <w:p>
      <w:pPr>
        <w:spacing w:after="0" w:line="171"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On August 12, 2021, in anticipation of the August One Spire Transaction, Mr. Calisto and Georgem entered into that certain Amended and Restated Voting Agreement (the “</w:t>
      </w:r>
      <w:r>
        <w:rPr>
          <w:rFonts w:ascii="Arial" w:cs="Arial" w:eastAsia="Arial" w:hAnsi="Arial"/>
          <w:sz w:val="16"/>
          <w:szCs w:val="16"/>
          <w:u w:val="single" w:color="auto"/>
          <w:color w:val="auto"/>
        </w:rPr>
        <w:t>A&amp;R Georgem Voting Agreement</w:t>
      </w:r>
      <w:r>
        <w:rPr>
          <w:rFonts w:ascii="Arial" w:cs="Arial" w:eastAsia="Arial" w:hAnsi="Arial"/>
          <w:sz w:val="16"/>
          <w:szCs w:val="16"/>
          <w:color w:val="auto"/>
        </w:rPr>
        <w:t>”), dated as of August 12, 2021, with the purpose of amending, restating and superseding the Original Georgem Voting Agreement to permit Georgem to transfer 3,000,000 Ordinary Shares in connection with the August One Spire Transaction.</w:t>
      </w:r>
    </w:p>
    <w:p>
      <w:pPr>
        <w:spacing w:after="0" w:line="14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Pursuant to the A&amp;R Georgem Voting Agreement, Mr. Calisto and Georgem had agreed that if Mr. Calisto’s beneficial ownership falls to below 51% of the issued and outstanding Ordinary Shares of the Issuer, then Georgem will cast all votes in respect of the Ordinary Shares held by Georgem as directed by Mr. Calisto and his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transferees. In addition, without the prior written consent of Mr. Calisto, Georgem is not permitted to acquire any additional Ordinary Shares.</w:t>
      </w:r>
    </w:p>
    <w:p>
      <w:pPr>
        <w:spacing w:after="0" w:line="22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Concurrent with execution of the A&amp;R Georgem Voting Agreement and in anticipation of the August One Spire Transaction, Mr. Calisto and One Spire entered into that certain Voting Agreement (the “</w:t>
      </w:r>
      <w:r>
        <w:rPr>
          <w:rFonts w:ascii="Arial" w:cs="Arial" w:eastAsia="Arial" w:hAnsi="Arial"/>
          <w:sz w:val="16"/>
          <w:szCs w:val="16"/>
          <w:u w:val="single" w:color="auto"/>
          <w:color w:val="auto"/>
        </w:rPr>
        <w:t>Original One Spire Voting Agreement</w:t>
      </w:r>
      <w:r>
        <w:rPr>
          <w:rFonts w:ascii="Arial" w:cs="Arial" w:eastAsia="Arial" w:hAnsi="Arial"/>
          <w:sz w:val="16"/>
          <w:szCs w:val="16"/>
          <w:color w:val="auto"/>
        </w:rPr>
        <w:t>”), dated as of August 12, 2021, with the purpose of providing Mr. Calisto and his permitted transferees the right to exercise, or cause One Spire to exercise as directed by Mr. Calisto and his permitted transferees, the voting rights in respect of the Ordinary Shares held by One Spire in connection with the August One Spire Transaction or otherwise held by One Spire.</w:t>
      </w:r>
    </w:p>
    <w:p>
      <w:pPr>
        <w:spacing w:after="0" w:line="157"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On December 6, 2021, in connection with the November One Spire Transaction, Mr. Calisto and One Spire entered into that certain Amended and Restated Voting Agreement (the “</w:t>
      </w:r>
      <w:r>
        <w:rPr>
          <w:rFonts w:ascii="Arial" w:cs="Arial" w:eastAsia="Arial" w:hAnsi="Arial"/>
          <w:sz w:val="18"/>
          <w:szCs w:val="18"/>
          <w:u w:val="single" w:color="auto"/>
          <w:color w:val="auto"/>
        </w:rPr>
        <w:t>A&amp;R One Spire Voting Agreement</w:t>
      </w:r>
      <w:r>
        <w:rPr>
          <w:rFonts w:ascii="Arial" w:cs="Arial" w:eastAsia="Arial" w:hAnsi="Arial"/>
          <w:sz w:val="18"/>
          <w:szCs w:val="18"/>
          <w:color w:val="auto"/>
        </w:rPr>
        <w:t>”), dated as of December 6, 2021, with the purpose of amending, restating and superseding the Original One Spire Voting Agreement.</w:t>
      </w:r>
    </w:p>
    <w:p>
      <w:pPr>
        <w:spacing w:after="0" w:line="1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Pursuant to the A&amp;R One Spire Voting Agreement, Mr. Calisto and One Spire have agreed that if Mr. Calisto’s beneficial ownership falls to below 51% of the issued and outstanding Ordinary Shares of the Issuer, then One Spire will cast all votes in respect of the Ordinary Shares held by One Spire as directed by Mr. Calisto and his permitted transferees. In addition, without the prior written consent of Mr. Calisto, One Spire is not permitted to (i) transfer any Ordinary Shares owned by One Spire or (ii) acquire any additional Ordinary Shares.</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Mr. Calisto may be deemed to have beneficial ownership and shared voting power of the 3,100,000 Ordinary Shares held by One Spire as a result of the A&amp;R One Spire Voting Agreement described herein. However, as of the filing date of this Schedule 13D/A, as Mr. Calisto otherwise beneficially owns Ordinary Shares representing more than 51% of the total issued and outstanding Ordinary Shares of the Issuer, he may not exercise voting rights in respect of the Ordinary Shares owned by One Spire. Neither the filing of this Schedule 13D/A nor any of its contents shall be deemed to constitute an admission by Mr. Calisto that he is the beneficial owner of any Ordinary Shares held by One Spire for purposes of Section 13(d) of the Exchange Act or for any other purpose, and such beneficial ownership thereof is expressly disclaimed.</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description of the A&amp;R One Spire Voting Agreement contained in this Item 6 is not intended to be complete and is qualified in its entirety by reference to such documents, which is filed as Exhibit 99.2 hereto and incorporated by reference 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August Sale of Shares Agreement</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August 16, 2021, Georgem and One Spire entered into that certain August Sale of Shares Agreement, with the purpose of effectuating the August One Spire Transaction. Pursuant to the August Sale of Shares Agreement, One Spire agreed to acquire, as an off-market trade, 3,000,000 Ordinary Shares held by Georgem for aggregate consideration of R1.26 billion at a purchase price of R420 per Ordinary Share (the “</w:t>
      </w:r>
      <w:r>
        <w:rPr>
          <w:rFonts w:ascii="Arial" w:cs="Arial" w:eastAsia="Arial" w:hAnsi="Arial"/>
          <w:sz w:val="17"/>
          <w:szCs w:val="17"/>
          <w:u w:val="single" w:color="auto"/>
          <w:color w:val="auto"/>
        </w:rPr>
        <w:t>August One Spire Transaction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Consideration</w:t>
      </w:r>
      <w:r>
        <w:rPr>
          <w:rFonts w:ascii="Arial" w:cs="Arial" w:eastAsia="Arial" w:hAnsi="Arial"/>
          <w:sz w:val="17"/>
          <w:szCs w:val="17"/>
          <w:color w:val="auto"/>
        </w:rPr>
        <w:t>”). The August One Spire Transaction Consideration was not immediately payable, and was outstanding as a loan account payable to Georgem (the “</w:t>
      </w:r>
      <w:r>
        <w:rPr>
          <w:rFonts w:ascii="Arial" w:cs="Arial" w:eastAsia="Arial" w:hAnsi="Arial"/>
          <w:sz w:val="17"/>
          <w:szCs w:val="17"/>
          <w:u w:val="single" w:color="auto"/>
          <w:color w:val="auto"/>
        </w:rPr>
        <w:t>Loan</w:t>
      </w:r>
      <w:r>
        <w:rPr>
          <w:rFonts w:ascii="Arial" w:cs="Arial" w:eastAsia="Arial" w:hAnsi="Arial"/>
          <w:sz w:val="17"/>
          <w:szCs w:val="17"/>
          <w:color w:val="auto"/>
        </w:rPr>
        <w:t>”). Pursuant to the August Sale of Shares Agreement, One Spire shall utilize a minimum of 20% of all dividends received in respect of the 3,000,000 Ordinary Shares acquired pursuant to the August One Spire Transaction to repay the loan until repaid in full. Georgem may demand full repayment of the outstanding loan balance upon notice and satisfaction of certain terms and conditions.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August One Spire Transaction contemplated by the August Sale of Shares Agreement was consummated on August 23,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November Sale of Shares Agreement</w:t>
      </w:r>
    </w:p>
    <w:p>
      <w:pPr>
        <w:spacing w:after="0" w:line="22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On November 29, 2021, Georgem and One Spire entered into that certain November Sale of Shares Agreement, with the purpose of effectuating the November One Spire Transaction. Pursuant to the November Sale of Shares Agreement, One Spire agreed to acquire, as an off-market trade, 100,000 Ordinary Shares held by Georgem for aggregate consideration of R50,000,000.00 at a purchase price of R500.00 per Ordinary Share (the “</w:t>
      </w:r>
      <w:r>
        <w:rPr>
          <w:rFonts w:ascii="Arial" w:cs="Arial" w:eastAsia="Arial" w:hAnsi="Arial"/>
          <w:sz w:val="16"/>
          <w:szCs w:val="16"/>
          <w:u w:val="single" w:color="auto"/>
          <w:color w:val="auto"/>
        </w:rPr>
        <w:t>November One</w:t>
      </w:r>
      <w:r>
        <w:rPr>
          <w:rFonts w:ascii="Arial" w:cs="Arial" w:eastAsia="Arial" w:hAnsi="Arial"/>
          <w:sz w:val="16"/>
          <w:szCs w:val="16"/>
          <w:color w:val="auto"/>
        </w:rPr>
        <w:t xml:space="preserve"> </w:t>
      </w:r>
      <w:r>
        <w:rPr>
          <w:rFonts w:ascii="Arial" w:cs="Arial" w:eastAsia="Arial" w:hAnsi="Arial"/>
          <w:sz w:val="16"/>
          <w:szCs w:val="16"/>
          <w:u w:val="single" w:color="auto"/>
          <w:color w:val="auto"/>
        </w:rPr>
        <w:t>Spire Transaction Consideration</w:t>
      </w:r>
      <w:r>
        <w:rPr>
          <w:rFonts w:ascii="Arial" w:cs="Arial" w:eastAsia="Arial" w:hAnsi="Arial"/>
          <w:sz w:val="16"/>
          <w:szCs w:val="16"/>
          <w:color w:val="auto"/>
        </w:rPr>
        <w:t>”). The November One Spire Transaction Consideration shall not be immediately payable, and shall be outstanding as a loan account payable to Georgem (the “</w:t>
      </w:r>
      <w:r>
        <w:rPr>
          <w:rFonts w:ascii="Arial" w:cs="Arial" w:eastAsia="Arial" w:hAnsi="Arial"/>
          <w:sz w:val="16"/>
          <w:szCs w:val="16"/>
          <w:u w:val="single" w:color="auto"/>
          <w:color w:val="auto"/>
        </w:rPr>
        <w:t>Loan</w:t>
      </w:r>
      <w:r>
        <w:rPr>
          <w:rFonts w:ascii="Arial" w:cs="Arial" w:eastAsia="Arial" w:hAnsi="Arial"/>
          <w:sz w:val="16"/>
          <w:szCs w:val="16"/>
          <w:color w:val="auto"/>
        </w:rPr>
        <w:t>”). Pursuant to the November Sale of Shares Agreement, One Spire shall utilize a minimum of 20% of all dividends received in respect of the 100,000 Ordinary Shares acquired pursuant to the November One Spire Transaction to repay the loan until repaid in full. Georgem may demand full repayment of the outstanding loan balance upon notice and satisfaction of certain terms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The November One Spire Transaction contemplated by the November Sale of Shares Agreement was consummated on November 29,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6320" w:type="dxa"/>
            <w:vAlign w:val="bottom"/>
          </w:tcPr>
          <w:p>
            <w:pPr>
              <w:ind w:left="420"/>
              <w:spacing w:after="0"/>
              <w:rPr>
                <w:sz w:val="20"/>
                <w:szCs w:val="20"/>
                <w:color w:val="auto"/>
              </w:rPr>
            </w:pPr>
            <w:r>
              <w:rPr>
                <w:rFonts w:ascii="Arial" w:cs="Arial" w:eastAsia="Arial" w:hAnsi="Arial"/>
                <w:sz w:val="18"/>
                <w:szCs w:val="18"/>
                <w:b w:val="1"/>
                <w:bCs w:val="1"/>
                <w:color w:val="auto"/>
              </w:rPr>
              <w:t>Material to be Filed as Exhibits</w:t>
            </w: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59"/>
        </w:trPr>
        <w:tc>
          <w:tcPr>
            <w:tcW w:w="70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Incorporated by Reference</w:t>
            </w:r>
          </w:p>
        </w:tc>
        <w:tc>
          <w:tcPr>
            <w:tcW w:w="940" w:type="dxa"/>
            <w:vAlign w:val="bottom"/>
            <w:tcBorders>
              <w:bottom w:val="single" w:sz="8" w:color="auto"/>
            </w:tcBorders>
          </w:tcPr>
          <w:p>
            <w:pPr>
              <w:spacing w:after="0"/>
              <w:rPr>
                <w:sz w:val="24"/>
                <w:szCs w:val="24"/>
                <w:color w:val="auto"/>
              </w:rPr>
            </w:pPr>
          </w:p>
        </w:tc>
      </w:tr>
      <w:tr>
        <w:trPr>
          <w:trHeight w:val="191"/>
        </w:trPr>
        <w:tc>
          <w:tcPr>
            <w:tcW w:w="700" w:type="dxa"/>
            <w:vAlign w:val="bottom"/>
          </w:tcPr>
          <w:p>
            <w:pPr>
              <w:spacing w:after="0"/>
              <w:rPr>
                <w:sz w:val="16"/>
                <w:szCs w:val="16"/>
                <w:color w:val="auto"/>
              </w:rPr>
            </w:pPr>
          </w:p>
        </w:tc>
        <w:tc>
          <w:tcPr>
            <w:tcW w:w="6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6"/>
              </w:rPr>
              <w:t>Schedule/</w:t>
            </w:r>
          </w:p>
        </w:tc>
        <w:tc>
          <w:tcPr>
            <w:tcW w:w="1080" w:type="dxa"/>
            <w:vAlign w:val="bottom"/>
          </w:tcPr>
          <w:p>
            <w:pPr>
              <w:jc w:val="center"/>
              <w:ind w:left="70"/>
              <w:spacing w:after="0" w:line="191" w:lineRule="exact"/>
              <w:rPr>
                <w:sz w:val="20"/>
                <w:szCs w:val="20"/>
                <w:color w:val="auto"/>
              </w:rPr>
            </w:pPr>
            <w:r>
              <w:rPr>
                <w:rFonts w:ascii="Arial" w:cs="Arial" w:eastAsia="Arial" w:hAnsi="Arial"/>
                <w:sz w:val="18"/>
                <w:szCs w:val="18"/>
                <w:b w:val="1"/>
                <w:bCs w:val="1"/>
                <w:color w:val="auto"/>
                <w:w w:val="90"/>
              </w:rPr>
              <w:t>File</w:t>
            </w:r>
          </w:p>
        </w:tc>
        <w:tc>
          <w:tcPr>
            <w:tcW w:w="8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4"/>
        </w:trPr>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63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Description</w:t>
            </w: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Form</w:t>
            </w:r>
          </w:p>
        </w:tc>
        <w:tc>
          <w:tcPr>
            <w:tcW w:w="108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4"/>
              </w:rPr>
              <w:t>Number</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Exhibit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File Date</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99.1</w:t>
            </w:r>
          </w:p>
        </w:tc>
        <w:tc>
          <w:tcPr>
            <w:tcW w:w="6320" w:type="dxa"/>
            <w:vAlign w:val="bottom"/>
          </w:tcPr>
          <w:p>
            <w:pPr>
              <w:ind w:left="100"/>
              <w:spacing w:after="0" w:line="195" w:lineRule="exact"/>
              <w:rPr>
                <w:sz w:val="20"/>
                <w:szCs w:val="20"/>
                <w:color w:val="auto"/>
              </w:rPr>
            </w:pPr>
            <w:r>
              <w:rPr>
                <w:rFonts w:ascii="Arial" w:cs="Arial" w:eastAsia="Arial" w:hAnsi="Arial"/>
                <w:sz w:val="18"/>
                <w:szCs w:val="18"/>
                <w:color w:val="auto"/>
                <w:w w:val="92"/>
              </w:rPr>
              <w:t>Joint Filing Agreement, dated as of December 8, 2021, by and among the Reporting</w:t>
            </w: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6"/>
        </w:trPr>
        <w:tc>
          <w:tcPr>
            <w:tcW w:w="700" w:type="dxa"/>
            <w:vAlign w:val="bottom"/>
          </w:tcPr>
          <w:p>
            <w:pPr>
              <w:spacing w:after="0"/>
              <w:rPr>
                <w:sz w:val="18"/>
                <w:szCs w:val="18"/>
                <w:color w:val="auto"/>
              </w:rPr>
            </w:pPr>
          </w:p>
        </w:tc>
        <w:tc>
          <w:tcPr>
            <w:tcW w:w="6320" w:type="dxa"/>
            <w:vAlign w:val="bottom"/>
          </w:tcPr>
          <w:p>
            <w:pPr>
              <w:ind w:left="100"/>
              <w:spacing w:after="0"/>
              <w:rPr>
                <w:sz w:val="20"/>
                <w:szCs w:val="20"/>
                <w:color w:val="auto"/>
              </w:rPr>
            </w:pPr>
            <w:r>
              <w:rPr>
                <w:rFonts w:ascii="Arial" w:cs="Arial" w:eastAsia="Arial" w:hAnsi="Arial"/>
                <w:sz w:val="18"/>
                <w:szCs w:val="18"/>
                <w:color w:val="auto"/>
              </w:rPr>
              <w:t>Persons (filed herewith).</w:t>
            </w: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99.2</w:t>
            </w:r>
          </w:p>
        </w:tc>
        <w:tc>
          <w:tcPr>
            <w:tcW w:w="6320" w:type="dxa"/>
            <w:vAlign w:val="bottom"/>
          </w:tcPr>
          <w:p>
            <w:pPr>
              <w:ind w:left="100"/>
              <w:spacing w:after="0"/>
              <w:rPr>
                <w:sz w:val="20"/>
                <w:szCs w:val="20"/>
                <w:color w:val="auto"/>
              </w:rPr>
            </w:pPr>
            <w:r>
              <w:rPr>
                <w:rFonts w:ascii="Arial" w:cs="Arial" w:eastAsia="Arial" w:hAnsi="Arial"/>
                <w:sz w:val="18"/>
                <w:szCs w:val="18"/>
                <w:color w:val="auto"/>
                <w:w w:val="94"/>
              </w:rPr>
              <w:t>Amended and Restated Voting Agreement, dated as of December 6, 2021, by and</w:t>
            </w: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6320" w:type="dxa"/>
            <w:vAlign w:val="bottom"/>
          </w:tcPr>
          <w:p>
            <w:pPr>
              <w:ind w:left="100"/>
              <w:spacing w:after="0"/>
              <w:rPr>
                <w:sz w:val="20"/>
                <w:szCs w:val="20"/>
                <w:color w:val="auto"/>
              </w:rPr>
            </w:pPr>
            <w:r>
              <w:rPr>
                <w:rFonts w:ascii="Arial" w:cs="Arial" w:eastAsia="Arial" w:hAnsi="Arial"/>
                <w:sz w:val="18"/>
                <w:szCs w:val="18"/>
                <w:color w:val="auto"/>
              </w:rPr>
              <w:t>between Mr. Calisto and One Spire (Pty) Ltd. (filed herewith).</w:t>
            </w: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99.3</w:t>
            </w:r>
          </w:p>
        </w:tc>
        <w:tc>
          <w:tcPr>
            <w:tcW w:w="6320" w:type="dxa"/>
            <w:vAlign w:val="bottom"/>
          </w:tcPr>
          <w:p>
            <w:pPr>
              <w:ind w:left="100"/>
              <w:spacing w:after="0"/>
              <w:rPr>
                <w:sz w:val="20"/>
                <w:szCs w:val="20"/>
                <w:color w:val="auto"/>
              </w:rPr>
            </w:pPr>
            <w:r>
              <w:rPr>
                <w:rFonts w:ascii="Arial" w:cs="Arial" w:eastAsia="Arial" w:hAnsi="Arial"/>
                <w:sz w:val="18"/>
                <w:szCs w:val="18"/>
                <w:color w:val="auto"/>
                <w:w w:val="93"/>
              </w:rPr>
              <w:t>Sale of Shares Agreement, dated as of August 16, 2021, by and between Georgem</w:t>
            </w:r>
          </w:p>
        </w:tc>
        <w:tc>
          <w:tcPr>
            <w:tcW w:w="1340" w:type="dxa"/>
            <w:vAlign w:val="bottom"/>
            <w:gridSpan w:val="2"/>
          </w:tcPr>
          <w:p>
            <w:pPr>
              <w:ind w:left="80"/>
              <w:spacing w:after="0"/>
              <w:rPr>
                <w:sz w:val="20"/>
                <w:szCs w:val="20"/>
                <w:color w:val="auto"/>
              </w:rPr>
            </w:pPr>
            <w:r>
              <w:rPr>
                <w:rFonts w:ascii="Arial" w:cs="Arial" w:eastAsia="Arial" w:hAnsi="Arial"/>
                <w:sz w:val="18"/>
                <w:szCs w:val="18"/>
                <w:color w:val="auto"/>
                <w:w w:val="95"/>
              </w:rPr>
              <w:t>Schedule 13D/A</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w w:val="97"/>
              </w:rPr>
              <w:t>005-92497</w:t>
            </w:r>
          </w:p>
        </w:tc>
        <w:tc>
          <w:tcPr>
            <w:tcW w:w="860" w:type="dxa"/>
            <w:vAlign w:val="bottom"/>
          </w:tcPr>
          <w:p>
            <w:pPr>
              <w:jc w:val="right"/>
              <w:ind w:right="330"/>
              <w:spacing w:after="0"/>
              <w:rPr>
                <w:sz w:val="20"/>
                <w:szCs w:val="20"/>
                <w:color w:val="auto"/>
              </w:rPr>
            </w:pPr>
            <w:r>
              <w:rPr>
                <w:rFonts w:ascii="Arial" w:cs="Arial" w:eastAsia="Arial" w:hAnsi="Arial"/>
                <w:sz w:val="18"/>
                <w:szCs w:val="18"/>
                <w:color w:val="auto"/>
              </w:rPr>
              <w:t>99.4</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w w:val="95"/>
              </w:rPr>
              <w:t>August 23,</w:t>
            </w:r>
          </w:p>
        </w:tc>
      </w:tr>
      <w:tr>
        <w:trPr>
          <w:trHeight w:val="216"/>
        </w:trPr>
        <w:tc>
          <w:tcPr>
            <w:tcW w:w="700" w:type="dxa"/>
            <w:vAlign w:val="bottom"/>
          </w:tcPr>
          <w:p>
            <w:pPr>
              <w:spacing w:after="0"/>
              <w:rPr>
                <w:sz w:val="18"/>
                <w:szCs w:val="18"/>
                <w:color w:val="auto"/>
              </w:rPr>
            </w:pPr>
          </w:p>
        </w:tc>
        <w:tc>
          <w:tcPr>
            <w:tcW w:w="6320" w:type="dxa"/>
            <w:vAlign w:val="bottom"/>
          </w:tcPr>
          <w:p>
            <w:pPr>
              <w:ind w:left="100"/>
              <w:spacing w:after="0"/>
              <w:rPr>
                <w:sz w:val="20"/>
                <w:szCs w:val="20"/>
                <w:color w:val="auto"/>
              </w:rPr>
            </w:pPr>
            <w:r>
              <w:rPr>
                <w:rFonts w:ascii="Arial" w:cs="Arial" w:eastAsia="Arial" w:hAnsi="Arial"/>
                <w:sz w:val="18"/>
                <w:szCs w:val="18"/>
                <w:color w:val="auto"/>
              </w:rPr>
              <w:t>Holdings (Pty) Ltd. and One Spire (Pty) Ltd. (incorporated by reference).</w:t>
            </w: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color w:val="auto"/>
                <w:w w:val="94"/>
              </w:rPr>
              <w:t>2021</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99.4</w:t>
            </w:r>
          </w:p>
        </w:tc>
        <w:tc>
          <w:tcPr>
            <w:tcW w:w="6320" w:type="dxa"/>
            <w:vAlign w:val="bottom"/>
          </w:tcPr>
          <w:p>
            <w:pPr>
              <w:ind w:left="100"/>
              <w:spacing w:after="0"/>
              <w:rPr>
                <w:sz w:val="20"/>
                <w:szCs w:val="20"/>
                <w:color w:val="auto"/>
              </w:rPr>
            </w:pPr>
            <w:r>
              <w:rPr>
                <w:rFonts w:ascii="Arial" w:cs="Arial" w:eastAsia="Arial" w:hAnsi="Arial"/>
                <w:sz w:val="18"/>
                <w:szCs w:val="18"/>
                <w:color w:val="auto"/>
                <w:w w:val="89"/>
              </w:rPr>
              <w:t>Sale of Shares Agreement, dated as of November 29, 2021, by and between Georgem</w:t>
            </w: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700" w:type="dxa"/>
            <w:vAlign w:val="bottom"/>
          </w:tcPr>
          <w:p>
            <w:pPr>
              <w:spacing w:after="0"/>
              <w:rPr>
                <w:sz w:val="20"/>
                <w:szCs w:val="20"/>
                <w:color w:val="auto"/>
              </w:rPr>
            </w:pPr>
          </w:p>
        </w:tc>
        <w:tc>
          <w:tcPr>
            <w:tcW w:w="6320" w:type="dxa"/>
            <w:vAlign w:val="bottom"/>
          </w:tcPr>
          <w:p>
            <w:pPr>
              <w:ind w:left="100"/>
              <w:spacing w:after="0"/>
              <w:rPr>
                <w:sz w:val="20"/>
                <w:szCs w:val="20"/>
                <w:color w:val="auto"/>
              </w:rPr>
            </w:pPr>
            <w:r>
              <w:rPr>
                <w:rFonts w:ascii="Arial" w:cs="Arial" w:eastAsia="Arial" w:hAnsi="Arial"/>
                <w:sz w:val="18"/>
                <w:szCs w:val="18"/>
                <w:color w:val="auto"/>
              </w:rPr>
              <w:t>Holdings (Pty) Ltd. and One Spire (Pty) Ltd. (filed herewith).</w:t>
            </w: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11"/>
        </w:trPr>
        <w:tc>
          <w:tcPr>
            <w:tcW w:w="70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4" w:right="339" w:bottom="1440" w:gutter="0" w:footer="0" w:header="0"/>
        </w:sectPr>
      </w:pPr>
    </w:p>
    <w:bookmarkStart w:id="11" w:name="page12"/>
    <w:bookmarkEnd w:id="11"/>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8, 2021</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JUAN MARAIS</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Juan Marais</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Juan Marais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Juan Marais</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of One Spire (Pty) Ltd.</w:t>
      </w:r>
    </w:p>
    <w:p>
      <w:pPr>
        <w:spacing w:after="0" w:line="200" w:lineRule="exact"/>
        <w:rPr>
          <w:sz w:val="20"/>
          <w:szCs w:val="20"/>
          <w:color w:val="auto"/>
        </w:rPr>
      </w:pPr>
    </w:p>
    <w:p>
      <w:pPr>
        <w:spacing w:after="0" w:line="27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EEN PTE. LTD.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Hong Yap Lau, its Director</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Hong Yap 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Hong Yap Lau</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7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HONG YAP LAU</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Hong Yap Lau</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Hong Yap 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Hong Yap Lau</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of Een Pte.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540" w:right="519" w:bottom="1440" w:gutter="0" w:footer="0" w:header="0"/>
        </w:sectPr>
      </w:pPr>
    </w:p>
    <w:bookmarkStart w:id="12" w:name="page13"/>
    <w:bookmarkEnd w:id="12"/>
    <w:p>
      <w:pPr>
        <w:jc w:val="center"/>
        <w:ind w:right="-279"/>
        <w:spacing w:after="0"/>
        <w:rPr>
          <w:sz w:val="20"/>
          <w:szCs w:val="20"/>
          <w:color w:val="auto"/>
        </w:rPr>
      </w:pPr>
      <w:r>
        <w:rPr>
          <w:rFonts w:ascii="Arial" w:cs="Arial" w:eastAsia="Arial" w:hAnsi="Arial"/>
          <w:sz w:val="18"/>
          <w:szCs w:val="18"/>
          <w:b w:val="1"/>
          <w:bCs w:val="1"/>
          <w:color w:val="auto"/>
        </w:rPr>
        <w:t>ACACIA TRUST</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Pr>
          <w:p>
            <w:pPr>
              <w:spacing w:after="0"/>
              <w:rPr>
                <w:sz w:val="20"/>
                <w:szCs w:val="20"/>
                <w:color w:val="auto"/>
              </w:rPr>
            </w:pPr>
            <w:r>
              <w:rPr>
                <w:rFonts w:ascii="Arial" w:cs="Arial" w:eastAsia="Arial" w:hAnsi="Arial"/>
                <w:sz w:val="18"/>
                <w:szCs w:val="18"/>
                <w:color w:val="auto"/>
              </w:rPr>
              <w:t>Swiss Independent Trustees, S.A., its Trustee</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Neil Harris</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Neil Harris</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Authorized Signatory, Trustee</w:t>
            </w:r>
          </w:p>
        </w:tc>
      </w:tr>
      <w:tr>
        <w:trPr>
          <w:trHeight w:val="64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Bayles</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Andrew Bayles</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Authorized Signatory, Trustee</w:t>
            </w:r>
          </w:p>
        </w:tc>
      </w:tr>
    </w:tbl>
    <w:p>
      <w:pPr>
        <w:spacing w:after="0" w:line="202" w:lineRule="exact"/>
        <w:rPr>
          <w:sz w:val="20"/>
          <w:szCs w:val="20"/>
          <w:color w:val="auto"/>
        </w:rPr>
      </w:pPr>
    </w:p>
    <w:p>
      <w:pPr>
        <w:ind w:left="4520" w:right="400"/>
        <w:spacing w:after="0" w:line="263" w:lineRule="auto"/>
        <w:rPr>
          <w:sz w:val="20"/>
          <w:szCs w:val="20"/>
          <w:color w:val="auto"/>
        </w:rPr>
      </w:pPr>
      <w:r>
        <w:rPr>
          <w:rFonts w:ascii="Arial" w:cs="Arial" w:eastAsia="Arial" w:hAnsi="Arial"/>
          <w:sz w:val="18"/>
          <w:szCs w:val="18"/>
          <w:color w:val="auto"/>
        </w:rPr>
        <w:t>Signing as duly authorized signatories on behalf of Swiss Independent Trustees, S.A. in whose presence the Common Seal of the company was hereunto affixed.</w:t>
      </w:r>
    </w:p>
    <w:p>
      <w:pPr>
        <w:spacing w:after="0" w:line="200" w:lineRule="exact"/>
        <w:rPr>
          <w:sz w:val="20"/>
          <w:szCs w:val="20"/>
          <w:color w:val="auto"/>
        </w:rPr>
      </w:pPr>
    </w:p>
    <w:p>
      <w:pPr>
        <w:spacing w:after="0" w:line="25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ONE SPIRE (PTY) LTD.</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Juan Marais, its Director</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Juan Marais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Juan Marais</w:t>
      </w:r>
    </w:p>
    <w:p>
      <w:pPr>
        <w:spacing w:after="0" w:line="23" w:lineRule="exact"/>
        <w:rPr>
          <w:sz w:val="20"/>
          <w:szCs w:val="20"/>
          <w:color w:val="auto"/>
        </w:rPr>
      </w:pPr>
    </w:p>
    <w:p>
      <w:pPr>
        <w:jc w:val="center"/>
        <w:ind w:right="-79"/>
        <w:spacing w:after="0"/>
        <w:tabs>
          <w:tab w:leader="none" w:pos="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203200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540"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u w:val="single" w:color="auto"/>
          <w:color w:val="auto"/>
        </w:rPr>
        <w:t>SCHEDULE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AND EXECUTIVE OFFICERS OF ONE SPIRE (PTY) LTD.</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name, business address, present principal occupation or employment and the name, principal business and address of any corporation or other organization in which such employment is conducted of each director and executive officer of One Spire (Pty) Ltd. (“</w:t>
      </w:r>
      <w:r>
        <w:rPr>
          <w:rFonts w:ascii="Arial" w:cs="Arial" w:eastAsia="Arial" w:hAnsi="Arial"/>
          <w:sz w:val="18"/>
          <w:szCs w:val="18"/>
          <w:u w:val="single" w:color="auto"/>
          <w:color w:val="auto"/>
        </w:rPr>
        <w:t>One Spire</w:t>
      </w:r>
      <w:r>
        <w:rPr>
          <w:rFonts w:ascii="Arial" w:cs="Arial" w:eastAsia="Arial" w:hAnsi="Arial"/>
          <w:sz w:val="18"/>
          <w:szCs w:val="18"/>
          <w:color w:val="auto"/>
        </w:rPr>
        <w:t>”) is set forth below. Except as otherwise indicated, each occupation set forth opposite an individual’s name refers to One Spire, and all of the persons listed below are citizens of South Africa.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900" w:type="dxa"/>
            <w:vAlign w:val="bottom"/>
            <w:gridSpan w:val="2"/>
          </w:tcPr>
          <w:p>
            <w:pPr>
              <w:ind w:left="100"/>
              <w:spacing w:after="0"/>
              <w:rPr>
                <w:sz w:val="20"/>
                <w:szCs w:val="20"/>
                <w:color w:val="auto"/>
              </w:rPr>
            </w:pPr>
            <w:r>
              <w:rPr>
                <w:rFonts w:ascii="Arial" w:cs="Arial" w:eastAsia="Arial" w:hAnsi="Arial"/>
                <w:sz w:val="18"/>
                <w:szCs w:val="18"/>
                <w:b w:val="1"/>
                <w:bCs w:val="1"/>
                <w:color w:val="auto"/>
              </w:rPr>
              <w:t>2. Present Principal Occupation or</w:t>
            </w:r>
          </w:p>
        </w:tc>
        <w:tc>
          <w:tcPr>
            <w:tcW w:w="1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900" w:type="dxa"/>
            <w:vAlign w:val="bottom"/>
            <w:gridSpan w:val="2"/>
          </w:tcPr>
          <w:p>
            <w:pPr>
              <w:ind w:left="100"/>
              <w:spacing w:after="0"/>
              <w:rPr>
                <w:sz w:val="20"/>
                <w:szCs w:val="20"/>
                <w:color w:val="auto"/>
              </w:rPr>
            </w:pPr>
            <w:r>
              <w:rPr>
                <w:rFonts w:ascii="Arial" w:cs="Arial" w:eastAsia="Arial" w:hAnsi="Arial"/>
                <w:sz w:val="18"/>
                <w:szCs w:val="18"/>
                <w:b w:val="1"/>
                <w:bCs w:val="1"/>
                <w:color w:val="auto"/>
              </w:rPr>
              <w:t>Employment (Including Principal</w:t>
            </w:r>
          </w:p>
        </w:tc>
        <w:tc>
          <w:tcPr>
            <w:tcW w:w="3340" w:type="dxa"/>
            <w:vAlign w:val="bottom"/>
            <w:gridSpan w:val="2"/>
          </w:tcPr>
          <w:p>
            <w:pPr>
              <w:ind w:left="100"/>
              <w:spacing w:after="0"/>
              <w:rPr>
                <w:sz w:val="20"/>
                <w:szCs w:val="20"/>
                <w:color w:val="auto"/>
              </w:rPr>
            </w:pPr>
            <w:r>
              <w:rPr>
                <w:rFonts w:ascii="Arial" w:cs="Arial" w:eastAsia="Arial" w:hAnsi="Arial"/>
                <w:sz w:val="18"/>
                <w:szCs w:val="18"/>
                <w:b w:val="1"/>
                <w:bCs w:val="1"/>
                <w:color w:val="auto"/>
              </w:rPr>
              <w:t>3. Business Address / Address of</w:t>
            </w:r>
          </w:p>
        </w:tc>
        <w:tc>
          <w:tcPr>
            <w:tcW w:w="840" w:type="dxa"/>
            <w:vAlign w:val="bottom"/>
          </w:tcPr>
          <w:p>
            <w:pPr>
              <w:spacing w:after="0"/>
              <w:rPr>
                <w:sz w:val="18"/>
                <w:szCs w:val="18"/>
                <w:color w:val="auto"/>
              </w:rPr>
            </w:pPr>
          </w:p>
        </w:tc>
      </w:tr>
      <w:tr>
        <w:trPr>
          <w:trHeight w:val="234"/>
        </w:trPr>
        <w:tc>
          <w:tcPr>
            <w:tcW w:w="86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Arial" w:cs="Arial" w:eastAsia="Arial" w:hAnsi="Arial"/>
                <w:sz w:val="18"/>
                <w:szCs w:val="18"/>
                <w:b w:val="1"/>
                <w:bCs w:val="1"/>
                <w:color w:val="auto"/>
              </w:rPr>
              <w:t>1. Name</w:t>
            </w:r>
          </w:p>
        </w:tc>
        <w:tc>
          <w:tcPr>
            <w:tcW w:w="3900" w:type="dxa"/>
            <w:vAlign w:val="bottom"/>
            <w:gridSpan w:val="2"/>
          </w:tcPr>
          <w:p>
            <w:pPr>
              <w:ind w:left="100"/>
              <w:spacing w:after="0"/>
              <w:rPr>
                <w:sz w:val="20"/>
                <w:szCs w:val="20"/>
                <w:color w:val="auto"/>
              </w:rPr>
            </w:pPr>
            <w:r>
              <w:rPr>
                <w:rFonts w:ascii="Arial" w:cs="Arial" w:eastAsia="Arial" w:hAnsi="Arial"/>
                <w:sz w:val="18"/>
                <w:szCs w:val="18"/>
                <w:b w:val="1"/>
                <w:bCs w:val="1"/>
                <w:color w:val="auto"/>
              </w:rPr>
              <w:t>Business of Employer)</w:t>
            </w:r>
          </w:p>
        </w:tc>
        <w:tc>
          <w:tcPr>
            <w:tcW w:w="3340" w:type="dxa"/>
            <w:vAlign w:val="bottom"/>
            <w:gridSpan w:val="2"/>
          </w:tcPr>
          <w:p>
            <w:pPr>
              <w:ind w:left="100"/>
              <w:spacing w:after="0"/>
              <w:rPr>
                <w:sz w:val="20"/>
                <w:szCs w:val="20"/>
                <w:color w:val="auto"/>
              </w:rPr>
            </w:pPr>
            <w:r>
              <w:rPr>
                <w:rFonts w:ascii="Arial" w:cs="Arial" w:eastAsia="Arial" w:hAnsi="Arial"/>
                <w:sz w:val="18"/>
                <w:szCs w:val="18"/>
                <w:b w:val="1"/>
                <w:bCs w:val="1"/>
                <w:color w:val="auto"/>
              </w:rPr>
              <w:t>Principal Employer</w:t>
            </w:r>
          </w:p>
        </w:tc>
        <w:tc>
          <w:tcPr>
            <w:tcW w:w="840" w:type="dxa"/>
            <w:vAlign w:val="bottom"/>
          </w:tcPr>
          <w:p>
            <w:pPr>
              <w:spacing w:after="0"/>
              <w:rPr>
                <w:sz w:val="20"/>
                <w:szCs w:val="20"/>
                <w:color w:val="auto"/>
              </w:rPr>
            </w:pPr>
          </w:p>
        </w:tc>
      </w:tr>
      <w:tr>
        <w:trPr>
          <w:trHeight w:val="195"/>
        </w:trPr>
        <w:tc>
          <w:tcPr>
            <w:tcW w:w="860" w:type="dxa"/>
            <w:vAlign w:val="bottom"/>
          </w:tcPr>
          <w:p>
            <w:pPr>
              <w:spacing w:after="0"/>
              <w:rPr>
                <w:sz w:val="16"/>
                <w:szCs w:val="16"/>
                <w:color w:val="auto"/>
              </w:rPr>
            </w:pPr>
          </w:p>
        </w:tc>
        <w:tc>
          <w:tcPr>
            <w:tcW w:w="2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Juan Marais</w:t>
            </w:r>
          </w:p>
        </w:tc>
        <w:tc>
          <w:tcPr>
            <w:tcW w:w="100" w:type="dxa"/>
            <w:vAlign w:val="bottom"/>
          </w:tcPr>
          <w:p>
            <w:pPr>
              <w:spacing w:after="0"/>
              <w:rPr>
                <w:sz w:val="16"/>
                <w:szCs w:val="16"/>
                <w:color w:val="auto"/>
              </w:rPr>
            </w:pPr>
          </w:p>
        </w:tc>
        <w:tc>
          <w:tcPr>
            <w:tcW w:w="3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9"/>
              </w:rPr>
              <w:t>Chief Sales Officer of Karooooo Ltd.; Director of</w:t>
            </w:r>
          </w:p>
        </w:tc>
        <w:tc>
          <w:tcPr>
            <w:tcW w:w="100" w:type="dxa"/>
            <w:vAlign w:val="bottom"/>
          </w:tcPr>
          <w:p>
            <w:pPr>
              <w:spacing w:after="0"/>
              <w:rPr>
                <w:sz w:val="16"/>
                <w:szCs w:val="16"/>
                <w:color w:val="auto"/>
              </w:rPr>
            </w:pPr>
          </w:p>
        </w:tc>
        <w:tc>
          <w:tcPr>
            <w:tcW w:w="3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 Karooooo Ltd.</w:t>
            </w:r>
          </w:p>
        </w:tc>
        <w:tc>
          <w:tcPr>
            <w:tcW w:w="840" w:type="dxa"/>
            <w:vAlign w:val="bottom"/>
          </w:tcPr>
          <w:p>
            <w:pPr>
              <w:spacing w:after="0"/>
              <w:rPr>
                <w:sz w:val="16"/>
                <w:szCs w:val="16"/>
                <w:color w:val="auto"/>
              </w:rPr>
            </w:pPr>
          </w:p>
        </w:tc>
      </w:tr>
      <w:tr>
        <w:trPr>
          <w:trHeight w:val="216"/>
        </w:trPr>
        <w:tc>
          <w:tcPr>
            <w:tcW w:w="8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900" w:type="dxa"/>
            <w:vAlign w:val="bottom"/>
            <w:gridSpan w:val="2"/>
          </w:tcPr>
          <w:p>
            <w:pPr>
              <w:ind w:left="100"/>
              <w:spacing w:after="0"/>
              <w:rPr>
                <w:sz w:val="20"/>
                <w:szCs w:val="20"/>
                <w:color w:val="auto"/>
              </w:rPr>
            </w:pPr>
            <w:r>
              <w:rPr>
                <w:rFonts w:ascii="Arial" w:cs="Arial" w:eastAsia="Arial" w:hAnsi="Arial"/>
                <w:sz w:val="18"/>
                <w:szCs w:val="18"/>
                <w:color w:val="auto"/>
              </w:rPr>
              <w:t>One Spire</w:t>
            </w:r>
          </w:p>
        </w:tc>
        <w:tc>
          <w:tcPr>
            <w:tcW w:w="3340" w:type="dxa"/>
            <w:vAlign w:val="bottom"/>
            <w:gridSpan w:val="2"/>
          </w:tcPr>
          <w:p>
            <w:pPr>
              <w:ind w:left="100"/>
              <w:spacing w:after="0"/>
              <w:rPr>
                <w:sz w:val="20"/>
                <w:szCs w:val="20"/>
                <w:color w:val="auto"/>
              </w:rPr>
            </w:pPr>
            <w:r>
              <w:rPr>
                <w:rFonts w:ascii="Arial" w:cs="Arial" w:eastAsia="Arial" w:hAnsi="Arial"/>
                <w:sz w:val="18"/>
                <w:szCs w:val="18"/>
                <w:color w:val="auto"/>
              </w:rPr>
              <w:t>10 Anson Road #12-14</w:t>
            </w:r>
          </w:p>
        </w:tc>
        <w:tc>
          <w:tcPr>
            <w:tcW w:w="8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Arial" w:cs="Arial" w:eastAsia="Arial" w:hAnsi="Arial"/>
                <w:sz w:val="18"/>
                <w:szCs w:val="18"/>
                <w:color w:val="auto"/>
              </w:rPr>
              <w:t>International Plaza</w:t>
            </w:r>
          </w:p>
        </w:tc>
        <w:tc>
          <w:tcPr>
            <w:tcW w:w="840" w:type="dxa"/>
            <w:vAlign w:val="bottom"/>
          </w:tcPr>
          <w:p>
            <w:pPr>
              <w:spacing w:after="0"/>
              <w:rPr>
                <w:sz w:val="18"/>
                <w:szCs w:val="18"/>
                <w:color w:val="auto"/>
              </w:rPr>
            </w:pPr>
          </w:p>
        </w:tc>
      </w:tr>
      <w:tr>
        <w:trPr>
          <w:trHeight w:val="230"/>
        </w:trPr>
        <w:tc>
          <w:tcPr>
            <w:tcW w:w="8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340" w:type="dxa"/>
            <w:vAlign w:val="bottom"/>
            <w:gridSpan w:val="2"/>
          </w:tcPr>
          <w:p>
            <w:pPr>
              <w:ind w:left="100"/>
              <w:spacing w:after="0"/>
              <w:rPr>
                <w:sz w:val="20"/>
                <w:szCs w:val="20"/>
                <w:color w:val="auto"/>
              </w:rPr>
            </w:pPr>
            <w:r>
              <w:rPr>
                <w:rFonts w:ascii="Arial" w:cs="Arial" w:eastAsia="Arial" w:hAnsi="Arial"/>
                <w:sz w:val="18"/>
                <w:szCs w:val="18"/>
                <w:color w:val="auto"/>
              </w:rPr>
              <w:t>Singapore 079903</w:t>
            </w:r>
          </w:p>
        </w:tc>
        <w:tc>
          <w:tcPr>
            <w:tcW w:w="840" w:type="dxa"/>
            <w:vAlign w:val="bottom"/>
          </w:tcPr>
          <w:p>
            <w:pPr>
              <w:spacing w:after="0"/>
              <w:rPr>
                <w:sz w:val="20"/>
                <w:szCs w:val="20"/>
                <w:color w:val="auto"/>
              </w:rPr>
            </w:pPr>
          </w:p>
        </w:tc>
      </w:tr>
      <w:tr>
        <w:trPr>
          <w:trHeight w:val="526"/>
        </w:trPr>
        <w:tc>
          <w:tcPr>
            <w:tcW w:w="8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0" w:right="339" w:bottom="1440" w:gutter="0" w:footer="0" w:header="0"/>
        </w:sectPr>
      </w:pPr>
    </w:p>
    <w:bookmarkStart w:id="14" w:name="page15"/>
    <w:bookmarkEnd w:id="14"/>
    <w:p>
      <w:pPr>
        <w:jc w:val="right"/>
        <w:spacing w:after="0"/>
        <w:rPr>
          <w:sz w:val="20"/>
          <w:szCs w:val="20"/>
          <w:color w:val="auto"/>
        </w:rPr>
      </w:pPr>
      <w:r>
        <w:rPr>
          <w:rFonts w:ascii="Arial" w:cs="Arial" w:eastAsia="Arial" w:hAnsi="Arial"/>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Pursuant to and in accordance with the Securities Exchange Act of 1934, as amended, and the rules and regulations thereunder (the “</w:t>
      </w:r>
      <w:r>
        <w:rPr>
          <w:rFonts w:ascii="Arial" w:cs="Arial" w:eastAsia="Arial" w:hAnsi="Arial"/>
          <w:sz w:val="16"/>
          <w:szCs w:val="16"/>
          <w:u w:val="single" w:color="auto"/>
          <w:color w:val="auto"/>
        </w:rPr>
        <w:t>Exchange Act</w:t>
      </w:r>
      <w:r>
        <w:rPr>
          <w:rFonts w:ascii="Arial" w:cs="Arial" w:eastAsia="Arial" w:hAnsi="Arial"/>
          <w:sz w:val="16"/>
          <w:szCs w:val="16"/>
          <w:color w:val="auto"/>
        </w:rPr>
        <w:t>”) the undersigned hereby agree to the joint filing on behalf of each of them of any filing required by such party under Section 13 of the Exchange Act or any rule or regulation thereunder (including any amendment, restatement, supplement, and/or exhibit thereto) with respect to securities of Karooooo Ltd., a Singapore public limited company, and further agree to the filing, furnishing, and/or incorporation by reference of this Agreement as an exhibit thereto. Each of them is responsible for the timely filing of such filings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 This Agreement shall remain in full force and effect until revoked by any party hereto in a signed writing provided to each other party hereto, and then only with respect to such revoking party. This Agreement may be executed in any number of counterparts all of which taken together shall constitute one and the same instrument.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8, 2021</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JUAN MARAIS</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Juan Marais</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Juan Marais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Juan Marais</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of One Spire (Pty) Ltd.</w:t>
      </w:r>
    </w:p>
    <w:p>
      <w:pPr>
        <w:spacing w:after="0" w:line="200" w:lineRule="exact"/>
        <w:rPr>
          <w:sz w:val="20"/>
          <w:szCs w:val="20"/>
          <w:color w:val="auto"/>
        </w:rPr>
      </w:pPr>
    </w:p>
    <w:p>
      <w:pPr>
        <w:spacing w:after="0" w:line="27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EEN PTE. LTD.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Hong Yap Lau, its Director</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Hong Yap 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Hong Yap Lau</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7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HONG YAP LAU</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Hong Yap Lau</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Hong Yap 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Hong Yap Lau</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of Een Pte.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5" w:name="page16"/>
    <w:bookmarkEnd w:id="15"/>
    <w:p>
      <w:pPr>
        <w:ind w:left="4520"/>
        <w:spacing w:after="0"/>
        <w:rPr>
          <w:sz w:val="20"/>
          <w:szCs w:val="20"/>
          <w:color w:val="auto"/>
        </w:rPr>
      </w:pPr>
      <w:r>
        <w:rPr>
          <w:rFonts w:ascii="Arial" w:cs="Arial" w:eastAsia="Arial" w:hAnsi="Arial"/>
          <w:sz w:val="18"/>
          <w:szCs w:val="18"/>
          <w:b w:val="1"/>
          <w:bCs w:val="1"/>
          <w:color w:val="auto"/>
        </w:rPr>
        <w:t>ACACIA TRUST</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Swiss Independent Trustees, S.A., its Trustee</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Neil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Neil Harris</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 Trustee</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Bayles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Andrew Bayles</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 Trustee</w:t>
      </w:r>
    </w:p>
    <w:p>
      <w:pPr>
        <w:spacing w:after="0" w:line="211" w:lineRule="exact"/>
        <w:rPr>
          <w:sz w:val="20"/>
          <w:szCs w:val="20"/>
          <w:color w:val="auto"/>
        </w:rPr>
      </w:pPr>
    </w:p>
    <w:p>
      <w:pPr>
        <w:ind w:left="4520"/>
        <w:spacing w:after="0" w:line="263" w:lineRule="auto"/>
        <w:rPr>
          <w:sz w:val="20"/>
          <w:szCs w:val="20"/>
          <w:color w:val="auto"/>
        </w:rPr>
      </w:pPr>
      <w:r>
        <w:rPr>
          <w:rFonts w:ascii="Arial" w:cs="Arial" w:eastAsia="Arial" w:hAnsi="Arial"/>
          <w:sz w:val="18"/>
          <w:szCs w:val="18"/>
          <w:color w:val="auto"/>
        </w:rPr>
        <w:t>Signing as duly authorized signatories on behalf of Swiss Independent Trustees, S.A. in whose presence the Common Seal of the company was hereunto affixed.</w:t>
      </w:r>
    </w:p>
    <w:p>
      <w:pPr>
        <w:spacing w:after="0" w:line="200" w:lineRule="exact"/>
        <w:rPr>
          <w:sz w:val="20"/>
          <w:szCs w:val="20"/>
          <w:color w:val="auto"/>
        </w:rPr>
      </w:pPr>
    </w:p>
    <w:p>
      <w:pPr>
        <w:spacing w:after="0" w:line="25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ONE SPIRE (PTY) LTD.</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Juan Marais, its Director</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Juan Marais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Juan Marais</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203200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720"/>
          </w:cols>
          <w:pgMar w:left="1440" w:top="540" w:right="739" w:bottom="1440" w:gutter="0" w:footer="0" w:header="0"/>
        </w:sectPr>
      </w:pPr>
    </w:p>
    <w:bookmarkStart w:id="16" w:name="page17"/>
    <w:bookmarkEnd w:id="16"/>
    <w:p>
      <w:pPr>
        <w:jc w:val="right"/>
        <w:spacing w:after="0"/>
        <w:rPr>
          <w:sz w:val="20"/>
          <w:szCs w:val="20"/>
          <w:color w:val="auto"/>
        </w:rPr>
      </w:pPr>
      <w:r>
        <w:rPr>
          <w:rFonts w:ascii="Arial" w:cs="Arial" w:eastAsia="Arial" w:hAnsi="Arial"/>
          <w:sz w:val="22"/>
          <w:szCs w:val="22"/>
          <w:b w:val="1"/>
          <w:bCs w:val="1"/>
          <w:color w:val="auto"/>
        </w:rPr>
        <w:t>Exhibit 99.2</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VOTING AGREEMENT</w:t>
      </w:r>
    </w:p>
    <w:p>
      <w:pPr>
        <w:spacing w:after="0" w:line="225"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AMENDED AND RESTATED VOTING AGREEMENT (the “</w:t>
      </w:r>
      <w:r>
        <w:rPr>
          <w:rFonts w:ascii="Arial" w:cs="Arial" w:eastAsia="Arial" w:hAnsi="Arial"/>
          <w:sz w:val="18"/>
          <w:szCs w:val="18"/>
          <w:b w:val="1"/>
          <w:bCs w:val="1"/>
          <w:color w:val="auto"/>
        </w:rPr>
        <w:t>Agreement</w:t>
      </w:r>
      <w:r>
        <w:rPr>
          <w:rFonts w:ascii="Arial" w:cs="Arial" w:eastAsia="Arial" w:hAnsi="Arial"/>
          <w:sz w:val="18"/>
          <w:szCs w:val="18"/>
          <w:color w:val="auto"/>
        </w:rPr>
        <w:t>”) dated and effective as of December 6, 2021 between (i) Isaias Jose Calisto (“</w:t>
      </w:r>
      <w:r>
        <w:rPr>
          <w:rFonts w:ascii="Arial" w:cs="Arial" w:eastAsia="Arial" w:hAnsi="Arial"/>
          <w:sz w:val="18"/>
          <w:szCs w:val="18"/>
          <w:b w:val="1"/>
          <w:bCs w:val="1"/>
          <w:color w:val="auto"/>
        </w:rPr>
        <w:t>IJC</w:t>
      </w:r>
      <w:r>
        <w:rPr>
          <w:rFonts w:ascii="Arial" w:cs="Arial" w:eastAsia="Arial" w:hAnsi="Arial"/>
          <w:sz w:val="18"/>
          <w:szCs w:val="18"/>
          <w:color w:val="auto"/>
        </w:rPr>
        <w:t>”) and (ii) One Spire (Pty) Ltd. (“</w:t>
      </w:r>
      <w:r>
        <w:rPr>
          <w:rFonts w:ascii="Arial" w:cs="Arial" w:eastAsia="Arial" w:hAnsi="Arial"/>
          <w:sz w:val="18"/>
          <w:szCs w:val="18"/>
          <w:b w:val="1"/>
          <w:bCs w:val="1"/>
          <w:color w:val="auto"/>
        </w:rPr>
        <w:t>One Spire</w:t>
      </w:r>
      <w:r>
        <w:rPr>
          <w:rFonts w:ascii="Arial" w:cs="Arial" w:eastAsia="Arial" w:hAnsi="Arial"/>
          <w:sz w:val="18"/>
          <w:szCs w:val="18"/>
          <w:color w:val="auto"/>
        </w:rPr>
        <w:t>”).</w:t>
      </w:r>
    </w:p>
    <w:p>
      <w:pPr>
        <w:spacing w:after="0" w:line="162"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W I T N E S S E T 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IJC is the founder of Karooooo Ltd.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25" w:lineRule="exact"/>
        <w:rPr>
          <w:sz w:val="20"/>
          <w:szCs w:val="20"/>
          <w:color w:val="auto"/>
        </w:rPr>
      </w:pPr>
    </w:p>
    <w:p>
      <w:pPr>
        <w:ind w:right="680" w:firstLine="648"/>
        <w:spacing w:after="0" w:line="282" w:lineRule="auto"/>
        <w:rPr>
          <w:sz w:val="20"/>
          <w:szCs w:val="20"/>
          <w:color w:val="auto"/>
        </w:rPr>
      </w:pPr>
      <w:r>
        <w:rPr>
          <w:rFonts w:ascii="Arial" w:cs="Arial" w:eastAsia="Arial" w:hAnsi="Arial"/>
          <w:sz w:val="18"/>
          <w:szCs w:val="18"/>
          <w:color w:val="auto"/>
        </w:rPr>
        <w:t>WHEREAS, One Spire acquired 3,000,000 ordinary shares of the Company (the “</w:t>
      </w:r>
      <w:r>
        <w:rPr>
          <w:rFonts w:ascii="Arial" w:cs="Arial" w:eastAsia="Arial" w:hAnsi="Arial"/>
          <w:sz w:val="18"/>
          <w:szCs w:val="18"/>
          <w:b w:val="1"/>
          <w:bCs w:val="1"/>
          <w:color w:val="auto"/>
        </w:rPr>
        <w:t>Ordinary Shares</w:t>
      </w:r>
      <w:r>
        <w:rPr>
          <w:rFonts w:ascii="Arial" w:cs="Arial" w:eastAsia="Arial" w:hAnsi="Arial"/>
          <w:sz w:val="18"/>
          <w:szCs w:val="18"/>
          <w:color w:val="auto"/>
        </w:rPr>
        <w:t>”) from Georgem Holdings (Pty) Ltd. (“</w:t>
      </w:r>
      <w:r>
        <w:rPr>
          <w:rFonts w:ascii="Arial" w:cs="Arial" w:eastAsia="Arial" w:hAnsi="Arial"/>
          <w:sz w:val="18"/>
          <w:szCs w:val="18"/>
          <w:b w:val="1"/>
          <w:bCs w:val="1"/>
          <w:color w:val="auto"/>
        </w:rPr>
        <w:t>Georgem</w:t>
      </w:r>
      <w:r>
        <w:rPr>
          <w:rFonts w:ascii="Arial" w:cs="Arial" w:eastAsia="Arial" w:hAnsi="Arial"/>
          <w:sz w:val="18"/>
          <w:szCs w:val="18"/>
          <w:color w:val="auto"/>
        </w:rPr>
        <w:t>”) in August 2021 (the “</w:t>
      </w:r>
      <w:r>
        <w:rPr>
          <w:rFonts w:ascii="Arial" w:cs="Arial" w:eastAsia="Arial" w:hAnsi="Arial"/>
          <w:sz w:val="18"/>
          <w:szCs w:val="18"/>
          <w:b w:val="1"/>
          <w:bCs w:val="1"/>
          <w:color w:val="auto"/>
        </w:rPr>
        <w:t>August One Spire Transaction</w:t>
      </w:r>
      <w:r>
        <w:rPr>
          <w:rFonts w:ascii="Arial" w:cs="Arial" w:eastAsia="Arial" w:hAnsi="Arial"/>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Georgem expects to transfer 100,000 Ordinary Shares to One Spire (Pty) Ltd. (the “</w:t>
      </w:r>
      <w:r>
        <w:rPr>
          <w:rFonts w:ascii="Arial" w:cs="Arial" w:eastAsia="Arial" w:hAnsi="Arial"/>
          <w:sz w:val="17"/>
          <w:szCs w:val="17"/>
          <w:b w:val="1"/>
          <w:bCs w:val="1"/>
          <w:color w:val="auto"/>
        </w:rPr>
        <w:t>November One Spire Transaction</w:t>
      </w:r>
      <w:r>
        <w:rPr>
          <w:rFonts w:ascii="Arial" w:cs="Arial" w:eastAsia="Arial" w:hAnsi="Arial"/>
          <w:sz w:val="17"/>
          <w:szCs w:val="17"/>
          <w:color w:val="auto"/>
        </w:rPr>
        <w: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IJC and One Spire are parties to that certain Voting Agreement, dated August 12, 2021 (the “</w:t>
      </w:r>
      <w:r>
        <w:rPr>
          <w:rFonts w:ascii="Arial" w:cs="Arial" w:eastAsia="Arial" w:hAnsi="Arial"/>
          <w:sz w:val="18"/>
          <w:szCs w:val="18"/>
          <w:b w:val="1"/>
          <w:bCs w:val="1"/>
          <w:color w:val="auto"/>
        </w:rPr>
        <w:t>Prior Agreement</w:t>
      </w:r>
      <w:r>
        <w:rPr>
          <w:rFonts w:ascii="Arial" w:cs="Arial" w:eastAsia="Arial" w:hAnsi="Arial"/>
          <w:sz w:val="18"/>
          <w:szCs w:val="18"/>
          <w:color w:val="auto"/>
        </w:rPr>
        <w:t>”);</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WHEREAS, in connection with the November One Spire Transaction, IJC and One Spire desire to amend and restate the Prior Agreement and agree that this Agreement will supersede and replace the Prior Agreement in its entirety; and</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WHEREAS, in the absence of any special rights or privileges granted to IJC as founder of the Company pursuant to the Company’s constitutional documents, the parties hereto desire to enter into this Agreement to provide IJC and IJC Transferees with the right to exercise, or cause One Spire to exercise as directed by IJC and IJC Transferees, the voting rights in respect of any Ordinary Shares beneficially owned by One Spire for so long as IJC and IJC Transferees, in his or their sole discretion, determine to do so.</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covenants and agreements contained herein, the parties hereto agree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EFINITIONS</w:t>
      </w:r>
    </w:p>
    <w:p>
      <w:pPr>
        <w:spacing w:after="0" w:line="21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Section 1.01. As used in this Agreement, the following terms have the following meanings:</w:t>
      </w:r>
    </w:p>
    <w:p>
      <w:pPr>
        <w:spacing w:after="0" w:line="221"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August One Spire Transaction</w:t>
      </w:r>
      <w:r>
        <w:rPr>
          <w:rFonts w:ascii="Arial" w:cs="Arial" w:eastAsia="Arial" w:hAnsi="Arial"/>
          <w:sz w:val="18"/>
          <w:szCs w:val="18"/>
          <w:color w:val="auto"/>
        </w:rPr>
        <w:t>” means the transfer of 3,000,000 Ordinary Shares from Georgem to One Spire which was consummated in August 2021.</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Beneficially Owned</w:t>
      </w:r>
      <w:r>
        <w:rPr>
          <w:rFonts w:ascii="Arial" w:cs="Arial" w:eastAsia="Arial" w:hAnsi="Arial"/>
          <w:sz w:val="18"/>
          <w:szCs w:val="18"/>
          <w:color w:val="auto"/>
        </w:rPr>
        <w:t>” has the meaning ascribed to such term in Rule 13d-3 of the Exchange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Karooooo Ltd., a public limited company organized under the laws of the Republic of 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7" w:name="page18"/>
    <w:bookmarkEnd w:id="17"/>
    <w:p>
      <w:pPr>
        <w:ind w:right="2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Securities</w:t>
      </w:r>
      <w:r>
        <w:rPr>
          <w:rFonts w:ascii="Arial" w:cs="Arial" w:eastAsia="Arial" w:hAnsi="Arial"/>
          <w:sz w:val="18"/>
          <w:szCs w:val="18"/>
          <w:color w:val="auto"/>
        </w:rPr>
        <w:t>” means (i) the Ordinary Shares, (ii) securities convertible into or exchangeable for Ordinary Shares and (iii) any options, warrants or other rights to acquire Ordinary Shares.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U.S. Securities Exchange Act of 1934,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Georgem</w:t>
      </w:r>
      <w:r>
        <w:rPr>
          <w:rFonts w:ascii="Arial" w:cs="Arial" w:eastAsia="Arial" w:hAnsi="Arial"/>
          <w:sz w:val="18"/>
          <w:szCs w:val="18"/>
          <w:color w:val="auto"/>
        </w:rPr>
        <w:t>” Georgem Holdings (Pty) Ltd.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IJC</w:t>
      </w:r>
      <w:r>
        <w:rPr>
          <w:rFonts w:ascii="Arial" w:cs="Arial" w:eastAsia="Arial" w:hAnsi="Arial"/>
          <w:sz w:val="18"/>
          <w:szCs w:val="18"/>
          <w:color w:val="auto"/>
        </w:rPr>
        <w:t>” means Isaias Jose Calisto.</w:t>
      </w:r>
    </w:p>
    <w:p>
      <w:pPr>
        <w:spacing w:after="0" w:line="225" w:lineRule="exact"/>
        <w:rPr>
          <w:sz w:val="20"/>
          <w:szCs w:val="20"/>
          <w:color w:val="auto"/>
        </w:rPr>
      </w:pPr>
    </w:p>
    <w:p>
      <w:pPr>
        <w:ind w:right="8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IJC Family Tranferee</w:t>
      </w:r>
      <w:r>
        <w:rPr>
          <w:rFonts w:ascii="Arial" w:cs="Arial" w:eastAsia="Arial" w:hAnsi="Arial"/>
          <w:sz w:val="18"/>
          <w:szCs w:val="18"/>
          <w:color w:val="auto"/>
        </w:rPr>
        <w:t>” means the spouse, the lineal descendant, sibling, heir, executor, administrator, testamentary trustee, legatee or beneficiary of IJC.</w:t>
      </w:r>
    </w:p>
    <w:p>
      <w:pPr>
        <w:spacing w:after="0" w:line="162" w:lineRule="exact"/>
        <w:rPr>
          <w:sz w:val="20"/>
          <w:szCs w:val="20"/>
          <w:color w:val="auto"/>
        </w:rPr>
      </w:pPr>
    </w:p>
    <w:p>
      <w:pPr>
        <w:ind w:right="18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IJC Transferee</w:t>
      </w:r>
      <w:r>
        <w:rPr>
          <w:rFonts w:ascii="Arial" w:cs="Arial" w:eastAsia="Arial" w:hAnsi="Arial"/>
          <w:sz w:val="16"/>
          <w:szCs w:val="16"/>
          <w:color w:val="auto"/>
        </w:rPr>
        <w:t xml:space="preserve">” means any Person to whom Company Securities are Transferred from IJC;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transferee is (A) an IJC Family Tranferee, (B) a trust that is for the exclusive benefit of an IJC Family Transferee or (C) a legal entity that is controlled by an IJC Family Transferee.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November One Spire Transaction</w:t>
      </w:r>
      <w:r>
        <w:rPr>
          <w:rFonts w:ascii="Arial" w:cs="Arial" w:eastAsia="Arial" w:hAnsi="Arial"/>
          <w:sz w:val="18"/>
          <w:szCs w:val="18"/>
          <w:color w:val="auto"/>
        </w:rPr>
        <w:t>” means the transfer of 100,000 Ordinary Shares from Georgem to One Spire.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One Spire</w:t>
      </w:r>
      <w:r>
        <w:rPr>
          <w:rFonts w:ascii="Arial" w:cs="Arial" w:eastAsia="Arial" w:hAnsi="Arial"/>
          <w:sz w:val="18"/>
          <w:szCs w:val="18"/>
          <w:color w:val="auto"/>
        </w:rPr>
        <w:t>” One Spire (Pty) Ltd.</w:t>
      </w:r>
    </w:p>
    <w:p>
      <w:pPr>
        <w:spacing w:after="0" w:line="225"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One Spire Holding</w:t>
      </w:r>
      <w:r>
        <w:rPr>
          <w:rFonts w:ascii="Arial" w:cs="Arial" w:eastAsia="Arial" w:hAnsi="Arial"/>
          <w:sz w:val="18"/>
          <w:szCs w:val="18"/>
          <w:color w:val="auto"/>
        </w:rPr>
        <w:t>” means the 3,100,000 Ordinary Shares that One Spire is expected to Beneficially Own following the November One Spire Transaction.</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Shares</w:t>
      </w:r>
      <w:r>
        <w:rPr>
          <w:rFonts w:ascii="Arial" w:cs="Arial" w:eastAsia="Arial" w:hAnsi="Arial"/>
          <w:sz w:val="18"/>
          <w:szCs w:val="18"/>
          <w:color w:val="auto"/>
        </w:rPr>
        <w:t>” means the ordinary shares of the Company and any other security into which such ordinary shares may hereafter be converted or changed.</w:t>
      </w:r>
    </w:p>
    <w:p>
      <w:pPr>
        <w:spacing w:after="0" w:line="162"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corporation, limited liability company, partnership, association, trust or other entity or organization, including a government or political subdivision or an agency or instrumentality thereof.</w:t>
      </w:r>
    </w:p>
    <w:p>
      <w:pPr>
        <w:spacing w:after="0" w:line="162" w:lineRule="exact"/>
        <w:rPr>
          <w:sz w:val="20"/>
          <w:szCs w:val="20"/>
          <w:color w:val="auto"/>
        </w:rPr>
      </w:pPr>
    </w:p>
    <w:p>
      <w:pPr>
        <w:ind w:right="22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means, with respect to any Company Securities, (i) when used as a verb, to sell, assign, dispose of, exchange, pledge, encumber, hypothecate or otherwise transfer such Company Securities or any participation or interest therein, whether directly or indirectly (including pursuant to a derivative transaction), or agree or commit to do any of the foregoing and (ii) when used as a noun, a direct or indirect sale, assignment, disposition, exchange, pledge, encumbrance, hypothecation, or other transfer of such Company Securities or any participation or interest therein or any agreement or commitment to do any of the foregoing.</w:t>
      </w:r>
    </w:p>
    <w:p>
      <w:pPr>
        <w:spacing w:after="0" w:line="187" w:lineRule="exact"/>
        <w:rPr>
          <w:sz w:val="20"/>
          <w:szCs w:val="20"/>
          <w:color w:val="auto"/>
        </w:rPr>
      </w:pPr>
    </w:p>
    <w:p>
      <w:pPr>
        <w:ind w:left="820" w:right="20" w:firstLine="648"/>
        <w:spacing w:after="0" w:line="263" w:lineRule="auto"/>
        <w:rPr>
          <w:sz w:val="20"/>
          <w:szCs w:val="20"/>
          <w:color w:val="auto"/>
        </w:rPr>
      </w:pPr>
      <w:r>
        <w:rPr>
          <w:rFonts w:ascii="Arial" w:cs="Arial" w:eastAsia="Arial" w:hAnsi="Arial"/>
          <w:sz w:val="18"/>
          <w:szCs w:val="18"/>
          <w:color w:val="auto"/>
        </w:rPr>
        <w:t>Section 1.02.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8" w:name="page19"/>
    <w:bookmarkEnd w:id="18"/>
    <w:p>
      <w:pPr>
        <w:spacing w:after="0" w:line="269" w:lineRule="auto"/>
        <w:rPr>
          <w:sz w:val="20"/>
          <w:szCs w:val="20"/>
          <w:color w:val="auto"/>
        </w:rPr>
      </w:pPr>
      <w:r>
        <w:rPr>
          <w:rFonts w:ascii="Arial" w:cs="Arial" w:eastAsia="Arial" w:hAnsi="Arial"/>
          <w:sz w:val="17"/>
          <w:szCs w:val="17"/>
          <w:color w:val="auto"/>
        </w:rPr>
        <w:t xml:space="preserve">and Schedules are to Articles, Sections, Exhibits and Schedules of this Agreement unless otherwise specified. All Exhibits and Schedules annexed hereto or referred to herein are hereby incorporated in and made a part of this Agreement as if set forth in full herein. Any capitalized terms used in any Exhibit or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with respect to any agreement or contract listed on any schedules hereto, all such amendments, modifications or supplements must also be listed in the appropriate schedule. References to any law include all rules and regulations promulgated thereunder. References to any Person include the successors and permitted assigns of that Person. References from or through any date mean, unless otherwise specified, from and including or through and including, respectively.</w:t>
      </w:r>
    </w:p>
    <w:p>
      <w:pPr>
        <w:spacing w:after="0" w:line="179"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V</w:t>
      </w:r>
      <w:r>
        <w:rPr>
          <w:rFonts w:ascii="Arial" w:cs="Arial" w:eastAsia="Arial" w:hAnsi="Arial"/>
          <w:sz w:val="12"/>
          <w:szCs w:val="12"/>
          <w:color w:val="auto"/>
        </w:rPr>
        <w:t>OTING</w:t>
      </w:r>
    </w:p>
    <w:p>
      <w:pPr>
        <w:spacing w:after="0" w:line="211"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Section 2.01. For so long as IJC and IJC Transferees, when taken together, shall Beneficially Own Company Securities but not Beneficially Own more than fifty one percent of the issued and outstanding number of Ordinary Shares, One Spire shall, in person or by proxy, cast all votes to which One Spire is entitled in respect of the Ordinary Shares that One Spire Beneficially Owns, whether at any annual or special meeting of shareholders of the Company, by written consent or otherwise, in the manner directed in writing by IJC.</w:t>
      </w:r>
    </w:p>
    <w:p>
      <w:pPr>
        <w:spacing w:after="0" w:line="171"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Section 2.02. For so long as IJC and IJC Transferees, when taken together, shall Beneficially Own Company Securities but not Beneficially Own more than fifty one percent of the issued and outstanding number of Ordinary Shares, if IJC requests One Spire to grant IJC a proxy to cast any or all votes to which One Spire is entitled in respect of the Ordinary Shares that One Spire Beneficially Owns, whether at any annual or special meeting of shareholders of the Company, One Spire shall grant IJC such proxy.</w:t>
      </w:r>
    </w:p>
    <w:p>
      <w:pPr>
        <w:spacing w:after="0" w:line="17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Section 2.03. In the event that IJC shall transfer Ordinary Shares from IJC to IJC Transferees and IJC shall no longer Beneficially Own Company Securities, then for so long as any such IJC Transferee shall Beneficially Own Company Securities but not, when taken together with all other IJC Transferees, Beneficially Own more than fifty one percent of the issued and outstanding number of Ordinary Shares, such IJC Transferee may exercise the rights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324485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00"/>
          </w:cols>
          <w:pgMar w:left="1140" w:top="544" w:right="359" w:bottom="1440" w:gutter="0" w:footer="0" w:header="0"/>
        </w:sectPr>
      </w:pPr>
    </w:p>
    <w:bookmarkStart w:id="19" w:name="page20"/>
    <w:bookmarkEnd w:id="19"/>
    <w:p>
      <w:pPr>
        <w:ind w:right="260"/>
        <w:spacing w:after="0" w:line="277" w:lineRule="auto"/>
        <w:rPr>
          <w:sz w:val="20"/>
          <w:szCs w:val="20"/>
          <w:color w:val="auto"/>
        </w:rPr>
      </w:pPr>
      <w:r>
        <w:rPr>
          <w:rFonts w:ascii="Arial" w:cs="Arial" w:eastAsia="Arial" w:hAnsi="Arial"/>
          <w:sz w:val="18"/>
          <w:szCs w:val="18"/>
          <w:color w:val="auto"/>
        </w:rPr>
        <w:t xml:space="preserve">to IJC by Section 2.01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in the proportion that such IJC Transferee’s Beneficial Ownership of Ordinary Shares relates to the aggregate Beneficial Ownership of Ordinary Shares of all such IJC Transferees.</w:t>
      </w:r>
    </w:p>
    <w:p>
      <w:pPr>
        <w:spacing w:after="0" w:line="170"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RANSFER AND</w:t>
      </w:r>
      <w:r>
        <w:rPr>
          <w:rFonts w:ascii="Arial" w:cs="Arial" w:eastAsia="Arial" w:hAnsi="Arial"/>
          <w:sz w:val="18"/>
          <w:szCs w:val="18"/>
          <w:color w:val="auto"/>
        </w:rPr>
        <w:t xml:space="preserve"> A</w:t>
      </w:r>
      <w:r>
        <w:rPr>
          <w:rFonts w:ascii="Arial" w:cs="Arial" w:eastAsia="Arial" w:hAnsi="Arial"/>
          <w:sz w:val="12"/>
          <w:szCs w:val="12"/>
          <w:color w:val="auto"/>
        </w:rPr>
        <w:t>CQUISITION</w:t>
      </w:r>
    </w:p>
    <w:p>
      <w:pPr>
        <w:spacing w:after="0" w:line="21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Section 3.01. Except with the prior consent in writing of IJC, which consent may be withheld at the sole discretion of IJC, One Spire shall not Transfer to any Person any Company Securities Beneficially Owned by One Spire.</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Section 3.02. Other than the One Spire Holding, except with the prior consent in writing of IJC, which consent may be withheld at the sole discretion of IJC, One Spire shall not acquire Beneficial Ownership of any Company Securities.</w:t>
      </w:r>
    </w:p>
    <w:p>
      <w:pPr>
        <w:spacing w:after="0" w:line="170"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w:t>
      </w:r>
      <w:r>
        <w:rPr>
          <w:rFonts w:ascii="Arial" w:cs="Arial" w:eastAsia="Arial" w:hAnsi="Arial"/>
          <w:sz w:val="18"/>
          <w:szCs w:val="18"/>
          <w:color w:val="auto"/>
        </w:rPr>
        <w:t xml:space="preserve"> C</w:t>
      </w:r>
      <w:r>
        <w:rPr>
          <w:rFonts w:ascii="Arial" w:cs="Arial" w:eastAsia="Arial" w:hAnsi="Arial"/>
          <w:sz w:val="12"/>
          <w:szCs w:val="12"/>
          <w:color w:val="auto"/>
        </w:rPr>
        <w:t>ONFLICTING</w:t>
      </w:r>
      <w:r>
        <w:rPr>
          <w:rFonts w:ascii="Arial" w:cs="Arial" w:eastAsia="Arial" w:hAnsi="Arial"/>
          <w:sz w:val="18"/>
          <w:szCs w:val="18"/>
          <w:color w:val="auto"/>
        </w:rPr>
        <w:t xml:space="preserve"> A</w:t>
      </w:r>
      <w:r>
        <w:rPr>
          <w:rFonts w:ascii="Arial" w:cs="Arial" w:eastAsia="Arial" w:hAnsi="Arial"/>
          <w:sz w:val="12"/>
          <w:szCs w:val="12"/>
          <w:color w:val="auto"/>
        </w:rPr>
        <w:t>GREEMENTS</w:t>
      </w:r>
    </w:p>
    <w:p>
      <w:pPr>
        <w:spacing w:after="0" w:line="21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Section 4.01. One Spire shall not (1) grant any proxy or enter into or agree to be bound by any voting trust or agreement with respect to the Company Securities, except as expressly contemplated by this Agreement, (2) enter into any agreement or arrangement of any kind with any Person with respect to any Company Securities inconsistent with the provisions of this Agreement or for the purpose or with the effect of denying or reducing the rights of IJC under this Agreement, including agreements or arrangements with respect to the Transfer or voting of its Company Securities or (3) act, for any reason, as a member of a group or in concert with any other Person in connection with the Transfer or voting of its Company Securities in any manner that is inconsistent with the provisions of this Agreement.</w:t>
      </w:r>
    </w:p>
    <w:p>
      <w:pPr>
        <w:spacing w:after="0" w:line="178"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ISCELLANEOUS</w:t>
      </w:r>
    </w:p>
    <w:p>
      <w:pPr>
        <w:spacing w:after="0" w:line="2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Section 5.01. This Agreement shall inure to the benefit of and be binding upon the parties hereto and their respective heirs, successors, legal representatives and permitted assigns. IJC may assign this Agreement and any right or remedy arising hereunder or by reason hereof to any IJC Transferee. One Spire may not assign this Agreement or any obligation hereunder or by reason hereof to any Person.</w:t>
      </w:r>
    </w:p>
    <w:p>
      <w:pPr>
        <w:spacing w:after="0" w:line="14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Section 5.02. All notices, requests and other communications to any party shall be in writing and shall be delivered in person (including by courier), mailed by certified or registered mail, return receipt requested, or sent by electronic mail (so long as receipt of such electronic mail is requested and received) to: if to IJC, C/O Karooooo Ltd., 10 Anson Road #12-14,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322580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20"/>
          </w:cols>
          <w:pgMar w:left="1140" w:top="544"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color w:val="auto"/>
        </w:rPr>
        <w:t>International Plaza Singapore 079903; Email: zak.calisto@catrack.com; and if to One Spire, C/O Juan Marais, 21 Penhurst avenue, Essexwold,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Bedfordview, South Africa; Email: juan@cartrack.com.</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5.03. This Agreement shall be governed by, and construed in accordance with, the laws of the State of New York.</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Section 5.04. The parties hereto agree that any suit, action or proceeding seeking to enforce any provision of, or based on any matter arising out of or in connection with, this Agreement or the transactions contemplated hereby shall be brought in the United States District Court for the Southern District of New York or any New York State court sitting in New York City, and that any case of action arising out of this Agreement shall be deemed to have arisen from a transaction of business in the State of New York,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5.02 shall be deemed effective service of process on such party.</w:t>
      </w:r>
    </w:p>
    <w:p>
      <w:pPr>
        <w:spacing w:after="0" w:line="185"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Section 5.05. EACH OF THE PARTIES HERETO HEREBY IRREVOCABLY WAIVES ANY AND ALL RIGHT TO TRIAL BY JURY IN ANY LEGAL PROCEEDING ARISING OUT OF OR RELATED TO THIS AGREEMENT OR THE TRANSACTIONS CONTEMPLATED HEREBY.</w:t>
      </w:r>
    </w:p>
    <w:p>
      <w:pPr>
        <w:spacing w:after="0" w:line="184"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Section 5.06. Each party hereto acknowledges that the remedies at law of the other parties for a breach or threatened breach of this Agreement would be inadequate and, in recognition of this fact, any party to this Agreement, without posting any bond, and in addition to all other remedies that may be available, shall be entitled to obtain equitable relief in the form of specific performance, a temporary restraining order, a temporary or permanent injunction or any other equitable remedy that may then be available.</w:t>
      </w:r>
    </w:p>
    <w:p>
      <w:pPr>
        <w:spacing w:after="0" w:line="171" w:lineRule="exact"/>
        <w:rPr>
          <w:sz w:val="20"/>
          <w:szCs w:val="20"/>
          <w:color w:val="auto"/>
        </w:rPr>
      </w:pPr>
    </w:p>
    <w:p>
      <w:pPr>
        <w:ind w:right="180" w:firstLine="648"/>
        <w:spacing w:after="0" w:line="301" w:lineRule="auto"/>
        <w:rPr>
          <w:sz w:val="20"/>
          <w:szCs w:val="20"/>
          <w:color w:val="auto"/>
        </w:rPr>
      </w:pPr>
      <w:r>
        <w:rPr>
          <w:rFonts w:ascii="Arial" w:cs="Arial" w:eastAsia="Arial" w:hAnsi="Arial"/>
          <w:sz w:val="16"/>
          <w:szCs w:val="16"/>
          <w:color w:val="auto"/>
        </w:rPr>
        <w:t>Section 5.07. This Agreement may be executed in any number of counterparts, each of which shall be deemed to be an original, with the same effect as if the signatures thereto and hereto were upon the same instrument. Electronic signatures complying with the New York Electronic Signatures and Records Act (N.Y. State Tech. §§ 301-309), as amended from time to time, or other applicable law will be deemed original signatures for purposes of this Agreement. Transmission by telecopy, electronic mail or other transmission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306070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80"/>
          </w:cols>
          <w:pgMar w:left="1140" w:top="544" w:right="37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method of an executed counterpart of this Agreement will constitute due and sufficient delivery of such counterpart.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Section 5.08. This Agreement constitutes the entire agreement among the parties hereto and supersedes all prior and contemporaneous agreements and understandings, both oral and written, among the parties hereto with respect to the subject matter hereof and thereof, including the Prior Agreement.</w:t>
      </w:r>
    </w:p>
    <w:p>
      <w:pPr>
        <w:spacing w:after="0" w:line="18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Section 5.09.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so that the transactions contemplated hereby be consummated as originally contemplated to the fullest extent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310515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20"/>
          </w:cols>
          <w:pgMar w:left="1140" w:top="544" w:right="439" w:bottom="1440" w:gutter="0" w:footer="0" w:header="0"/>
        </w:sectPr>
      </w:pPr>
    </w:p>
    <w:bookmarkStart w:id="22" w:name="page23"/>
    <w:bookmarkEnd w:id="22"/>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by their respective authorized officers as of the day and year first above written.</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Isaias Jose Calisto</w:t>
      </w:r>
    </w:p>
    <w:p>
      <w:pPr>
        <w:spacing w:after="0" w:line="200" w:lineRule="exact"/>
        <w:rPr>
          <w:sz w:val="20"/>
          <w:szCs w:val="20"/>
          <w:color w:val="auto"/>
        </w:rPr>
      </w:pPr>
    </w:p>
    <w:p>
      <w:pPr>
        <w:spacing w:after="0" w:line="241"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Isaias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Isaias Jose Calisto</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One Spire (Pty) Ltd.</w:t>
      </w:r>
    </w:p>
    <w:p>
      <w:pPr>
        <w:spacing w:after="0" w:line="200" w:lineRule="exact"/>
        <w:rPr>
          <w:sz w:val="20"/>
          <w:szCs w:val="20"/>
          <w:color w:val="auto"/>
        </w:rPr>
      </w:pPr>
    </w:p>
    <w:p>
      <w:pPr>
        <w:spacing w:after="0" w:line="241"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Juan Marais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Juan Marais</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544" w:right="439" w:bottom="1440" w:gutter="0" w:footer="0" w:header="0"/>
        </w:sectPr>
      </w:pPr>
    </w:p>
    <w:bookmarkStart w:id="23" w:name="page24"/>
    <w:bookmarkEnd w:id="23"/>
    <w:p>
      <w:pPr>
        <w:jc w:val="right"/>
        <w:spacing w:after="0"/>
        <w:rPr>
          <w:sz w:val="20"/>
          <w:szCs w:val="20"/>
          <w:color w:val="auto"/>
        </w:rPr>
      </w:pPr>
      <w:r>
        <w:rPr>
          <w:rFonts w:ascii="Arial" w:cs="Arial" w:eastAsia="Arial" w:hAnsi="Arial"/>
          <w:sz w:val="22"/>
          <w:szCs w:val="22"/>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774065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165100</wp:posOffset>
            </wp:positionV>
            <wp:extent cx="796925" cy="4718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9692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Execution Version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D2D2D"/>
        </w:rPr>
        <w:t>SALE OF SHARES AGREEMENT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D2D2D"/>
        </w:rPr>
        <w:t>between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D2D2D"/>
        </w:rPr>
        <w:t>GEORGEM HOLDINGS PROPRIETARY LIMITED</w:t>
      </w: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23"/>
          <w:szCs w:val="23"/>
          <w:b w:val="1"/>
          <w:bCs w:val="1"/>
          <w:color w:val="2D2D2D"/>
        </w:rPr>
        <w:t>and</w:t>
      </w: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D2D2D"/>
        </w:rPr>
        <w:t>ONE SPIRE PROPRIETARY LIMITED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tcPr>
          <w:p>
            <w:pPr>
              <w:jc w:val="center"/>
              <w:ind w:right="170"/>
              <w:spacing w:after="0"/>
              <w:rPr>
                <w:sz w:val="20"/>
                <w:szCs w:val="20"/>
                <w:color w:val="auto"/>
              </w:rPr>
            </w:pPr>
            <w:r>
              <w:rPr>
                <w:rFonts w:ascii="Arial" w:cs="Arial" w:eastAsia="Arial" w:hAnsi="Arial"/>
                <w:sz w:val="18"/>
                <w:szCs w:val="18"/>
                <w:color w:val="auto"/>
                <w:w w:val="99"/>
              </w:rPr>
              <w:t>The Central 96 Rivonia Road</w:t>
            </w:r>
          </w:p>
        </w:tc>
        <w:tc>
          <w:tcPr>
            <w:tcW w:w="3440" w:type="dxa"/>
            <w:vAlign w:val="bottom"/>
          </w:tcPr>
          <w:p>
            <w:pPr>
              <w:jc w:val="center"/>
              <w:spacing w:after="0"/>
              <w:rPr>
                <w:sz w:val="20"/>
                <w:szCs w:val="20"/>
                <w:color w:val="auto"/>
              </w:rPr>
            </w:pPr>
            <w:r>
              <w:rPr>
                <w:rFonts w:ascii="Arial" w:cs="Arial" w:eastAsia="Arial" w:hAnsi="Arial"/>
                <w:sz w:val="18"/>
                <w:szCs w:val="18"/>
                <w:color w:val="auto"/>
                <w:w w:val="99"/>
              </w:rPr>
              <w:t>Docex 111 Sandton</w:t>
            </w:r>
          </w:p>
        </w:tc>
        <w:tc>
          <w:tcPr>
            <w:tcW w:w="3020" w:type="dxa"/>
            <w:vAlign w:val="bottom"/>
          </w:tcPr>
          <w:p>
            <w:pPr>
              <w:ind w:left="820"/>
              <w:spacing w:after="0"/>
              <w:rPr>
                <w:sz w:val="20"/>
                <w:szCs w:val="20"/>
                <w:color w:val="auto"/>
              </w:rPr>
            </w:pPr>
            <w:r>
              <w:rPr>
                <w:rFonts w:ascii="Arial" w:cs="Arial" w:eastAsia="Arial" w:hAnsi="Arial"/>
                <w:sz w:val="18"/>
                <w:szCs w:val="18"/>
                <w:color w:val="auto"/>
              </w:rPr>
              <w:t>www.werksmans.com</w:t>
            </w:r>
          </w:p>
        </w:tc>
      </w:tr>
      <w:tr>
        <w:trPr>
          <w:trHeight w:val="203"/>
        </w:trPr>
        <w:tc>
          <w:tcPr>
            <w:tcW w:w="4780" w:type="dxa"/>
            <w:vAlign w:val="bottom"/>
          </w:tcPr>
          <w:p>
            <w:pPr>
              <w:jc w:val="center"/>
              <w:ind w:right="190"/>
              <w:spacing w:after="0" w:line="202" w:lineRule="exact"/>
              <w:rPr>
                <w:sz w:val="20"/>
                <w:szCs w:val="20"/>
                <w:color w:val="auto"/>
              </w:rPr>
            </w:pPr>
            <w:r>
              <w:rPr>
                <w:rFonts w:ascii="Arial" w:cs="Arial" w:eastAsia="Arial" w:hAnsi="Arial"/>
                <w:sz w:val="18"/>
                <w:szCs w:val="18"/>
                <w:color w:val="auto"/>
                <w:w w:val="99"/>
              </w:rPr>
              <w:t>Sandton 2196 Johannesburg South Africa</w:t>
            </w:r>
          </w:p>
        </w:tc>
        <w:tc>
          <w:tcPr>
            <w:tcW w:w="3440" w:type="dxa"/>
            <w:vAlign w:val="bottom"/>
          </w:tcPr>
          <w:p>
            <w:pPr>
              <w:jc w:val="center"/>
              <w:spacing w:after="0" w:line="202" w:lineRule="exact"/>
              <w:rPr>
                <w:sz w:val="20"/>
                <w:szCs w:val="20"/>
                <w:color w:val="auto"/>
              </w:rPr>
            </w:pPr>
            <w:r>
              <w:rPr>
                <w:rFonts w:ascii="Arial" w:cs="Arial" w:eastAsia="Arial" w:hAnsi="Arial"/>
                <w:sz w:val="18"/>
                <w:szCs w:val="18"/>
                <w:color w:val="auto"/>
                <w:w w:val="99"/>
              </w:rPr>
              <w:t>Tel + 27 11 535 8000</w:t>
            </w:r>
          </w:p>
        </w:tc>
        <w:tc>
          <w:tcPr>
            <w:tcW w:w="3020" w:type="dxa"/>
            <w:vAlign w:val="bottom"/>
          </w:tcPr>
          <w:p>
            <w:pPr>
              <w:spacing w:after="0"/>
              <w:rPr>
                <w:sz w:val="17"/>
                <w:szCs w:val="17"/>
                <w:color w:val="auto"/>
              </w:rPr>
            </w:pPr>
          </w:p>
        </w:tc>
      </w:tr>
      <w:tr>
        <w:trPr>
          <w:trHeight w:val="217"/>
        </w:trPr>
        <w:tc>
          <w:tcPr>
            <w:tcW w:w="4780" w:type="dxa"/>
            <w:vAlign w:val="bottom"/>
          </w:tcPr>
          <w:p>
            <w:pPr>
              <w:jc w:val="center"/>
              <w:ind w:right="170"/>
              <w:spacing w:after="0"/>
              <w:rPr>
                <w:sz w:val="20"/>
                <w:szCs w:val="20"/>
                <w:color w:val="auto"/>
              </w:rPr>
            </w:pPr>
            <w:r>
              <w:rPr>
                <w:rFonts w:ascii="Arial" w:cs="Arial" w:eastAsia="Arial" w:hAnsi="Arial"/>
                <w:sz w:val="18"/>
                <w:szCs w:val="18"/>
                <w:color w:val="auto"/>
                <w:w w:val="99"/>
              </w:rPr>
              <w:t>Private Bag 10015 Sandton 2146</w:t>
            </w:r>
          </w:p>
        </w:tc>
        <w:tc>
          <w:tcPr>
            <w:tcW w:w="3440" w:type="dxa"/>
            <w:vAlign w:val="bottom"/>
          </w:tcPr>
          <w:p>
            <w:pPr>
              <w:jc w:val="center"/>
              <w:spacing w:after="0"/>
              <w:rPr>
                <w:sz w:val="20"/>
                <w:szCs w:val="20"/>
                <w:color w:val="auto"/>
              </w:rPr>
            </w:pPr>
            <w:r>
              <w:rPr>
                <w:rFonts w:ascii="Arial" w:cs="Arial" w:eastAsia="Arial" w:hAnsi="Arial"/>
                <w:sz w:val="18"/>
                <w:szCs w:val="18"/>
                <w:color w:val="auto"/>
                <w:w w:val="99"/>
              </w:rPr>
              <w:t>Fax + 27 11 535 8600</w:t>
            </w:r>
          </w:p>
        </w:tc>
        <w:tc>
          <w:tcPr>
            <w:tcW w:w="3020" w:type="dxa"/>
            <w:vAlign w:val="bottom"/>
          </w:tcPr>
          <w:p>
            <w:pPr>
              <w:spacing w:after="0"/>
              <w:rPr>
                <w:sz w:val="18"/>
                <w:szCs w:val="18"/>
                <w:color w:val="auto"/>
              </w:rPr>
            </w:pPr>
          </w:p>
        </w:tc>
      </w:tr>
      <w:tr>
        <w:trPr>
          <w:trHeight w:val="553"/>
        </w:trPr>
        <w:tc>
          <w:tcPr>
            <w:tcW w:w="47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55" w:right="339" w:bottom="1440" w:gutter="0" w:footer="0" w:header="0"/>
        </w:sectPr>
      </w:pPr>
    </w:p>
    <w:bookmarkStart w:id="24" w:name="page25"/>
    <w:bookmarkEnd w:id="24"/>
    <w:p>
      <w:pPr>
        <w:spacing w:after="0"/>
        <w:rPr>
          <w:sz w:val="20"/>
          <w:szCs w:val="20"/>
          <w:color w:val="auto"/>
        </w:rPr>
      </w:pPr>
      <w:r>
        <w:rPr>
          <w:rFonts w:ascii="Arial" w:cs="Arial" w:eastAsia="Arial" w:hAnsi="Arial"/>
          <w:sz w:val="22"/>
          <w:szCs w:val="22"/>
          <w:b w:val="1"/>
          <w:bCs w:val="1"/>
          <w:color w:val="auto"/>
        </w:rPr>
        <w:t>TABLE OF 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0" w:type="dxa"/>
            <w:vAlign w:val="bottom"/>
          </w:tcPr>
          <w:p>
            <w:pPr>
              <w:spacing w:after="0"/>
              <w:rPr>
                <w:sz w:val="20"/>
                <w:szCs w:val="20"/>
                <w:color w:val="auto"/>
              </w:rPr>
            </w:pPr>
            <w:r>
              <w:rPr>
                <w:rFonts w:ascii="Arial" w:cs="Arial" w:eastAsia="Arial" w:hAnsi="Arial"/>
                <w:sz w:val="18"/>
                <w:szCs w:val="18"/>
                <w:b w:val="1"/>
                <w:bCs w:val="1"/>
                <w:color w:val="auto"/>
              </w:rPr>
              <w:t>1</w:t>
            </w:r>
          </w:p>
        </w:tc>
        <w:tc>
          <w:tcPr>
            <w:tcW w:w="6880" w:type="dxa"/>
            <w:vAlign w:val="bottom"/>
          </w:tcPr>
          <w:p>
            <w:pPr>
              <w:ind w:left="180"/>
              <w:spacing w:after="0"/>
              <w:rPr>
                <w:sz w:val="20"/>
                <w:szCs w:val="20"/>
                <w:color w:val="auto"/>
              </w:rPr>
            </w:pPr>
            <w:r>
              <w:rPr>
                <w:rFonts w:ascii="Arial" w:cs="Arial" w:eastAsia="Arial" w:hAnsi="Arial"/>
                <w:sz w:val="18"/>
                <w:szCs w:val="18"/>
                <w:b w:val="1"/>
                <w:bCs w:val="1"/>
                <w:color w:val="auto"/>
              </w:rPr>
              <w:t>INTERPRETATION</w:t>
            </w:r>
          </w:p>
        </w:tc>
        <w:tc>
          <w:tcPr>
            <w:tcW w:w="396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405"/>
        </w:trPr>
        <w:tc>
          <w:tcPr>
            <w:tcW w:w="400" w:type="dxa"/>
            <w:vAlign w:val="bottom"/>
          </w:tcPr>
          <w:p>
            <w:pPr>
              <w:spacing w:after="0"/>
              <w:rPr>
                <w:sz w:val="20"/>
                <w:szCs w:val="20"/>
                <w:color w:val="auto"/>
              </w:rPr>
            </w:pPr>
            <w:r>
              <w:rPr>
                <w:rFonts w:ascii="Arial" w:cs="Arial" w:eastAsia="Arial" w:hAnsi="Arial"/>
                <w:sz w:val="18"/>
                <w:szCs w:val="18"/>
                <w:b w:val="1"/>
                <w:bCs w:val="1"/>
                <w:color w:val="auto"/>
              </w:rPr>
              <w:t>2</w:t>
            </w:r>
          </w:p>
        </w:tc>
        <w:tc>
          <w:tcPr>
            <w:tcW w:w="6880" w:type="dxa"/>
            <w:vAlign w:val="bottom"/>
          </w:tcPr>
          <w:p>
            <w:pPr>
              <w:ind w:left="180"/>
              <w:spacing w:after="0"/>
              <w:rPr>
                <w:sz w:val="20"/>
                <w:szCs w:val="20"/>
                <w:color w:val="auto"/>
              </w:rPr>
            </w:pPr>
            <w:r>
              <w:rPr>
                <w:rFonts w:ascii="Arial" w:cs="Arial" w:eastAsia="Arial" w:hAnsi="Arial"/>
                <w:sz w:val="18"/>
                <w:szCs w:val="18"/>
                <w:b w:val="1"/>
                <w:bCs w:val="1"/>
                <w:color w:val="auto"/>
              </w:rPr>
              <w:t>INTRODUCTION</w:t>
            </w:r>
          </w:p>
        </w:tc>
        <w:tc>
          <w:tcPr>
            <w:tcW w:w="396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405"/>
        </w:trPr>
        <w:tc>
          <w:tcPr>
            <w:tcW w:w="400" w:type="dxa"/>
            <w:vAlign w:val="bottom"/>
          </w:tcPr>
          <w:p>
            <w:pPr>
              <w:spacing w:after="0"/>
              <w:rPr>
                <w:sz w:val="20"/>
                <w:szCs w:val="20"/>
                <w:color w:val="auto"/>
              </w:rPr>
            </w:pPr>
            <w:r>
              <w:rPr>
                <w:rFonts w:ascii="Arial" w:cs="Arial" w:eastAsia="Arial" w:hAnsi="Arial"/>
                <w:sz w:val="18"/>
                <w:szCs w:val="18"/>
                <w:b w:val="1"/>
                <w:bCs w:val="1"/>
                <w:color w:val="auto"/>
              </w:rPr>
              <w:t>3</w:t>
            </w:r>
          </w:p>
        </w:tc>
        <w:tc>
          <w:tcPr>
            <w:tcW w:w="6880" w:type="dxa"/>
            <w:vAlign w:val="bottom"/>
          </w:tcPr>
          <w:p>
            <w:pPr>
              <w:ind w:left="180"/>
              <w:spacing w:after="0"/>
              <w:rPr>
                <w:sz w:val="20"/>
                <w:szCs w:val="20"/>
                <w:color w:val="auto"/>
              </w:rPr>
            </w:pPr>
            <w:r>
              <w:rPr>
                <w:rFonts w:ascii="Arial" w:cs="Arial" w:eastAsia="Arial" w:hAnsi="Arial"/>
                <w:sz w:val="18"/>
                <w:szCs w:val="18"/>
                <w:b w:val="1"/>
                <w:bCs w:val="1"/>
                <w:color w:val="auto"/>
              </w:rPr>
              <w:t>SUSPENSIVE CONDITIONS</w:t>
            </w:r>
          </w:p>
        </w:tc>
        <w:tc>
          <w:tcPr>
            <w:tcW w:w="396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405"/>
        </w:trPr>
        <w:tc>
          <w:tcPr>
            <w:tcW w:w="400" w:type="dxa"/>
            <w:vAlign w:val="bottom"/>
          </w:tcPr>
          <w:p>
            <w:pPr>
              <w:spacing w:after="0"/>
              <w:rPr>
                <w:sz w:val="20"/>
                <w:szCs w:val="20"/>
                <w:color w:val="auto"/>
              </w:rPr>
            </w:pPr>
            <w:r>
              <w:rPr>
                <w:rFonts w:ascii="Arial" w:cs="Arial" w:eastAsia="Arial" w:hAnsi="Arial"/>
                <w:sz w:val="18"/>
                <w:szCs w:val="18"/>
                <w:b w:val="1"/>
                <w:bCs w:val="1"/>
                <w:color w:val="auto"/>
              </w:rPr>
              <w:t>4</w:t>
            </w:r>
          </w:p>
        </w:tc>
        <w:tc>
          <w:tcPr>
            <w:tcW w:w="6880" w:type="dxa"/>
            <w:vAlign w:val="bottom"/>
          </w:tcPr>
          <w:p>
            <w:pPr>
              <w:ind w:left="180"/>
              <w:spacing w:after="0"/>
              <w:rPr>
                <w:sz w:val="20"/>
                <w:szCs w:val="20"/>
                <w:color w:val="auto"/>
              </w:rPr>
            </w:pPr>
            <w:r>
              <w:rPr>
                <w:rFonts w:ascii="Arial" w:cs="Arial" w:eastAsia="Arial" w:hAnsi="Arial"/>
                <w:sz w:val="18"/>
                <w:szCs w:val="18"/>
                <w:b w:val="1"/>
                <w:bCs w:val="1"/>
                <w:color w:val="auto"/>
              </w:rPr>
              <w:t>SALE</w:t>
            </w:r>
          </w:p>
        </w:tc>
        <w:tc>
          <w:tcPr>
            <w:tcW w:w="396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405"/>
        </w:trPr>
        <w:tc>
          <w:tcPr>
            <w:tcW w:w="400" w:type="dxa"/>
            <w:vAlign w:val="bottom"/>
          </w:tcPr>
          <w:p>
            <w:pPr>
              <w:spacing w:after="0"/>
              <w:rPr>
                <w:sz w:val="20"/>
                <w:szCs w:val="20"/>
                <w:color w:val="auto"/>
              </w:rPr>
            </w:pPr>
            <w:r>
              <w:rPr>
                <w:rFonts w:ascii="Arial" w:cs="Arial" w:eastAsia="Arial" w:hAnsi="Arial"/>
                <w:sz w:val="18"/>
                <w:szCs w:val="18"/>
                <w:b w:val="1"/>
                <w:bCs w:val="1"/>
                <w:color w:val="auto"/>
              </w:rPr>
              <w:t>5</w:t>
            </w:r>
          </w:p>
        </w:tc>
        <w:tc>
          <w:tcPr>
            <w:tcW w:w="6880" w:type="dxa"/>
            <w:vAlign w:val="bottom"/>
          </w:tcPr>
          <w:p>
            <w:pPr>
              <w:ind w:left="180"/>
              <w:spacing w:after="0"/>
              <w:rPr>
                <w:sz w:val="20"/>
                <w:szCs w:val="20"/>
                <w:color w:val="auto"/>
              </w:rPr>
            </w:pPr>
            <w:r>
              <w:rPr>
                <w:rFonts w:ascii="Arial" w:cs="Arial" w:eastAsia="Arial" w:hAnsi="Arial"/>
                <w:sz w:val="18"/>
                <w:szCs w:val="18"/>
                <w:b w:val="1"/>
                <w:bCs w:val="1"/>
                <w:color w:val="auto"/>
              </w:rPr>
              <w:t>PURCHASE PRICE AND PAYMENT</w:t>
            </w:r>
          </w:p>
        </w:tc>
        <w:tc>
          <w:tcPr>
            <w:tcW w:w="396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405"/>
        </w:trPr>
        <w:tc>
          <w:tcPr>
            <w:tcW w:w="400" w:type="dxa"/>
            <w:vAlign w:val="bottom"/>
          </w:tcPr>
          <w:p>
            <w:pPr>
              <w:spacing w:after="0"/>
              <w:rPr>
                <w:sz w:val="20"/>
                <w:szCs w:val="20"/>
                <w:color w:val="auto"/>
              </w:rPr>
            </w:pPr>
            <w:r>
              <w:rPr>
                <w:rFonts w:ascii="Arial" w:cs="Arial" w:eastAsia="Arial" w:hAnsi="Arial"/>
                <w:sz w:val="18"/>
                <w:szCs w:val="18"/>
                <w:b w:val="1"/>
                <w:bCs w:val="1"/>
                <w:color w:val="auto"/>
              </w:rPr>
              <w:t>6</w:t>
            </w:r>
          </w:p>
        </w:tc>
        <w:tc>
          <w:tcPr>
            <w:tcW w:w="6880" w:type="dxa"/>
            <w:vAlign w:val="bottom"/>
          </w:tcPr>
          <w:p>
            <w:pPr>
              <w:ind w:left="180"/>
              <w:spacing w:after="0"/>
              <w:rPr>
                <w:sz w:val="20"/>
                <w:szCs w:val="20"/>
                <w:color w:val="auto"/>
              </w:rPr>
            </w:pPr>
            <w:r>
              <w:rPr>
                <w:rFonts w:ascii="Arial" w:cs="Arial" w:eastAsia="Arial" w:hAnsi="Arial"/>
                <w:sz w:val="18"/>
                <w:szCs w:val="18"/>
                <w:b w:val="1"/>
                <w:bCs w:val="1"/>
                <w:color w:val="auto"/>
              </w:rPr>
              <w:t>LOAN REPAYMENT TERMS</w:t>
            </w:r>
          </w:p>
        </w:tc>
        <w:tc>
          <w:tcPr>
            <w:tcW w:w="396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405"/>
        </w:trPr>
        <w:tc>
          <w:tcPr>
            <w:tcW w:w="400" w:type="dxa"/>
            <w:vAlign w:val="bottom"/>
          </w:tcPr>
          <w:p>
            <w:pPr>
              <w:spacing w:after="0"/>
              <w:rPr>
                <w:sz w:val="20"/>
                <w:szCs w:val="20"/>
                <w:color w:val="auto"/>
              </w:rPr>
            </w:pPr>
            <w:r>
              <w:rPr>
                <w:rFonts w:ascii="Arial" w:cs="Arial" w:eastAsia="Arial" w:hAnsi="Arial"/>
                <w:sz w:val="18"/>
                <w:szCs w:val="18"/>
                <w:b w:val="1"/>
                <w:bCs w:val="1"/>
                <w:color w:val="auto"/>
              </w:rPr>
              <w:t>7</w:t>
            </w:r>
          </w:p>
        </w:tc>
        <w:tc>
          <w:tcPr>
            <w:tcW w:w="6880" w:type="dxa"/>
            <w:vAlign w:val="bottom"/>
          </w:tcPr>
          <w:p>
            <w:pPr>
              <w:ind w:left="180"/>
              <w:spacing w:after="0"/>
              <w:rPr>
                <w:sz w:val="20"/>
                <w:szCs w:val="20"/>
                <w:color w:val="auto"/>
              </w:rPr>
            </w:pPr>
            <w:r>
              <w:rPr>
                <w:rFonts w:ascii="Arial" w:cs="Arial" w:eastAsia="Arial" w:hAnsi="Arial"/>
                <w:sz w:val="18"/>
                <w:szCs w:val="18"/>
                <w:b w:val="1"/>
                <w:bCs w:val="1"/>
                <w:color w:val="auto"/>
              </w:rPr>
              <w:t>BORROWER UNDERTAKING</w:t>
            </w:r>
          </w:p>
        </w:tc>
        <w:tc>
          <w:tcPr>
            <w:tcW w:w="396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405"/>
        </w:trPr>
        <w:tc>
          <w:tcPr>
            <w:tcW w:w="400" w:type="dxa"/>
            <w:vAlign w:val="bottom"/>
          </w:tcPr>
          <w:p>
            <w:pPr>
              <w:spacing w:after="0"/>
              <w:rPr>
                <w:sz w:val="20"/>
                <w:szCs w:val="20"/>
                <w:color w:val="auto"/>
              </w:rPr>
            </w:pPr>
            <w:r>
              <w:rPr>
                <w:rFonts w:ascii="Arial" w:cs="Arial" w:eastAsia="Arial" w:hAnsi="Arial"/>
                <w:sz w:val="18"/>
                <w:szCs w:val="18"/>
                <w:b w:val="1"/>
                <w:bCs w:val="1"/>
                <w:color w:val="auto"/>
              </w:rPr>
              <w:t>8</w:t>
            </w:r>
          </w:p>
        </w:tc>
        <w:tc>
          <w:tcPr>
            <w:tcW w:w="6880" w:type="dxa"/>
            <w:vAlign w:val="bottom"/>
          </w:tcPr>
          <w:p>
            <w:pPr>
              <w:ind w:left="180"/>
              <w:spacing w:after="0"/>
              <w:rPr>
                <w:sz w:val="20"/>
                <w:szCs w:val="20"/>
                <w:color w:val="auto"/>
              </w:rPr>
            </w:pPr>
            <w:r>
              <w:rPr>
                <w:rFonts w:ascii="Arial" w:cs="Arial" w:eastAsia="Arial" w:hAnsi="Arial"/>
                <w:sz w:val="18"/>
                <w:szCs w:val="18"/>
                <w:b w:val="1"/>
                <w:bCs w:val="1"/>
                <w:color w:val="auto"/>
              </w:rPr>
              <w:t>CLOSING</w:t>
            </w:r>
          </w:p>
        </w:tc>
        <w:tc>
          <w:tcPr>
            <w:tcW w:w="396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405"/>
        </w:trPr>
        <w:tc>
          <w:tcPr>
            <w:tcW w:w="400" w:type="dxa"/>
            <w:vAlign w:val="bottom"/>
          </w:tcPr>
          <w:p>
            <w:pPr>
              <w:spacing w:after="0"/>
              <w:rPr>
                <w:sz w:val="20"/>
                <w:szCs w:val="20"/>
                <w:color w:val="auto"/>
              </w:rPr>
            </w:pPr>
            <w:r>
              <w:rPr>
                <w:rFonts w:ascii="Arial" w:cs="Arial" w:eastAsia="Arial" w:hAnsi="Arial"/>
                <w:sz w:val="18"/>
                <w:szCs w:val="18"/>
                <w:b w:val="1"/>
                <w:bCs w:val="1"/>
                <w:color w:val="auto"/>
              </w:rPr>
              <w:t>9</w:t>
            </w:r>
          </w:p>
        </w:tc>
        <w:tc>
          <w:tcPr>
            <w:tcW w:w="6880" w:type="dxa"/>
            <w:vAlign w:val="bottom"/>
          </w:tcPr>
          <w:p>
            <w:pPr>
              <w:ind w:left="180"/>
              <w:spacing w:after="0"/>
              <w:rPr>
                <w:sz w:val="20"/>
                <w:szCs w:val="20"/>
                <w:color w:val="auto"/>
              </w:rPr>
            </w:pPr>
            <w:r>
              <w:rPr>
                <w:rFonts w:ascii="Arial" w:cs="Arial" w:eastAsia="Arial" w:hAnsi="Arial"/>
                <w:sz w:val="18"/>
                <w:szCs w:val="18"/>
                <w:b w:val="1"/>
                <w:bCs w:val="1"/>
                <w:color w:val="auto"/>
              </w:rPr>
              <w:t>WARRANTIES</w:t>
            </w:r>
          </w:p>
        </w:tc>
        <w:tc>
          <w:tcPr>
            <w:tcW w:w="396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405"/>
        </w:trPr>
        <w:tc>
          <w:tcPr>
            <w:tcW w:w="400" w:type="dxa"/>
            <w:vAlign w:val="bottom"/>
          </w:tcPr>
          <w:p>
            <w:pPr>
              <w:spacing w:after="0"/>
              <w:rPr>
                <w:sz w:val="20"/>
                <w:szCs w:val="20"/>
                <w:color w:val="auto"/>
              </w:rPr>
            </w:pPr>
            <w:r>
              <w:rPr>
                <w:rFonts w:ascii="Arial" w:cs="Arial" w:eastAsia="Arial" w:hAnsi="Arial"/>
                <w:sz w:val="18"/>
                <w:szCs w:val="18"/>
                <w:b w:val="1"/>
                <w:bCs w:val="1"/>
                <w:color w:val="auto"/>
              </w:rPr>
              <w:t>10</w:t>
            </w:r>
          </w:p>
        </w:tc>
        <w:tc>
          <w:tcPr>
            <w:tcW w:w="6880" w:type="dxa"/>
            <w:vAlign w:val="bottom"/>
          </w:tcPr>
          <w:p>
            <w:pPr>
              <w:ind w:left="180"/>
              <w:spacing w:after="0"/>
              <w:rPr>
                <w:sz w:val="20"/>
                <w:szCs w:val="20"/>
                <w:color w:val="auto"/>
              </w:rPr>
            </w:pPr>
            <w:r>
              <w:rPr>
                <w:rFonts w:ascii="Arial" w:cs="Arial" w:eastAsia="Arial" w:hAnsi="Arial"/>
                <w:sz w:val="18"/>
                <w:szCs w:val="18"/>
                <w:b w:val="1"/>
                <w:bCs w:val="1"/>
                <w:color w:val="auto"/>
              </w:rPr>
              <w:t>CONFIDENTIALITY</w:t>
            </w:r>
          </w:p>
        </w:tc>
        <w:tc>
          <w:tcPr>
            <w:tcW w:w="396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405"/>
        </w:trPr>
        <w:tc>
          <w:tcPr>
            <w:tcW w:w="400" w:type="dxa"/>
            <w:vAlign w:val="bottom"/>
          </w:tcPr>
          <w:p>
            <w:pPr>
              <w:spacing w:after="0"/>
              <w:rPr>
                <w:sz w:val="20"/>
                <w:szCs w:val="20"/>
                <w:color w:val="auto"/>
              </w:rPr>
            </w:pPr>
            <w:r>
              <w:rPr>
                <w:rFonts w:ascii="Arial" w:cs="Arial" w:eastAsia="Arial" w:hAnsi="Arial"/>
                <w:sz w:val="18"/>
                <w:szCs w:val="18"/>
                <w:b w:val="1"/>
                <w:bCs w:val="1"/>
                <w:color w:val="auto"/>
              </w:rPr>
              <w:t>11</w:t>
            </w:r>
          </w:p>
        </w:tc>
        <w:tc>
          <w:tcPr>
            <w:tcW w:w="6880" w:type="dxa"/>
            <w:vAlign w:val="bottom"/>
          </w:tcPr>
          <w:p>
            <w:pPr>
              <w:ind w:left="180"/>
              <w:spacing w:after="0"/>
              <w:rPr>
                <w:sz w:val="20"/>
                <w:szCs w:val="20"/>
                <w:color w:val="auto"/>
              </w:rPr>
            </w:pPr>
            <w:r>
              <w:rPr>
                <w:rFonts w:ascii="Arial" w:cs="Arial" w:eastAsia="Arial" w:hAnsi="Arial"/>
                <w:sz w:val="18"/>
                <w:szCs w:val="18"/>
                <w:b w:val="1"/>
                <w:bCs w:val="1"/>
                <w:color w:val="auto"/>
              </w:rPr>
              <w:t>GOVERNING LAW</w:t>
            </w:r>
          </w:p>
        </w:tc>
        <w:tc>
          <w:tcPr>
            <w:tcW w:w="396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r>
        <w:trPr>
          <w:trHeight w:val="405"/>
        </w:trPr>
        <w:tc>
          <w:tcPr>
            <w:tcW w:w="400" w:type="dxa"/>
            <w:vAlign w:val="bottom"/>
          </w:tcPr>
          <w:p>
            <w:pPr>
              <w:spacing w:after="0"/>
              <w:rPr>
                <w:sz w:val="20"/>
                <w:szCs w:val="20"/>
                <w:color w:val="auto"/>
              </w:rPr>
            </w:pPr>
            <w:r>
              <w:rPr>
                <w:rFonts w:ascii="Arial" w:cs="Arial" w:eastAsia="Arial" w:hAnsi="Arial"/>
                <w:sz w:val="18"/>
                <w:szCs w:val="18"/>
                <w:b w:val="1"/>
                <w:bCs w:val="1"/>
                <w:color w:val="auto"/>
              </w:rPr>
              <w:t>12</w:t>
            </w:r>
          </w:p>
        </w:tc>
        <w:tc>
          <w:tcPr>
            <w:tcW w:w="6880" w:type="dxa"/>
            <w:vAlign w:val="bottom"/>
          </w:tcPr>
          <w:p>
            <w:pPr>
              <w:ind w:left="180"/>
              <w:spacing w:after="0"/>
              <w:rPr>
                <w:sz w:val="20"/>
                <w:szCs w:val="20"/>
                <w:color w:val="auto"/>
              </w:rPr>
            </w:pPr>
            <w:r>
              <w:rPr>
                <w:rFonts w:ascii="Arial" w:cs="Arial" w:eastAsia="Arial" w:hAnsi="Arial"/>
                <w:sz w:val="18"/>
                <w:szCs w:val="18"/>
                <w:b w:val="1"/>
                <w:bCs w:val="1"/>
                <w:color w:val="auto"/>
              </w:rPr>
              <w:t>BREACH</w:t>
            </w:r>
          </w:p>
        </w:tc>
        <w:tc>
          <w:tcPr>
            <w:tcW w:w="396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r>
        <w:trPr>
          <w:trHeight w:val="405"/>
        </w:trPr>
        <w:tc>
          <w:tcPr>
            <w:tcW w:w="400" w:type="dxa"/>
            <w:vAlign w:val="bottom"/>
          </w:tcPr>
          <w:p>
            <w:pPr>
              <w:spacing w:after="0"/>
              <w:rPr>
                <w:sz w:val="20"/>
                <w:szCs w:val="20"/>
                <w:color w:val="auto"/>
              </w:rPr>
            </w:pPr>
            <w:r>
              <w:rPr>
                <w:rFonts w:ascii="Arial" w:cs="Arial" w:eastAsia="Arial" w:hAnsi="Arial"/>
                <w:sz w:val="18"/>
                <w:szCs w:val="18"/>
                <w:b w:val="1"/>
                <w:bCs w:val="1"/>
                <w:color w:val="auto"/>
              </w:rPr>
              <w:t>13</w:t>
            </w:r>
          </w:p>
        </w:tc>
        <w:tc>
          <w:tcPr>
            <w:tcW w:w="6880" w:type="dxa"/>
            <w:vAlign w:val="bottom"/>
          </w:tcPr>
          <w:p>
            <w:pPr>
              <w:ind w:left="180"/>
              <w:spacing w:after="0"/>
              <w:rPr>
                <w:sz w:val="20"/>
                <w:szCs w:val="20"/>
                <w:color w:val="auto"/>
              </w:rPr>
            </w:pPr>
            <w:r>
              <w:rPr>
                <w:rFonts w:ascii="Arial" w:cs="Arial" w:eastAsia="Arial" w:hAnsi="Arial"/>
                <w:sz w:val="18"/>
                <w:szCs w:val="18"/>
                <w:b w:val="1"/>
                <w:bCs w:val="1"/>
                <w:color w:val="auto"/>
              </w:rPr>
              <w:t>DISPUTES</w:t>
            </w:r>
          </w:p>
        </w:tc>
        <w:tc>
          <w:tcPr>
            <w:tcW w:w="396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r>
        <w:trPr>
          <w:trHeight w:val="405"/>
        </w:trPr>
        <w:tc>
          <w:tcPr>
            <w:tcW w:w="400" w:type="dxa"/>
            <w:vAlign w:val="bottom"/>
          </w:tcPr>
          <w:p>
            <w:pPr>
              <w:spacing w:after="0"/>
              <w:rPr>
                <w:sz w:val="20"/>
                <w:szCs w:val="20"/>
                <w:color w:val="auto"/>
              </w:rPr>
            </w:pPr>
            <w:r>
              <w:rPr>
                <w:rFonts w:ascii="Arial" w:cs="Arial" w:eastAsia="Arial" w:hAnsi="Arial"/>
                <w:sz w:val="18"/>
                <w:szCs w:val="18"/>
                <w:b w:val="1"/>
                <w:bCs w:val="1"/>
                <w:color w:val="auto"/>
              </w:rPr>
              <w:t>14</w:t>
            </w:r>
          </w:p>
        </w:tc>
        <w:tc>
          <w:tcPr>
            <w:tcW w:w="6880" w:type="dxa"/>
            <w:vAlign w:val="bottom"/>
          </w:tcPr>
          <w:p>
            <w:pPr>
              <w:ind w:left="180"/>
              <w:spacing w:after="0"/>
              <w:rPr>
                <w:sz w:val="20"/>
                <w:szCs w:val="20"/>
                <w:color w:val="auto"/>
              </w:rPr>
            </w:pPr>
            <w:r>
              <w:rPr>
                <w:rFonts w:ascii="Arial" w:cs="Arial" w:eastAsia="Arial" w:hAnsi="Arial"/>
                <w:sz w:val="18"/>
                <w:szCs w:val="18"/>
                <w:b w:val="1"/>
                <w:bCs w:val="1"/>
                <w:color w:val="auto"/>
              </w:rPr>
              <w:t>CESSION AND ASSIGNMENT</w:t>
            </w:r>
          </w:p>
        </w:tc>
        <w:tc>
          <w:tcPr>
            <w:tcW w:w="396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405"/>
        </w:trPr>
        <w:tc>
          <w:tcPr>
            <w:tcW w:w="400" w:type="dxa"/>
            <w:vAlign w:val="bottom"/>
          </w:tcPr>
          <w:p>
            <w:pPr>
              <w:spacing w:after="0"/>
              <w:rPr>
                <w:sz w:val="20"/>
                <w:szCs w:val="20"/>
                <w:color w:val="auto"/>
              </w:rPr>
            </w:pPr>
            <w:r>
              <w:rPr>
                <w:rFonts w:ascii="Arial" w:cs="Arial" w:eastAsia="Arial" w:hAnsi="Arial"/>
                <w:sz w:val="18"/>
                <w:szCs w:val="18"/>
                <w:b w:val="1"/>
                <w:bCs w:val="1"/>
                <w:color w:val="auto"/>
              </w:rPr>
              <w:t>15</w:t>
            </w:r>
          </w:p>
        </w:tc>
        <w:tc>
          <w:tcPr>
            <w:tcW w:w="6880" w:type="dxa"/>
            <w:vAlign w:val="bottom"/>
          </w:tcPr>
          <w:p>
            <w:pPr>
              <w:ind w:left="180"/>
              <w:spacing w:after="0"/>
              <w:rPr>
                <w:sz w:val="20"/>
                <w:szCs w:val="20"/>
                <w:color w:val="auto"/>
              </w:rPr>
            </w:pPr>
            <w:r>
              <w:rPr>
                <w:rFonts w:ascii="Arial" w:cs="Arial" w:eastAsia="Arial" w:hAnsi="Arial"/>
                <w:sz w:val="18"/>
                <w:szCs w:val="18"/>
                <w:b w:val="1"/>
                <w:bCs w:val="1"/>
                <w:color w:val="auto"/>
              </w:rPr>
              <w:t>DOMICILIUM AND NOTICES</w:t>
            </w:r>
          </w:p>
        </w:tc>
        <w:tc>
          <w:tcPr>
            <w:tcW w:w="396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405"/>
        </w:trPr>
        <w:tc>
          <w:tcPr>
            <w:tcW w:w="400" w:type="dxa"/>
            <w:vAlign w:val="bottom"/>
          </w:tcPr>
          <w:p>
            <w:pPr>
              <w:spacing w:after="0"/>
              <w:rPr>
                <w:sz w:val="20"/>
                <w:szCs w:val="20"/>
                <w:color w:val="auto"/>
              </w:rPr>
            </w:pPr>
            <w:r>
              <w:rPr>
                <w:rFonts w:ascii="Arial" w:cs="Arial" w:eastAsia="Arial" w:hAnsi="Arial"/>
                <w:sz w:val="18"/>
                <w:szCs w:val="18"/>
                <w:b w:val="1"/>
                <w:bCs w:val="1"/>
                <w:color w:val="auto"/>
              </w:rPr>
              <w:t>16</w:t>
            </w:r>
          </w:p>
        </w:tc>
        <w:tc>
          <w:tcPr>
            <w:tcW w:w="6880" w:type="dxa"/>
            <w:vAlign w:val="bottom"/>
          </w:tcPr>
          <w:p>
            <w:pPr>
              <w:ind w:left="180"/>
              <w:spacing w:after="0"/>
              <w:rPr>
                <w:sz w:val="20"/>
                <w:szCs w:val="20"/>
                <w:color w:val="auto"/>
              </w:rPr>
            </w:pPr>
            <w:r>
              <w:rPr>
                <w:rFonts w:ascii="Arial" w:cs="Arial" w:eastAsia="Arial" w:hAnsi="Arial"/>
                <w:sz w:val="18"/>
                <w:szCs w:val="18"/>
                <w:b w:val="1"/>
                <w:bCs w:val="1"/>
                <w:color w:val="auto"/>
              </w:rPr>
              <w:t>GENERAL</w:t>
            </w:r>
          </w:p>
        </w:tc>
        <w:tc>
          <w:tcPr>
            <w:tcW w:w="396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405"/>
        </w:trPr>
        <w:tc>
          <w:tcPr>
            <w:tcW w:w="400" w:type="dxa"/>
            <w:vAlign w:val="bottom"/>
          </w:tcPr>
          <w:p>
            <w:pPr>
              <w:spacing w:after="0"/>
              <w:rPr>
                <w:sz w:val="20"/>
                <w:szCs w:val="20"/>
                <w:color w:val="auto"/>
              </w:rPr>
            </w:pPr>
            <w:r>
              <w:rPr>
                <w:rFonts w:ascii="Arial" w:cs="Arial" w:eastAsia="Arial" w:hAnsi="Arial"/>
                <w:sz w:val="18"/>
                <w:szCs w:val="18"/>
                <w:b w:val="1"/>
                <w:bCs w:val="1"/>
                <w:color w:val="auto"/>
              </w:rPr>
              <w:t>17</w:t>
            </w:r>
          </w:p>
        </w:tc>
        <w:tc>
          <w:tcPr>
            <w:tcW w:w="6880" w:type="dxa"/>
            <w:vAlign w:val="bottom"/>
          </w:tcPr>
          <w:p>
            <w:pPr>
              <w:ind w:left="180"/>
              <w:spacing w:after="0"/>
              <w:rPr>
                <w:sz w:val="20"/>
                <w:szCs w:val="20"/>
                <w:color w:val="auto"/>
              </w:rPr>
            </w:pPr>
            <w:r>
              <w:rPr>
                <w:rFonts w:ascii="Arial" w:cs="Arial" w:eastAsia="Arial" w:hAnsi="Arial"/>
                <w:sz w:val="18"/>
                <w:szCs w:val="18"/>
                <w:b w:val="1"/>
                <w:bCs w:val="1"/>
                <w:color w:val="auto"/>
              </w:rPr>
              <w:t>GOVERNING LAW</w:t>
            </w:r>
          </w:p>
        </w:tc>
        <w:tc>
          <w:tcPr>
            <w:tcW w:w="396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405"/>
        </w:trPr>
        <w:tc>
          <w:tcPr>
            <w:tcW w:w="400" w:type="dxa"/>
            <w:vAlign w:val="bottom"/>
          </w:tcPr>
          <w:p>
            <w:pPr>
              <w:spacing w:after="0"/>
              <w:rPr>
                <w:sz w:val="20"/>
                <w:szCs w:val="20"/>
                <w:color w:val="auto"/>
              </w:rPr>
            </w:pPr>
            <w:r>
              <w:rPr>
                <w:rFonts w:ascii="Arial" w:cs="Arial" w:eastAsia="Arial" w:hAnsi="Arial"/>
                <w:sz w:val="18"/>
                <w:szCs w:val="18"/>
                <w:b w:val="1"/>
                <w:bCs w:val="1"/>
                <w:color w:val="auto"/>
              </w:rPr>
              <w:t>18</w:t>
            </w:r>
          </w:p>
        </w:tc>
        <w:tc>
          <w:tcPr>
            <w:tcW w:w="6880" w:type="dxa"/>
            <w:vAlign w:val="bottom"/>
          </w:tcPr>
          <w:p>
            <w:pPr>
              <w:ind w:left="180"/>
              <w:spacing w:after="0"/>
              <w:rPr>
                <w:sz w:val="20"/>
                <w:szCs w:val="20"/>
                <w:color w:val="auto"/>
              </w:rPr>
            </w:pPr>
            <w:r>
              <w:rPr>
                <w:rFonts w:ascii="Arial" w:cs="Arial" w:eastAsia="Arial" w:hAnsi="Arial"/>
                <w:sz w:val="18"/>
                <w:szCs w:val="18"/>
                <w:b w:val="1"/>
                <w:bCs w:val="1"/>
                <w:color w:val="auto"/>
              </w:rPr>
              <w:t>COSTS</w:t>
            </w:r>
          </w:p>
        </w:tc>
        <w:tc>
          <w:tcPr>
            <w:tcW w:w="396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540"/>
        </w:trPr>
        <w:tc>
          <w:tcPr>
            <w:tcW w:w="40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26"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6894830</wp:posOffset>
            </wp:positionH>
            <wp:positionV relativeFrom="page">
              <wp:posOffset>157480</wp:posOffset>
            </wp:positionV>
            <wp:extent cx="411480" cy="2660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411480" cy="266065"/>
                    </a:xfrm>
                    <a:prstGeom prst="rect">
                      <a:avLst/>
                    </a:prstGeom>
                    <a:noFill/>
                  </pic:spPr>
                </pic:pic>
              </a:graphicData>
            </a:graphic>
          </wp:anchor>
        </w:drawing>
        <w:t>SALE OF SHARES AGREEMENT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between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GEORGEM HOLDINGS PROPRIETARY LIMITED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ONE SPIRE PROPRIETARY LIMITED</w:t>
      </w:r>
    </w:p>
    <w:p>
      <w:pPr>
        <w:spacing w:after="0" w:line="176"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10700" w:type="dxa"/>
            <w:vAlign w:val="bottom"/>
          </w:tcPr>
          <w:p>
            <w:pPr>
              <w:ind w:left="120"/>
              <w:spacing w:after="0"/>
              <w:rPr>
                <w:sz w:val="20"/>
                <w:szCs w:val="20"/>
                <w:color w:val="auto"/>
              </w:rPr>
            </w:pPr>
            <w:r>
              <w:rPr>
                <w:rFonts w:ascii="Arial" w:cs="Arial" w:eastAsia="Arial" w:hAnsi="Arial"/>
                <w:sz w:val="18"/>
                <w:szCs w:val="18"/>
                <w:color w:val="auto"/>
              </w:rPr>
              <w:t>In this Agreement clause headings are for convenience and shall not be used in its interpretation and unless the context clearly</w:t>
            </w:r>
          </w:p>
        </w:tc>
      </w:tr>
      <w:tr>
        <w:trPr>
          <w:trHeight w:val="217"/>
        </w:trPr>
        <w:tc>
          <w:tcPr>
            <w:tcW w:w="540" w:type="dxa"/>
            <w:vAlign w:val="bottom"/>
          </w:tcPr>
          <w:p>
            <w:pPr>
              <w:spacing w:after="0"/>
              <w:rPr>
                <w:sz w:val="18"/>
                <w:szCs w:val="18"/>
                <w:color w:val="auto"/>
              </w:rPr>
            </w:pPr>
          </w:p>
        </w:tc>
        <w:tc>
          <w:tcPr>
            <w:tcW w:w="10700" w:type="dxa"/>
            <w:vAlign w:val="bottom"/>
          </w:tcPr>
          <w:p>
            <w:pPr>
              <w:ind w:left="120"/>
              <w:spacing w:after="0"/>
              <w:rPr>
                <w:sz w:val="20"/>
                <w:szCs w:val="20"/>
                <w:color w:val="auto"/>
              </w:rPr>
            </w:pPr>
            <w:r>
              <w:rPr>
                <w:rFonts w:ascii="Arial" w:cs="Arial" w:eastAsia="Arial" w:hAnsi="Arial"/>
                <w:sz w:val="18"/>
                <w:szCs w:val="18"/>
                <w:color w:val="auto"/>
              </w:rPr>
              <w:t>indicates a contrary intention -</w:t>
            </w:r>
          </w:p>
        </w:tc>
      </w:tr>
      <w:tr>
        <w:trPr>
          <w:trHeight w:val="405"/>
        </w:trPr>
        <w:tc>
          <w:tcPr>
            <w:tcW w:w="540" w:type="dxa"/>
            <w:vAlign w:val="bottom"/>
          </w:tcPr>
          <w:p>
            <w:pPr>
              <w:spacing w:after="0"/>
              <w:rPr>
                <w:sz w:val="20"/>
                <w:szCs w:val="20"/>
                <w:color w:val="auto"/>
              </w:rPr>
            </w:pPr>
            <w:r>
              <w:rPr>
                <w:rFonts w:ascii="Arial" w:cs="Arial" w:eastAsia="Arial" w:hAnsi="Arial"/>
                <w:sz w:val="18"/>
                <w:szCs w:val="18"/>
                <w:color w:val="auto"/>
              </w:rPr>
              <w:t>1.1</w:t>
            </w:r>
          </w:p>
        </w:tc>
        <w:tc>
          <w:tcPr>
            <w:tcW w:w="10700" w:type="dxa"/>
            <w:vAlign w:val="bottom"/>
          </w:tcPr>
          <w:p>
            <w:pPr>
              <w:ind w:left="440"/>
              <w:spacing w:after="0"/>
              <w:rPr>
                <w:sz w:val="20"/>
                <w:szCs w:val="20"/>
                <w:color w:val="auto"/>
              </w:rPr>
            </w:pPr>
            <w:r>
              <w:rPr>
                <w:rFonts w:ascii="Arial" w:cs="Arial" w:eastAsia="Arial" w:hAnsi="Arial"/>
                <w:sz w:val="18"/>
                <w:szCs w:val="18"/>
                <w:color w:val="auto"/>
              </w:rPr>
              <w:t>an expression which denotes -</w:t>
            </w:r>
          </w:p>
        </w:tc>
      </w:tr>
      <w:tr>
        <w:trPr>
          <w:trHeight w:val="405"/>
        </w:trPr>
        <w:tc>
          <w:tcPr>
            <w:tcW w:w="540" w:type="dxa"/>
            <w:vAlign w:val="bottom"/>
          </w:tcPr>
          <w:p>
            <w:pPr>
              <w:spacing w:after="0"/>
              <w:rPr>
                <w:sz w:val="20"/>
                <w:szCs w:val="20"/>
                <w:color w:val="auto"/>
              </w:rPr>
            </w:pPr>
            <w:r>
              <w:rPr>
                <w:rFonts w:ascii="Arial" w:cs="Arial" w:eastAsia="Arial" w:hAnsi="Arial"/>
                <w:sz w:val="18"/>
                <w:szCs w:val="18"/>
                <w:color w:val="auto"/>
              </w:rPr>
              <w:t>1.1.1</w:t>
            </w:r>
          </w:p>
        </w:tc>
        <w:tc>
          <w:tcPr>
            <w:tcW w:w="10700" w:type="dxa"/>
            <w:vAlign w:val="bottom"/>
          </w:tcPr>
          <w:p>
            <w:pPr>
              <w:ind w:left="760"/>
              <w:spacing w:after="0"/>
              <w:rPr>
                <w:sz w:val="20"/>
                <w:szCs w:val="20"/>
                <w:color w:val="auto"/>
              </w:rPr>
            </w:pPr>
            <w:r>
              <w:rPr>
                <w:rFonts w:ascii="Arial" w:cs="Arial" w:eastAsia="Arial" w:hAnsi="Arial"/>
                <w:sz w:val="18"/>
                <w:szCs w:val="18"/>
                <w:color w:val="auto"/>
              </w:rPr>
              <w:t>any gender includes the other gender;</w:t>
            </w:r>
          </w:p>
        </w:tc>
      </w:tr>
      <w:tr>
        <w:trPr>
          <w:trHeight w:val="405"/>
        </w:trPr>
        <w:tc>
          <w:tcPr>
            <w:tcW w:w="540" w:type="dxa"/>
            <w:vAlign w:val="bottom"/>
          </w:tcPr>
          <w:p>
            <w:pPr>
              <w:spacing w:after="0"/>
              <w:rPr>
                <w:sz w:val="20"/>
                <w:szCs w:val="20"/>
                <w:color w:val="auto"/>
              </w:rPr>
            </w:pPr>
            <w:r>
              <w:rPr>
                <w:rFonts w:ascii="Arial" w:cs="Arial" w:eastAsia="Arial" w:hAnsi="Arial"/>
                <w:sz w:val="18"/>
                <w:szCs w:val="18"/>
                <w:color w:val="auto"/>
              </w:rPr>
              <w:t>1.1.2</w:t>
            </w:r>
          </w:p>
        </w:tc>
        <w:tc>
          <w:tcPr>
            <w:tcW w:w="10700" w:type="dxa"/>
            <w:vAlign w:val="bottom"/>
          </w:tcPr>
          <w:p>
            <w:pPr>
              <w:ind w:left="760"/>
              <w:spacing w:after="0"/>
              <w:rPr>
                <w:sz w:val="20"/>
                <w:szCs w:val="20"/>
                <w:color w:val="auto"/>
              </w:rPr>
            </w:pPr>
            <w:r>
              <w:rPr>
                <w:rFonts w:ascii="Arial" w:cs="Arial" w:eastAsia="Arial" w:hAnsi="Arial"/>
                <w:sz w:val="18"/>
                <w:szCs w:val="18"/>
                <w:color w:val="auto"/>
              </w:rPr>
              <w:t>a natural person includes a juristic person and vice versa;</w:t>
            </w:r>
          </w:p>
        </w:tc>
      </w:tr>
      <w:tr>
        <w:trPr>
          <w:trHeight w:val="405"/>
        </w:trPr>
        <w:tc>
          <w:tcPr>
            <w:tcW w:w="540" w:type="dxa"/>
            <w:vAlign w:val="bottom"/>
          </w:tcPr>
          <w:p>
            <w:pPr>
              <w:spacing w:after="0"/>
              <w:rPr>
                <w:sz w:val="20"/>
                <w:szCs w:val="20"/>
                <w:color w:val="auto"/>
              </w:rPr>
            </w:pPr>
            <w:r>
              <w:rPr>
                <w:rFonts w:ascii="Arial" w:cs="Arial" w:eastAsia="Arial" w:hAnsi="Arial"/>
                <w:sz w:val="18"/>
                <w:szCs w:val="18"/>
                <w:color w:val="auto"/>
              </w:rPr>
              <w:t>1.1.3</w:t>
            </w:r>
          </w:p>
        </w:tc>
        <w:tc>
          <w:tcPr>
            <w:tcW w:w="10700" w:type="dxa"/>
            <w:vAlign w:val="bottom"/>
          </w:tcPr>
          <w:p>
            <w:pPr>
              <w:ind w:left="760"/>
              <w:spacing w:after="0"/>
              <w:rPr>
                <w:sz w:val="20"/>
                <w:szCs w:val="20"/>
                <w:color w:val="auto"/>
              </w:rPr>
            </w:pPr>
            <w:r>
              <w:rPr>
                <w:rFonts w:ascii="Arial" w:cs="Arial" w:eastAsia="Arial" w:hAnsi="Arial"/>
                <w:sz w:val="18"/>
                <w:szCs w:val="18"/>
                <w:color w:val="auto"/>
              </w:rPr>
              <w:t>the singular includes the plural and vice versa;</w:t>
            </w:r>
          </w:p>
        </w:tc>
      </w:tr>
      <w:tr>
        <w:trPr>
          <w:trHeight w:val="405"/>
        </w:trPr>
        <w:tc>
          <w:tcPr>
            <w:tcW w:w="540" w:type="dxa"/>
            <w:vAlign w:val="bottom"/>
          </w:tcPr>
          <w:p>
            <w:pPr>
              <w:spacing w:after="0"/>
              <w:rPr>
                <w:sz w:val="20"/>
                <w:szCs w:val="20"/>
                <w:color w:val="auto"/>
              </w:rPr>
            </w:pPr>
            <w:r>
              <w:rPr>
                <w:rFonts w:ascii="Arial" w:cs="Arial" w:eastAsia="Arial" w:hAnsi="Arial"/>
                <w:sz w:val="18"/>
                <w:szCs w:val="18"/>
                <w:color w:val="auto"/>
              </w:rPr>
              <w:t>1.2</w:t>
            </w:r>
          </w:p>
        </w:tc>
        <w:tc>
          <w:tcPr>
            <w:tcW w:w="10700" w:type="dxa"/>
            <w:vAlign w:val="bottom"/>
          </w:tcPr>
          <w:p>
            <w:pPr>
              <w:ind w:left="440"/>
              <w:spacing w:after="0"/>
              <w:rPr>
                <w:sz w:val="20"/>
                <w:szCs w:val="20"/>
                <w:color w:val="auto"/>
              </w:rPr>
            </w:pPr>
            <w:r>
              <w:rPr>
                <w:rFonts w:ascii="Arial" w:cs="Arial" w:eastAsia="Arial" w:hAnsi="Arial"/>
                <w:sz w:val="18"/>
                <w:szCs w:val="18"/>
                <w:color w:val="auto"/>
              </w:rPr>
              <w:t>the following expressions shall bear the following meanings and related expressions bear corresponding meanings -</w:t>
            </w:r>
          </w:p>
        </w:tc>
      </w:tr>
      <w:tr>
        <w:trPr>
          <w:trHeight w:val="405"/>
        </w:trPr>
        <w:tc>
          <w:tcPr>
            <w:tcW w:w="540" w:type="dxa"/>
            <w:vAlign w:val="bottom"/>
          </w:tcPr>
          <w:p>
            <w:pPr>
              <w:spacing w:after="0"/>
              <w:rPr>
                <w:sz w:val="20"/>
                <w:szCs w:val="20"/>
                <w:color w:val="auto"/>
              </w:rPr>
            </w:pPr>
            <w:r>
              <w:rPr>
                <w:rFonts w:ascii="Arial" w:cs="Arial" w:eastAsia="Arial" w:hAnsi="Arial"/>
                <w:sz w:val="18"/>
                <w:szCs w:val="18"/>
                <w:color w:val="auto"/>
              </w:rPr>
              <w:t>1.2.1</w:t>
            </w:r>
          </w:p>
        </w:tc>
        <w:tc>
          <w:tcPr>
            <w:tcW w:w="10700" w:type="dxa"/>
            <w:vAlign w:val="bottom"/>
          </w:tcPr>
          <w:p>
            <w:pPr>
              <w:ind w:left="760"/>
              <w:spacing w:after="0"/>
              <w:rPr>
                <w:sz w:val="20"/>
                <w:szCs w:val="20"/>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 this document, as may be amended from time to time;</w:t>
            </w:r>
          </w:p>
        </w:tc>
      </w:tr>
      <w:tr>
        <w:trPr>
          <w:trHeight w:val="405"/>
        </w:trPr>
        <w:tc>
          <w:tcPr>
            <w:tcW w:w="540" w:type="dxa"/>
            <w:vAlign w:val="bottom"/>
          </w:tcPr>
          <w:p>
            <w:pPr>
              <w:spacing w:after="0"/>
              <w:rPr>
                <w:sz w:val="20"/>
                <w:szCs w:val="20"/>
                <w:color w:val="auto"/>
              </w:rPr>
            </w:pPr>
            <w:r>
              <w:rPr>
                <w:rFonts w:ascii="Arial" w:cs="Arial" w:eastAsia="Arial" w:hAnsi="Arial"/>
                <w:sz w:val="18"/>
                <w:szCs w:val="18"/>
                <w:color w:val="auto"/>
              </w:rPr>
              <w:t>1.2.2</w:t>
            </w:r>
          </w:p>
        </w:tc>
        <w:tc>
          <w:tcPr>
            <w:tcW w:w="10700" w:type="dxa"/>
            <w:vAlign w:val="bottom"/>
          </w:tcPr>
          <w:p>
            <w:pPr>
              <w:ind w:left="760"/>
              <w:spacing w:after="0"/>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 any day which is not a Saturday, Sunday or official public holiday in South Africa;</w:t>
            </w:r>
          </w:p>
        </w:tc>
      </w:tr>
      <w:tr>
        <w:trPr>
          <w:trHeight w:val="405"/>
        </w:trPr>
        <w:tc>
          <w:tcPr>
            <w:tcW w:w="540" w:type="dxa"/>
            <w:vAlign w:val="bottom"/>
          </w:tcPr>
          <w:p>
            <w:pPr>
              <w:spacing w:after="0"/>
              <w:rPr>
                <w:sz w:val="20"/>
                <w:szCs w:val="20"/>
                <w:color w:val="auto"/>
              </w:rPr>
            </w:pPr>
            <w:r>
              <w:rPr>
                <w:rFonts w:ascii="Arial" w:cs="Arial" w:eastAsia="Arial" w:hAnsi="Arial"/>
                <w:sz w:val="18"/>
                <w:szCs w:val="18"/>
                <w:color w:val="auto"/>
              </w:rPr>
              <w:t>1.2.3</w:t>
            </w:r>
          </w:p>
        </w:tc>
        <w:tc>
          <w:tcPr>
            <w:tcW w:w="10700" w:type="dxa"/>
            <w:vAlign w:val="bottom"/>
          </w:tcPr>
          <w:p>
            <w:pPr>
              <w:ind w:left="760"/>
              <w:spacing w:after="0"/>
              <w:rPr>
                <w:sz w:val="20"/>
                <w:szCs w:val="20"/>
                <w:color w:val="auto"/>
              </w:rPr>
            </w:pPr>
            <w:r>
              <w:rPr>
                <w:rFonts w:ascii="Arial" w:cs="Arial" w:eastAsia="Arial" w:hAnsi="Arial"/>
                <w:sz w:val="18"/>
                <w:szCs w:val="18"/>
                <w:b w:val="1"/>
                <w:bCs w:val="1"/>
                <w:color w:val="auto"/>
              </w:rPr>
              <w:t xml:space="preserve">“Companies Act” </w:t>
            </w:r>
            <w:r>
              <w:rPr>
                <w:rFonts w:ascii="Arial" w:cs="Arial" w:eastAsia="Arial" w:hAnsi="Arial"/>
                <w:sz w:val="18"/>
                <w:szCs w:val="18"/>
                <w:color w:val="auto"/>
              </w:rPr>
              <w:t>– the Companies Act 71 of 2008 and the Companies Regulations promulgated thereunder;</w:t>
            </w:r>
          </w:p>
        </w:tc>
      </w:tr>
      <w:tr>
        <w:trPr>
          <w:trHeight w:val="500"/>
        </w:trPr>
        <w:tc>
          <w:tcPr>
            <w:tcW w:w="540" w:type="dxa"/>
            <w:vAlign w:val="bottom"/>
            <w:tcBorders>
              <w:bottom w:val="single" w:sz="8" w:color="auto"/>
            </w:tcBorders>
          </w:tcPr>
          <w:p>
            <w:pPr>
              <w:spacing w:after="0"/>
              <w:rPr>
                <w:sz w:val="24"/>
                <w:szCs w:val="24"/>
                <w:color w:val="auto"/>
              </w:rPr>
            </w:pPr>
          </w:p>
        </w:tc>
        <w:tc>
          <w:tcPr>
            <w:tcW w:w="10700" w:type="dxa"/>
            <w:vAlign w:val="bottom"/>
            <w:tcBorders>
              <w:bottom w:val="single" w:sz="8" w:color="auto"/>
            </w:tcBorders>
          </w:tcPr>
          <w:p>
            <w:pPr>
              <w:ind w:left="1056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240"/>
          </w:cols>
          <w:pgMar w:left="320" w:top="814" w:right="339" w:bottom="1440" w:gutter="0" w:footer="0" w:header="0"/>
        </w:sectPr>
      </w:pPr>
    </w:p>
    <w:bookmarkStart w:id="26" w:name="page27"/>
    <w:bookmarkEnd w:id="2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6894830</wp:posOffset>
            </wp:positionH>
            <wp:positionV relativeFrom="page">
              <wp:posOffset>157480</wp:posOffset>
            </wp:positionV>
            <wp:extent cx="411480" cy="2660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411480" cy="2660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4"/>
        </w:trPr>
        <w:tc>
          <w:tcPr>
            <w:tcW w:w="900" w:type="dxa"/>
            <w:vAlign w:val="bottom"/>
          </w:tcPr>
          <w:p>
            <w:pPr>
              <w:spacing w:after="0"/>
              <w:rPr>
                <w:sz w:val="20"/>
                <w:szCs w:val="20"/>
                <w:color w:val="auto"/>
              </w:rPr>
            </w:pPr>
            <w:r>
              <w:rPr>
                <w:rFonts w:ascii="Arial" w:cs="Arial" w:eastAsia="Arial" w:hAnsi="Arial"/>
                <w:sz w:val="18"/>
                <w:szCs w:val="18"/>
                <w:color w:val="auto"/>
              </w:rPr>
              <w:t>1.2.4</w:t>
            </w:r>
          </w:p>
        </w:tc>
        <w:tc>
          <w:tcPr>
            <w:tcW w:w="10340" w:type="dxa"/>
            <w:vAlign w:val="bottom"/>
          </w:tcPr>
          <w:p>
            <w:pPr>
              <w:ind w:left="40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 Karooooo Limited, a public company incorporated and registered in the Republic of Singapore (Unique Entity</w:t>
            </w:r>
          </w:p>
        </w:tc>
      </w:tr>
      <w:tr>
        <w:trPr>
          <w:trHeight w:val="217"/>
        </w:trPr>
        <w:tc>
          <w:tcPr>
            <w:tcW w:w="900" w:type="dxa"/>
            <w:vAlign w:val="bottom"/>
          </w:tcPr>
          <w:p>
            <w:pPr>
              <w:spacing w:after="0"/>
              <w:rPr>
                <w:sz w:val="18"/>
                <w:szCs w:val="18"/>
                <w:color w:val="auto"/>
              </w:rPr>
            </w:pPr>
          </w:p>
        </w:tc>
        <w:tc>
          <w:tcPr>
            <w:tcW w:w="10340" w:type="dxa"/>
            <w:vAlign w:val="bottom"/>
          </w:tcPr>
          <w:p>
            <w:pPr>
              <w:ind w:left="400"/>
              <w:spacing w:after="0"/>
              <w:rPr>
                <w:sz w:val="20"/>
                <w:szCs w:val="20"/>
                <w:color w:val="auto"/>
              </w:rPr>
            </w:pPr>
            <w:r>
              <w:rPr>
                <w:rFonts w:ascii="Arial" w:cs="Arial" w:eastAsia="Arial" w:hAnsi="Arial"/>
                <w:sz w:val="18"/>
                <w:szCs w:val="18"/>
                <w:color w:val="auto"/>
              </w:rPr>
              <w:t>Number: 2018171572) with a primary listing on the NGSM and a secondary inward listing on the JSE;</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1.2.5</w:t>
            </w:r>
          </w:p>
        </w:tc>
        <w:tc>
          <w:tcPr>
            <w:tcW w:w="10340" w:type="dxa"/>
            <w:vAlign w:val="bottom"/>
          </w:tcPr>
          <w:p>
            <w:pPr>
              <w:ind w:left="400"/>
              <w:spacing w:after="0"/>
              <w:rPr>
                <w:sz w:val="20"/>
                <w:szCs w:val="20"/>
                <w:color w:val="auto"/>
              </w:rPr>
            </w:pPr>
            <w:r>
              <w:rPr>
                <w:rFonts w:ascii="Arial" w:cs="Arial" w:eastAsia="Arial" w:hAnsi="Arial"/>
                <w:sz w:val="18"/>
                <w:szCs w:val="18"/>
                <w:b w:val="1"/>
                <w:bCs w:val="1"/>
                <w:color w:val="auto"/>
              </w:rPr>
              <w:t xml:space="preserve">“CSDP” </w:t>
            </w:r>
            <w:r>
              <w:rPr>
                <w:rFonts w:ascii="Arial" w:cs="Arial" w:eastAsia="Arial" w:hAnsi="Arial"/>
                <w:sz w:val="18"/>
                <w:szCs w:val="18"/>
                <w:color w:val="auto"/>
              </w:rPr>
              <w:t>– a Central Securities Depositary Participant, accepted as a participant in terms of the Financial Markets Act, 2012;</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1.2.6</w:t>
            </w:r>
          </w:p>
        </w:tc>
        <w:tc>
          <w:tcPr>
            <w:tcW w:w="10340" w:type="dxa"/>
            <w:vAlign w:val="bottom"/>
          </w:tcPr>
          <w:p>
            <w:pPr>
              <w:ind w:left="400"/>
              <w:spacing w:after="0"/>
              <w:rPr>
                <w:sz w:val="20"/>
                <w:szCs w:val="20"/>
                <w:color w:val="auto"/>
              </w:rPr>
            </w:pPr>
            <w:r>
              <w:rPr>
                <w:rFonts w:ascii="Arial" w:cs="Arial" w:eastAsia="Arial" w:hAnsi="Arial"/>
                <w:sz w:val="18"/>
                <w:szCs w:val="18"/>
                <w:b w:val="1"/>
                <w:bCs w:val="1"/>
                <w:color w:val="auto"/>
              </w:rPr>
              <w:t xml:space="preserve">“JSE” </w:t>
            </w:r>
            <w:r>
              <w:rPr>
                <w:rFonts w:ascii="Arial" w:cs="Arial" w:eastAsia="Arial" w:hAnsi="Arial"/>
                <w:sz w:val="18"/>
                <w:szCs w:val="18"/>
                <w:color w:val="auto"/>
              </w:rPr>
              <w:t>– the main board of the Johannesburg Stock Exchange operated by the JSE Limited;</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1.2.7</w:t>
            </w:r>
          </w:p>
        </w:tc>
        <w:tc>
          <w:tcPr>
            <w:tcW w:w="10340" w:type="dxa"/>
            <w:vAlign w:val="bottom"/>
          </w:tcPr>
          <w:p>
            <w:pPr>
              <w:ind w:left="400"/>
              <w:spacing w:after="0"/>
              <w:rPr>
                <w:sz w:val="20"/>
                <w:szCs w:val="20"/>
                <w:color w:val="auto"/>
              </w:rPr>
            </w:pPr>
            <w:r>
              <w:rPr>
                <w:rFonts w:ascii="Arial" w:cs="Arial" w:eastAsia="Arial" w:hAnsi="Arial"/>
                <w:sz w:val="18"/>
                <w:szCs w:val="18"/>
                <w:b w:val="1"/>
                <w:bCs w:val="1"/>
                <w:color w:val="auto"/>
              </w:rPr>
              <w:t xml:space="preserve">“NGSM” </w:t>
            </w:r>
            <w:r>
              <w:rPr>
                <w:rFonts w:ascii="Arial" w:cs="Arial" w:eastAsia="Arial" w:hAnsi="Arial"/>
                <w:sz w:val="18"/>
                <w:szCs w:val="18"/>
                <w:color w:val="auto"/>
              </w:rPr>
              <w:t>– Nasdaq Global Select Market;</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1.2.8</w:t>
            </w:r>
          </w:p>
        </w:tc>
        <w:tc>
          <w:tcPr>
            <w:tcW w:w="10340" w:type="dxa"/>
            <w:vAlign w:val="bottom"/>
          </w:tcPr>
          <w:p>
            <w:pPr>
              <w:ind w:left="400"/>
              <w:spacing w:after="0"/>
              <w:rPr>
                <w:sz w:val="20"/>
                <w:szCs w:val="20"/>
                <w:color w:val="auto"/>
              </w:rPr>
            </w:pPr>
            <w:r>
              <w:rPr>
                <w:rFonts w:ascii="Arial" w:cs="Arial" w:eastAsia="Arial" w:hAnsi="Arial"/>
                <w:sz w:val="18"/>
                <w:szCs w:val="18"/>
                <w:b w:val="1"/>
                <w:bCs w:val="1"/>
                <w:color w:val="auto"/>
              </w:rPr>
              <w:t xml:space="preserve">“Parties” </w:t>
            </w:r>
            <w:r>
              <w:rPr>
                <w:rFonts w:ascii="Arial" w:cs="Arial" w:eastAsia="Arial" w:hAnsi="Arial"/>
                <w:sz w:val="18"/>
                <w:szCs w:val="18"/>
                <w:color w:val="auto"/>
              </w:rPr>
              <w:t>– collectively, the signatories to this Agreement; and any reference to</w:t>
            </w:r>
            <w:r>
              <w:rPr>
                <w:rFonts w:ascii="Arial" w:cs="Arial" w:eastAsia="Arial" w:hAnsi="Arial"/>
                <w:sz w:val="18"/>
                <w:szCs w:val="18"/>
                <w:b w:val="1"/>
                <w:bCs w:val="1"/>
                <w:color w:val="auto"/>
              </w:rPr>
              <w:t xml:space="preserve"> “Party” </w:t>
            </w:r>
            <w:r>
              <w:rPr>
                <w:rFonts w:ascii="Arial" w:cs="Arial" w:eastAsia="Arial" w:hAnsi="Arial"/>
                <w:sz w:val="18"/>
                <w:szCs w:val="18"/>
                <w:color w:val="auto"/>
              </w:rPr>
              <w:t>shall be a reference to any one of</w:t>
            </w:r>
          </w:p>
        </w:tc>
      </w:tr>
      <w:tr>
        <w:trPr>
          <w:trHeight w:val="217"/>
        </w:trPr>
        <w:tc>
          <w:tcPr>
            <w:tcW w:w="900" w:type="dxa"/>
            <w:vAlign w:val="bottom"/>
          </w:tcPr>
          <w:p>
            <w:pPr>
              <w:spacing w:after="0"/>
              <w:rPr>
                <w:sz w:val="18"/>
                <w:szCs w:val="18"/>
                <w:color w:val="auto"/>
              </w:rPr>
            </w:pPr>
          </w:p>
        </w:tc>
        <w:tc>
          <w:tcPr>
            <w:tcW w:w="10340" w:type="dxa"/>
            <w:vAlign w:val="bottom"/>
          </w:tcPr>
          <w:p>
            <w:pPr>
              <w:ind w:left="400"/>
              <w:spacing w:after="0"/>
              <w:rPr>
                <w:sz w:val="20"/>
                <w:szCs w:val="20"/>
                <w:color w:val="auto"/>
              </w:rPr>
            </w:pPr>
            <w:r>
              <w:rPr>
                <w:rFonts w:ascii="Arial" w:cs="Arial" w:eastAsia="Arial" w:hAnsi="Arial"/>
                <w:sz w:val="18"/>
                <w:szCs w:val="18"/>
                <w:color w:val="auto"/>
              </w:rPr>
              <w:t>them, as the context may indicate;</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1.2.9</w:t>
            </w:r>
          </w:p>
        </w:tc>
        <w:tc>
          <w:tcPr>
            <w:tcW w:w="10340" w:type="dxa"/>
            <w:vAlign w:val="bottom"/>
          </w:tcPr>
          <w:p>
            <w:pPr>
              <w:ind w:left="400"/>
              <w:spacing w:after="0"/>
              <w:rPr>
                <w:sz w:val="20"/>
                <w:szCs w:val="20"/>
                <w:color w:val="auto"/>
              </w:rPr>
            </w:pPr>
            <w:r>
              <w:rPr>
                <w:rFonts w:ascii="Arial" w:cs="Arial" w:eastAsia="Arial" w:hAnsi="Arial"/>
                <w:sz w:val="18"/>
                <w:szCs w:val="18"/>
                <w:b w:val="1"/>
                <w:bCs w:val="1"/>
                <w:color w:val="auto"/>
              </w:rPr>
              <w:t xml:space="preserve">“Purchaser” </w:t>
            </w:r>
            <w:r>
              <w:rPr>
                <w:rFonts w:ascii="Arial" w:cs="Arial" w:eastAsia="Arial" w:hAnsi="Arial"/>
                <w:sz w:val="18"/>
                <w:szCs w:val="18"/>
                <w:color w:val="auto"/>
              </w:rPr>
              <w:t>– One Spire Proprietary Limited (registration number: 2021/704023/07), a limited liability private company duly</w:t>
            </w:r>
          </w:p>
        </w:tc>
      </w:tr>
      <w:tr>
        <w:trPr>
          <w:trHeight w:val="217"/>
        </w:trPr>
        <w:tc>
          <w:tcPr>
            <w:tcW w:w="900" w:type="dxa"/>
            <w:vAlign w:val="bottom"/>
          </w:tcPr>
          <w:p>
            <w:pPr>
              <w:spacing w:after="0"/>
              <w:rPr>
                <w:sz w:val="18"/>
                <w:szCs w:val="18"/>
                <w:color w:val="auto"/>
              </w:rPr>
            </w:pPr>
          </w:p>
        </w:tc>
        <w:tc>
          <w:tcPr>
            <w:tcW w:w="10340" w:type="dxa"/>
            <w:vAlign w:val="bottom"/>
          </w:tcPr>
          <w:p>
            <w:pPr>
              <w:ind w:left="400"/>
              <w:spacing w:after="0"/>
              <w:rPr>
                <w:sz w:val="20"/>
                <w:szCs w:val="20"/>
                <w:color w:val="auto"/>
              </w:rPr>
            </w:pPr>
            <w:r>
              <w:rPr>
                <w:rFonts w:ascii="Arial" w:cs="Arial" w:eastAsia="Arial" w:hAnsi="Arial"/>
                <w:sz w:val="18"/>
                <w:szCs w:val="18"/>
                <w:color w:val="auto"/>
              </w:rPr>
              <w:t>registered and incorporated in accordance with the laws of South Africa;</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1.2.10</w:t>
            </w:r>
          </w:p>
        </w:tc>
        <w:tc>
          <w:tcPr>
            <w:tcW w:w="10340" w:type="dxa"/>
            <w:vAlign w:val="bottom"/>
          </w:tcPr>
          <w:p>
            <w:pPr>
              <w:ind w:left="400"/>
              <w:spacing w:after="0"/>
              <w:rPr>
                <w:sz w:val="20"/>
                <w:szCs w:val="20"/>
                <w:color w:val="auto"/>
              </w:rPr>
            </w:pPr>
            <w:r>
              <w:rPr>
                <w:rFonts w:ascii="Arial" w:cs="Arial" w:eastAsia="Arial" w:hAnsi="Arial"/>
                <w:sz w:val="18"/>
                <w:szCs w:val="18"/>
                <w:b w:val="1"/>
                <w:bCs w:val="1"/>
                <w:color w:val="auto"/>
              </w:rPr>
              <w:t xml:space="preserve">“Purchase Price” </w:t>
            </w:r>
            <w:r>
              <w:rPr>
                <w:rFonts w:ascii="Arial" w:cs="Arial" w:eastAsia="Arial" w:hAnsi="Arial"/>
                <w:sz w:val="18"/>
                <w:szCs w:val="18"/>
                <w:color w:val="auto"/>
              </w:rPr>
              <w:t>– the aggregate consideration payable by the Purchaser to the Seller for the Sale Shares in terms of the</w:t>
            </w:r>
          </w:p>
        </w:tc>
      </w:tr>
      <w:tr>
        <w:trPr>
          <w:trHeight w:val="217"/>
        </w:trPr>
        <w:tc>
          <w:tcPr>
            <w:tcW w:w="900" w:type="dxa"/>
            <w:vAlign w:val="bottom"/>
          </w:tcPr>
          <w:p>
            <w:pPr>
              <w:spacing w:after="0"/>
              <w:rPr>
                <w:sz w:val="18"/>
                <w:szCs w:val="18"/>
                <w:color w:val="auto"/>
              </w:rPr>
            </w:pPr>
          </w:p>
        </w:tc>
        <w:tc>
          <w:tcPr>
            <w:tcW w:w="10340" w:type="dxa"/>
            <w:vAlign w:val="bottom"/>
          </w:tcPr>
          <w:p>
            <w:pPr>
              <w:ind w:left="400"/>
              <w:spacing w:after="0"/>
              <w:rPr>
                <w:sz w:val="20"/>
                <w:szCs w:val="20"/>
                <w:color w:val="auto"/>
              </w:rPr>
            </w:pPr>
            <w:r>
              <w:rPr>
                <w:rFonts w:ascii="Arial" w:cs="Arial" w:eastAsia="Arial" w:hAnsi="Arial"/>
                <w:sz w:val="18"/>
                <w:szCs w:val="18"/>
                <w:color w:val="auto"/>
              </w:rPr>
              <w:t>Sale as stipulated in 5.1;</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1.2.11</w:t>
            </w:r>
          </w:p>
        </w:tc>
        <w:tc>
          <w:tcPr>
            <w:tcW w:w="10340" w:type="dxa"/>
            <w:vAlign w:val="bottom"/>
          </w:tcPr>
          <w:p>
            <w:pPr>
              <w:ind w:left="400"/>
              <w:spacing w:after="0"/>
              <w:rPr>
                <w:sz w:val="20"/>
                <w:szCs w:val="20"/>
                <w:color w:val="auto"/>
              </w:rPr>
            </w:pPr>
            <w:r>
              <w:rPr>
                <w:rFonts w:ascii="Arial" w:cs="Arial" w:eastAsia="Arial" w:hAnsi="Arial"/>
                <w:sz w:val="18"/>
                <w:szCs w:val="18"/>
                <w:b w:val="1"/>
                <w:bCs w:val="1"/>
                <w:color w:val="auto"/>
              </w:rPr>
              <w:t xml:space="preserve">“R”, “Rand” </w:t>
            </w:r>
            <w:r>
              <w:rPr>
                <w:rFonts w:ascii="Arial" w:cs="Arial" w:eastAsia="Arial" w:hAnsi="Arial"/>
                <w:sz w:val="18"/>
                <w:szCs w:val="18"/>
                <w:color w:val="auto"/>
              </w:rPr>
              <w:t>and</w:t>
            </w:r>
            <w:r>
              <w:rPr>
                <w:rFonts w:ascii="Arial" w:cs="Arial" w:eastAsia="Arial" w:hAnsi="Arial"/>
                <w:sz w:val="18"/>
                <w:szCs w:val="18"/>
                <w:b w:val="1"/>
                <w:bCs w:val="1"/>
                <w:color w:val="auto"/>
              </w:rPr>
              <w:t xml:space="preserve"> “ZAR” </w:t>
            </w:r>
            <w:r>
              <w:rPr>
                <w:rFonts w:ascii="Arial" w:cs="Arial" w:eastAsia="Arial" w:hAnsi="Arial"/>
                <w:sz w:val="18"/>
                <w:szCs w:val="18"/>
                <w:color w:val="auto"/>
              </w:rPr>
              <w:t>– the currency of South Africa;</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1.2.12</w:t>
            </w:r>
          </w:p>
        </w:tc>
        <w:tc>
          <w:tcPr>
            <w:tcW w:w="10340" w:type="dxa"/>
            <w:vAlign w:val="bottom"/>
          </w:tcPr>
          <w:p>
            <w:pPr>
              <w:ind w:left="400"/>
              <w:spacing w:after="0"/>
              <w:rPr>
                <w:sz w:val="20"/>
                <w:szCs w:val="20"/>
                <w:color w:val="auto"/>
              </w:rPr>
            </w:pPr>
            <w:r>
              <w:rPr>
                <w:rFonts w:ascii="Arial" w:cs="Arial" w:eastAsia="Arial" w:hAnsi="Arial"/>
                <w:sz w:val="18"/>
                <w:szCs w:val="18"/>
                <w:b w:val="1"/>
                <w:bCs w:val="1"/>
                <w:color w:val="auto"/>
              </w:rPr>
              <w:t xml:space="preserve">“Repayment Notice” </w:t>
            </w:r>
            <w:r>
              <w:rPr>
                <w:rFonts w:ascii="Arial" w:cs="Arial" w:eastAsia="Arial" w:hAnsi="Arial"/>
                <w:sz w:val="18"/>
                <w:szCs w:val="18"/>
                <w:color w:val="auto"/>
              </w:rPr>
              <w:t>– a written notice from the Seller to the Purchaser demanding payment of the outstanding balance of</w:t>
            </w:r>
          </w:p>
        </w:tc>
      </w:tr>
      <w:tr>
        <w:trPr>
          <w:trHeight w:val="217"/>
        </w:trPr>
        <w:tc>
          <w:tcPr>
            <w:tcW w:w="900" w:type="dxa"/>
            <w:vAlign w:val="bottom"/>
          </w:tcPr>
          <w:p>
            <w:pPr>
              <w:spacing w:after="0"/>
              <w:rPr>
                <w:sz w:val="18"/>
                <w:szCs w:val="18"/>
                <w:color w:val="auto"/>
              </w:rPr>
            </w:pPr>
          </w:p>
        </w:tc>
        <w:tc>
          <w:tcPr>
            <w:tcW w:w="10340" w:type="dxa"/>
            <w:vAlign w:val="bottom"/>
          </w:tcPr>
          <w:p>
            <w:pPr>
              <w:ind w:left="400"/>
              <w:spacing w:after="0"/>
              <w:rPr>
                <w:sz w:val="20"/>
                <w:szCs w:val="20"/>
                <w:color w:val="auto"/>
              </w:rPr>
            </w:pPr>
            <w:r>
              <w:rPr>
                <w:rFonts w:ascii="Arial" w:cs="Arial" w:eastAsia="Arial" w:hAnsi="Arial"/>
                <w:sz w:val="18"/>
                <w:szCs w:val="18"/>
                <w:color w:val="auto"/>
              </w:rPr>
              <w:t>the Loan in terms of 6.3;</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1.2.13</w:t>
            </w:r>
          </w:p>
        </w:tc>
        <w:tc>
          <w:tcPr>
            <w:tcW w:w="10340" w:type="dxa"/>
            <w:vAlign w:val="bottom"/>
          </w:tcPr>
          <w:p>
            <w:pPr>
              <w:ind w:left="400"/>
              <w:spacing w:after="0"/>
              <w:rPr>
                <w:sz w:val="20"/>
                <w:szCs w:val="20"/>
                <w:color w:val="auto"/>
              </w:rPr>
            </w:pPr>
            <w:r>
              <w:rPr>
                <w:rFonts w:ascii="Arial" w:cs="Arial" w:eastAsia="Arial" w:hAnsi="Arial"/>
                <w:sz w:val="18"/>
                <w:szCs w:val="18"/>
                <w:b w:val="1"/>
                <w:bCs w:val="1"/>
                <w:color w:val="auto"/>
              </w:rPr>
              <w:t xml:space="preserve">“Sale” </w:t>
            </w:r>
            <w:r>
              <w:rPr>
                <w:rFonts w:ascii="Arial" w:cs="Arial" w:eastAsia="Arial" w:hAnsi="Arial"/>
                <w:sz w:val="18"/>
                <w:szCs w:val="18"/>
                <w:color w:val="auto"/>
              </w:rPr>
              <w:t>– the acquisition by the Purchaser of the Sale Shares from the Seller as more fully detailed in 4;</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1.2.14</w:t>
            </w:r>
          </w:p>
        </w:tc>
        <w:tc>
          <w:tcPr>
            <w:tcW w:w="10340" w:type="dxa"/>
            <w:vAlign w:val="bottom"/>
          </w:tcPr>
          <w:p>
            <w:pPr>
              <w:ind w:left="400"/>
              <w:spacing w:after="0"/>
              <w:rPr>
                <w:sz w:val="20"/>
                <w:szCs w:val="20"/>
                <w:color w:val="auto"/>
              </w:rPr>
            </w:pPr>
            <w:r>
              <w:rPr>
                <w:rFonts w:ascii="Arial" w:cs="Arial" w:eastAsia="Arial" w:hAnsi="Arial"/>
                <w:sz w:val="18"/>
                <w:szCs w:val="18"/>
                <w:b w:val="1"/>
                <w:bCs w:val="1"/>
                <w:color w:val="auto"/>
              </w:rPr>
              <w:t xml:space="preserve">“Sale Shares” </w:t>
            </w:r>
            <w:r>
              <w:rPr>
                <w:rFonts w:ascii="Arial" w:cs="Arial" w:eastAsia="Arial" w:hAnsi="Arial"/>
                <w:sz w:val="18"/>
                <w:szCs w:val="18"/>
                <w:color w:val="auto"/>
              </w:rPr>
              <w:t>– 100 000 shares</w:t>
            </w:r>
            <w:r>
              <w:rPr>
                <w:rFonts w:ascii="Arial" w:cs="Arial" w:eastAsia="Arial" w:hAnsi="Arial"/>
                <w:sz w:val="18"/>
                <w:szCs w:val="18"/>
                <w:b w:val="1"/>
                <w:bCs w:val="1"/>
                <w:color w:val="auto"/>
              </w:rPr>
              <w:t xml:space="preserve"> </w:t>
            </w:r>
            <w:r>
              <w:rPr>
                <w:rFonts w:ascii="Arial" w:cs="Arial" w:eastAsia="Arial" w:hAnsi="Arial"/>
                <w:sz w:val="18"/>
                <w:szCs w:val="18"/>
                <w:color w:val="2F2F2F"/>
              </w:rPr>
              <w:t>in</w:t>
            </w:r>
            <w:r>
              <w:rPr>
                <w:rFonts w:ascii="Arial" w:cs="Arial" w:eastAsia="Arial" w:hAnsi="Arial"/>
                <w:sz w:val="18"/>
                <w:szCs w:val="18"/>
                <w:b w:val="1"/>
                <w:bCs w:val="1"/>
                <w:color w:val="auto"/>
              </w:rPr>
              <w:t xml:space="preserve"> </w:t>
            </w:r>
            <w:r>
              <w:rPr>
                <w:rFonts w:ascii="Arial" w:cs="Arial" w:eastAsia="Arial" w:hAnsi="Arial"/>
                <w:sz w:val="18"/>
                <w:szCs w:val="18"/>
                <w:color w:val="auto"/>
              </w:rPr>
              <w:t>the issued share capital of the Company, which shares are listed on the JSE;</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1.2.15</w:t>
            </w:r>
          </w:p>
        </w:tc>
        <w:tc>
          <w:tcPr>
            <w:tcW w:w="10340" w:type="dxa"/>
            <w:vAlign w:val="bottom"/>
          </w:tcPr>
          <w:p>
            <w:pPr>
              <w:ind w:left="400"/>
              <w:spacing w:after="0"/>
              <w:rPr>
                <w:sz w:val="20"/>
                <w:szCs w:val="20"/>
                <w:color w:val="auto"/>
              </w:rPr>
            </w:pPr>
            <w:r>
              <w:rPr>
                <w:rFonts w:ascii="Arial" w:cs="Arial" w:eastAsia="Arial" w:hAnsi="Arial"/>
                <w:sz w:val="18"/>
                <w:szCs w:val="18"/>
                <w:b w:val="1"/>
                <w:bCs w:val="1"/>
                <w:color w:val="auto"/>
              </w:rPr>
              <w:t xml:space="preserve">“Seller” </w:t>
            </w:r>
            <w:r>
              <w:rPr>
                <w:rFonts w:ascii="Arial" w:cs="Arial" w:eastAsia="Arial" w:hAnsi="Arial"/>
                <w:sz w:val="18"/>
                <w:szCs w:val="18"/>
                <w:color w:val="auto"/>
              </w:rPr>
              <w:t>– Georgem Holdings Proprietary Limited (registration number: 2012/106706/07), a limited liability private company</w:t>
            </w:r>
          </w:p>
        </w:tc>
      </w:tr>
      <w:tr>
        <w:trPr>
          <w:trHeight w:val="217"/>
        </w:trPr>
        <w:tc>
          <w:tcPr>
            <w:tcW w:w="900" w:type="dxa"/>
            <w:vAlign w:val="bottom"/>
          </w:tcPr>
          <w:p>
            <w:pPr>
              <w:spacing w:after="0"/>
              <w:rPr>
                <w:sz w:val="18"/>
                <w:szCs w:val="18"/>
                <w:color w:val="auto"/>
              </w:rPr>
            </w:pPr>
          </w:p>
        </w:tc>
        <w:tc>
          <w:tcPr>
            <w:tcW w:w="10340" w:type="dxa"/>
            <w:vAlign w:val="bottom"/>
          </w:tcPr>
          <w:p>
            <w:pPr>
              <w:ind w:left="400"/>
              <w:spacing w:after="0"/>
              <w:rPr>
                <w:sz w:val="20"/>
                <w:szCs w:val="20"/>
                <w:color w:val="auto"/>
              </w:rPr>
            </w:pPr>
            <w:r>
              <w:rPr>
                <w:rFonts w:ascii="Arial" w:cs="Arial" w:eastAsia="Arial" w:hAnsi="Arial"/>
                <w:sz w:val="18"/>
                <w:szCs w:val="18"/>
                <w:color w:val="auto"/>
              </w:rPr>
              <w:t>duly registered and incorporated in accordance with the laws of South Africa;</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1.2.16</w:t>
            </w:r>
          </w:p>
        </w:tc>
        <w:tc>
          <w:tcPr>
            <w:tcW w:w="10340" w:type="dxa"/>
            <w:vAlign w:val="bottom"/>
          </w:tcPr>
          <w:p>
            <w:pPr>
              <w:ind w:left="400"/>
              <w:spacing w:after="0"/>
              <w:rPr>
                <w:sz w:val="20"/>
                <w:szCs w:val="20"/>
                <w:color w:val="auto"/>
              </w:rPr>
            </w:pPr>
            <w:r>
              <w:rPr>
                <w:rFonts w:ascii="Arial" w:cs="Arial" w:eastAsia="Arial" w:hAnsi="Arial"/>
                <w:sz w:val="18"/>
                <w:szCs w:val="18"/>
                <w:b w:val="1"/>
                <w:bCs w:val="1"/>
                <w:color w:val="auto"/>
              </w:rPr>
              <w:t xml:space="preserve">“Share Sale Date” </w:t>
            </w:r>
            <w:r>
              <w:rPr>
                <w:rFonts w:ascii="Arial" w:cs="Arial" w:eastAsia="Arial" w:hAnsi="Arial"/>
                <w:sz w:val="18"/>
                <w:szCs w:val="18"/>
                <w:color w:val="auto"/>
              </w:rPr>
              <w:t>– 29 November 2021;</w:t>
            </w:r>
          </w:p>
        </w:tc>
      </w:tr>
      <w:tr>
        <w:trPr>
          <w:trHeight w:val="500"/>
        </w:trPr>
        <w:tc>
          <w:tcPr>
            <w:tcW w:w="900" w:type="dxa"/>
            <w:vAlign w:val="bottom"/>
            <w:tcBorders>
              <w:bottom w:val="single" w:sz="8" w:color="auto"/>
            </w:tcBorders>
          </w:tcPr>
          <w:p>
            <w:pPr>
              <w:spacing w:after="0"/>
              <w:rPr>
                <w:sz w:val="24"/>
                <w:szCs w:val="24"/>
                <w:color w:val="auto"/>
              </w:rPr>
            </w:pPr>
          </w:p>
        </w:tc>
        <w:tc>
          <w:tcPr>
            <w:tcW w:w="10340" w:type="dxa"/>
            <w:vAlign w:val="bottom"/>
            <w:tcBorders>
              <w:bottom w:val="single" w:sz="8" w:color="auto"/>
            </w:tcBorders>
          </w:tcPr>
          <w:p>
            <w:pPr>
              <w:ind w:left="1020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240"/>
          </w:cols>
          <w:pgMar w:left="320" w:top="792" w:right="339" w:bottom="1440" w:gutter="0" w:footer="0" w:header="0"/>
        </w:sectPr>
      </w:pPr>
    </w:p>
    <w:bookmarkStart w:id="27" w:name="page28"/>
    <w:bookmarkEnd w:id="2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6894830</wp:posOffset>
            </wp:positionH>
            <wp:positionV relativeFrom="page">
              <wp:posOffset>157480</wp:posOffset>
            </wp:positionV>
            <wp:extent cx="411480" cy="2660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411480" cy="2660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9"/>
        </w:trPr>
        <w:tc>
          <w:tcPr>
            <w:tcW w:w="740" w:type="dxa"/>
            <w:vAlign w:val="bottom"/>
          </w:tcPr>
          <w:p>
            <w:pPr>
              <w:spacing w:after="0"/>
              <w:rPr>
                <w:sz w:val="20"/>
                <w:szCs w:val="20"/>
                <w:color w:val="auto"/>
              </w:rPr>
            </w:pPr>
            <w:r>
              <w:rPr>
                <w:rFonts w:ascii="Arial" w:cs="Arial" w:eastAsia="Arial" w:hAnsi="Arial"/>
                <w:sz w:val="18"/>
                <w:szCs w:val="18"/>
                <w:color w:val="auto"/>
              </w:rPr>
              <w:t>1.2.17</w:t>
            </w:r>
          </w:p>
        </w:tc>
        <w:tc>
          <w:tcPr>
            <w:tcW w:w="10500" w:type="dxa"/>
            <w:vAlign w:val="bottom"/>
          </w:tcPr>
          <w:p>
            <w:pPr>
              <w:ind w:left="560"/>
              <w:spacing w:after="0"/>
              <w:rPr>
                <w:sz w:val="20"/>
                <w:szCs w:val="20"/>
                <w:color w:val="auto"/>
              </w:rPr>
            </w:pPr>
            <w:r>
              <w:rPr>
                <w:rFonts w:ascii="Arial" w:cs="Arial" w:eastAsia="Arial" w:hAnsi="Arial"/>
                <w:sz w:val="18"/>
                <w:szCs w:val="18"/>
                <w:b w:val="1"/>
                <w:bCs w:val="1"/>
                <w:color w:val="auto"/>
              </w:rPr>
              <w:t xml:space="preserve">“Signature Date” </w:t>
            </w:r>
            <w:r>
              <w:rPr>
                <w:rFonts w:ascii="Arial" w:cs="Arial" w:eastAsia="Arial" w:hAnsi="Arial"/>
                <w:sz w:val="18"/>
                <w:szCs w:val="18"/>
                <w:color w:val="auto"/>
              </w:rPr>
              <w:t>– the date of signature of this Agreement by the last of its signatories;</w:t>
            </w:r>
          </w:p>
        </w:tc>
      </w:tr>
      <w:tr>
        <w:trPr>
          <w:trHeight w:val="405"/>
        </w:trPr>
        <w:tc>
          <w:tcPr>
            <w:tcW w:w="740" w:type="dxa"/>
            <w:vAlign w:val="bottom"/>
          </w:tcPr>
          <w:p>
            <w:pPr>
              <w:spacing w:after="0"/>
              <w:rPr>
                <w:sz w:val="20"/>
                <w:szCs w:val="20"/>
                <w:color w:val="auto"/>
              </w:rPr>
            </w:pPr>
            <w:r>
              <w:rPr>
                <w:rFonts w:ascii="Arial" w:cs="Arial" w:eastAsia="Arial" w:hAnsi="Arial"/>
                <w:sz w:val="18"/>
                <w:szCs w:val="18"/>
                <w:color w:val="auto"/>
              </w:rPr>
              <w:t>1.2.18</w:t>
            </w:r>
          </w:p>
        </w:tc>
        <w:tc>
          <w:tcPr>
            <w:tcW w:w="10500" w:type="dxa"/>
            <w:vAlign w:val="bottom"/>
          </w:tcPr>
          <w:p>
            <w:pPr>
              <w:ind w:left="560"/>
              <w:spacing w:after="0"/>
              <w:rPr>
                <w:sz w:val="20"/>
                <w:szCs w:val="20"/>
                <w:color w:val="auto"/>
              </w:rPr>
            </w:pPr>
            <w:r>
              <w:rPr>
                <w:rFonts w:ascii="Arial" w:cs="Arial" w:eastAsia="Arial" w:hAnsi="Arial"/>
                <w:sz w:val="18"/>
                <w:szCs w:val="18"/>
                <w:b w:val="1"/>
                <w:bCs w:val="1"/>
                <w:color w:val="auto"/>
              </w:rPr>
              <w:t xml:space="preserve">“South Africa” </w:t>
            </w:r>
            <w:r>
              <w:rPr>
                <w:rFonts w:ascii="Arial" w:cs="Arial" w:eastAsia="Arial" w:hAnsi="Arial"/>
                <w:sz w:val="18"/>
                <w:szCs w:val="18"/>
                <w:color w:val="auto"/>
              </w:rPr>
              <w:t>– the Republic of South Africa; and</w:t>
            </w:r>
          </w:p>
        </w:tc>
      </w:tr>
      <w:tr>
        <w:trPr>
          <w:trHeight w:val="405"/>
        </w:trPr>
        <w:tc>
          <w:tcPr>
            <w:tcW w:w="740" w:type="dxa"/>
            <w:vAlign w:val="bottom"/>
          </w:tcPr>
          <w:p>
            <w:pPr>
              <w:spacing w:after="0"/>
              <w:rPr>
                <w:sz w:val="20"/>
                <w:szCs w:val="20"/>
                <w:color w:val="auto"/>
              </w:rPr>
            </w:pPr>
            <w:r>
              <w:rPr>
                <w:rFonts w:ascii="Arial" w:cs="Arial" w:eastAsia="Arial" w:hAnsi="Arial"/>
                <w:sz w:val="18"/>
                <w:szCs w:val="18"/>
                <w:color w:val="auto"/>
              </w:rPr>
              <w:t>1.2.19</w:t>
            </w:r>
          </w:p>
        </w:tc>
        <w:tc>
          <w:tcPr>
            <w:tcW w:w="10500" w:type="dxa"/>
            <w:vAlign w:val="bottom"/>
          </w:tcPr>
          <w:p>
            <w:pPr>
              <w:ind w:left="560"/>
              <w:spacing w:after="0"/>
              <w:rPr>
                <w:sz w:val="20"/>
                <w:szCs w:val="20"/>
                <w:color w:val="auto"/>
              </w:rPr>
            </w:pPr>
            <w:r>
              <w:rPr>
                <w:rFonts w:ascii="Arial" w:cs="Arial" w:eastAsia="Arial" w:hAnsi="Arial"/>
                <w:sz w:val="18"/>
                <w:szCs w:val="18"/>
                <w:b w:val="1"/>
                <w:bCs w:val="1"/>
                <w:color w:val="auto"/>
              </w:rPr>
              <w:t xml:space="preserve">“Suspensive Condition” </w:t>
            </w:r>
            <w:r>
              <w:rPr>
                <w:rFonts w:ascii="Arial" w:cs="Arial" w:eastAsia="Arial" w:hAnsi="Arial"/>
                <w:sz w:val="18"/>
                <w:szCs w:val="18"/>
                <w:color w:val="auto"/>
              </w:rPr>
              <w:t>– shall bear the meaning ascribed thereto in 3.1;</w:t>
            </w:r>
          </w:p>
        </w:tc>
      </w:tr>
      <w:tr>
        <w:trPr>
          <w:trHeight w:val="391"/>
        </w:trPr>
        <w:tc>
          <w:tcPr>
            <w:tcW w:w="740" w:type="dxa"/>
            <w:vAlign w:val="bottom"/>
          </w:tcPr>
          <w:p>
            <w:pPr>
              <w:spacing w:after="0"/>
              <w:rPr>
                <w:sz w:val="20"/>
                <w:szCs w:val="20"/>
                <w:color w:val="auto"/>
              </w:rPr>
            </w:pPr>
            <w:r>
              <w:rPr>
                <w:rFonts w:ascii="Arial" w:cs="Arial" w:eastAsia="Arial" w:hAnsi="Arial"/>
                <w:sz w:val="18"/>
                <w:szCs w:val="18"/>
                <w:color w:val="auto"/>
              </w:rPr>
              <w:t>1.3</w:t>
            </w:r>
          </w:p>
        </w:tc>
        <w:tc>
          <w:tcPr>
            <w:tcW w:w="10500" w:type="dxa"/>
            <w:vAlign w:val="bottom"/>
          </w:tcPr>
          <w:p>
            <w:pPr>
              <w:ind w:left="240"/>
              <w:spacing w:after="0"/>
              <w:rPr>
                <w:sz w:val="20"/>
                <w:szCs w:val="20"/>
                <w:color w:val="auto"/>
              </w:rPr>
            </w:pPr>
            <w:r>
              <w:rPr>
                <w:rFonts w:ascii="Arial" w:cs="Arial" w:eastAsia="Arial" w:hAnsi="Arial"/>
                <w:sz w:val="18"/>
                <w:szCs w:val="18"/>
                <w:color w:val="auto"/>
              </w:rPr>
              <w:t>any reference to any statute, regulation or other legislation shall be a reference to that statute, regulation or other legislation as</w:t>
            </w:r>
          </w:p>
        </w:tc>
      </w:tr>
      <w:tr>
        <w:trPr>
          <w:trHeight w:val="217"/>
        </w:trPr>
        <w:tc>
          <w:tcPr>
            <w:tcW w:w="740" w:type="dxa"/>
            <w:vAlign w:val="bottom"/>
          </w:tcPr>
          <w:p>
            <w:pPr>
              <w:spacing w:after="0"/>
              <w:rPr>
                <w:sz w:val="18"/>
                <w:szCs w:val="18"/>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rPr>
              <w:t>at the Signature Date, and as amended or substituted from time to time;</w:t>
            </w:r>
          </w:p>
        </w:tc>
      </w:tr>
      <w:tr>
        <w:trPr>
          <w:trHeight w:val="391"/>
        </w:trPr>
        <w:tc>
          <w:tcPr>
            <w:tcW w:w="740" w:type="dxa"/>
            <w:vAlign w:val="bottom"/>
          </w:tcPr>
          <w:p>
            <w:pPr>
              <w:spacing w:after="0"/>
              <w:rPr>
                <w:sz w:val="20"/>
                <w:szCs w:val="20"/>
                <w:color w:val="auto"/>
              </w:rPr>
            </w:pPr>
            <w:r>
              <w:rPr>
                <w:rFonts w:ascii="Arial" w:cs="Arial" w:eastAsia="Arial" w:hAnsi="Arial"/>
                <w:sz w:val="18"/>
                <w:szCs w:val="18"/>
                <w:color w:val="auto"/>
              </w:rPr>
              <w:t>1.4</w:t>
            </w:r>
          </w:p>
        </w:tc>
        <w:tc>
          <w:tcPr>
            <w:tcW w:w="10500" w:type="dxa"/>
            <w:vAlign w:val="bottom"/>
          </w:tcPr>
          <w:p>
            <w:pPr>
              <w:ind w:left="240"/>
              <w:spacing w:after="0"/>
              <w:rPr>
                <w:sz w:val="20"/>
                <w:szCs w:val="20"/>
                <w:color w:val="auto"/>
              </w:rPr>
            </w:pPr>
            <w:r>
              <w:rPr>
                <w:rFonts w:ascii="Arial" w:cs="Arial" w:eastAsia="Arial" w:hAnsi="Arial"/>
                <w:sz w:val="18"/>
                <w:szCs w:val="18"/>
                <w:color w:val="auto"/>
              </w:rPr>
              <w:t>if any provision in a definition is a substantive provision conferring any right or imposing any obligation on any party, then</w:t>
            </w:r>
          </w:p>
        </w:tc>
      </w:tr>
      <w:tr>
        <w:trPr>
          <w:trHeight w:val="203"/>
        </w:trPr>
        <w:tc>
          <w:tcPr>
            <w:tcW w:w="740" w:type="dxa"/>
            <w:vAlign w:val="bottom"/>
          </w:tcPr>
          <w:p>
            <w:pPr>
              <w:spacing w:after="0"/>
              <w:rPr>
                <w:sz w:val="17"/>
                <w:szCs w:val="17"/>
                <w:color w:val="auto"/>
              </w:rPr>
            </w:pPr>
          </w:p>
        </w:tc>
        <w:tc>
          <w:tcPr>
            <w:tcW w:w="10500" w:type="dxa"/>
            <w:vAlign w:val="bottom"/>
          </w:tcPr>
          <w:p>
            <w:pPr>
              <w:ind w:left="240"/>
              <w:spacing w:after="0" w:line="202" w:lineRule="exact"/>
              <w:rPr>
                <w:sz w:val="20"/>
                <w:szCs w:val="20"/>
                <w:color w:val="auto"/>
              </w:rPr>
            </w:pPr>
            <w:r>
              <w:rPr>
                <w:rFonts w:ascii="Arial" w:cs="Arial" w:eastAsia="Arial" w:hAnsi="Arial"/>
                <w:sz w:val="18"/>
                <w:szCs w:val="18"/>
                <w:color w:val="auto"/>
              </w:rPr>
              <w:t>notwithstanding that it is only in the interpretation clause effect shall be given to it as if it were a substantive provision in this</w:t>
            </w:r>
          </w:p>
        </w:tc>
      </w:tr>
      <w:tr>
        <w:trPr>
          <w:trHeight w:val="217"/>
        </w:trPr>
        <w:tc>
          <w:tcPr>
            <w:tcW w:w="740" w:type="dxa"/>
            <w:vAlign w:val="bottom"/>
          </w:tcPr>
          <w:p>
            <w:pPr>
              <w:spacing w:after="0"/>
              <w:rPr>
                <w:sz w:val="18"/>
                <w:szCs w:val="18"/>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rPr>
              <w:t>Agreement;</w:t>
            </w:r>
          </w:p>
        </w:tc>
      </w:tr>
      <w:tr>
        <w:trPr>
          <w:trHeight w:val="391"/>
        </w:trPr>
        <w:tc>
          <w:tcPr>
            <w:tcW w:w="740" w:type="dxa"/>
            <w:vAlign w:val="bottom"/>
          </w:tcPr>
          <w:p>
            <w:pPr>
              <w:spacing w:after="0"/>
              <w:rPr>
                <w:sz w:val="20"/>
                <w:szCs w:val="20"/>
                <w:color w:val="auto"/>
              </w:rPr>
            </w:pPr>
            <w:r>
              <w:rPr>
                <w:rFonts w:ascii="Arial" w:cs="Arial" w:eastAsia="Arial" w:hAnsi="Arial"/>
                <w:sz w:val="18"/>
                <w:szCs w:val="18"/>
                <w:color w:val="auto"/>
              </w:rPr>
              <w:t>1.5</w:t>
            </w:r>
          </w:p>
        </w:tc>
        <w:tc>
          <w:tcPr>
            <w:tcW w:w="10500" w:type="dxa"/>
            <w:vAlign w:val="bottom"/>
          </w:tcPr>
          <w:p>
            <w:pPr>
              <w:ind w:left="240"/>
              <w:spacing w:after="0"/>
              <w:rPr>
                <w:sz w:val="20"/>
                <w:szCs w:val="20"/>
                <w:color w:val="auto"/>
              </w:rPr>
            </w:pPr>
            <w:r>
              <w:rPr>
                <w:rFonts w:ascii="Arial" w:cs="Arial" w:eastAsia="Arial" w:hAnsi="Arial"/>
                <w:sz w:val="18"/>
                <w:szCs w:val="18"/>
                <w:color w:val="auto"/>
              </w:rPr>
              <w:t>where any term is defined within a particular clause other than 1.2, that term shall bear the meaning ascribed to it in that clause</w:t>
            </w:r>
          </w:p>
        </w:tc>
      </w:tr>
      <w:tr>
        <w:trPr>
          <w:trHeight w:val="217"/>
        </w:trPr>
        <w:tc>
          <w:tcPr>
            <w:tcW w:w="740" w:type="dxa"/>
            <w:vAlign w:val="bottom"/>
          </w:tcPr>
          <w:p>
            <w:pPr>
              <w:spacing w:after="0"/>
              <w:rPr>
                <w:sz w:val="18"/>
                <w:szCs w:val="18"/>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rPr>
              <w:t>wherever it is used in this Agreement;</w:t>
            </w:r>
          </w:p>
        </w:tc>
      </w:tr>
      <w:tr>
        <w:trPr>
          <w:trHeight w:val="391"/>
        </w:trPr>
        <w:tc>
          <w:tcPr>
            <w:tcW w:w="740" w:type="dxa"/>
            <w:vAlign w:val="bottom"/>
          </w:tcPr>
          <w:p>
            <w:pPr>
              <w:spacing w:after="0"/>
              <w:rPr>
                <w:sz w:val="20"/>
                <w:szCs w:val="20"/>
                <w:color w:val="auto"/>
              </w:rPr>
            </w:pPr>
            <w:r>
              <w:rPr>
                <w:rFonts w:ascii="Arial" w:cs="Arial" w:eastAsia="Arial" w:hAnsi="Arial"/>
                <w:sz w:val="18"/>
                <w:szCs w:val="18"/>
                <w:color w:val="auto"/>
              </w:rPr>
              <w:t>1.6</w:t>
            </w:r>
          </w:p>
        </w:tc>
        <w:tc>
          <w:tcPr>
            <w:tcW w:w="10500" w:type="dxa"/>
            <w:vAlign w:val="bottom"/>
          </w:tcPr>
          <w:p>
            <w:pPr>
              <w:ind w:left="240"/>
              <w:spacing w:after="0"/>
              <w:rPr>
                <w:sz w:val="20"/>
                <w:szCs w:val="20"/>
                <w:color w:val="auto"/>
              </w:rPr>
            </w:pPr>
            <w:r>
              <w:rPr>
                <w:rFonts w:ascii="Arial" w:cs="Arial" w:eastAsia="Arial" w:hAnsi="Arial"/>
                <w:sz w:val="18"/>
                <w:szCs w:val="18"/>
                <w:color w:val="auto"/>
                <w:w w:val="99"/>
              </w:rPr>
              <w:t>where any number of days is to be calculated from a particular day, such number shall be calculated as excluding such particular</w:t>
            </w:r>
          </w:p>
        </w:tc>
      </w:tr>
      <w:tr>
        <w:trPr>
          <w:trHeight w:val="203"/>
        </w:trPr>
        <w:tc>
          <w:tcPr>
            <w:tcW w:w="740" w:type="dxa"/>
            <w:vAlign w:val="bottom"/>
          </w:tcPr>
          <w:p>
            <w:pPr>
              <w:spacing w:after="0"/>
              <w:rPr>
                <w:sz w:val="17"/>
                <w:szCs w:val="17"/>
                <w:color w:val="auto"/>
              </w:rPr>
            </w:pPr>
          </w:p>
        </w:tc>
        <w:tc>
          <w:tcPr>
            <w:tcW w:w="10500" w:type="dxa"/>
            <w:vAlign w:val="bottom"/>
          </w:tcPr>
          <w:p>
            <w:pPr>
              <w:ind w:left="240"/>
              <w:spacing w:after="0" w:line="202" w:lineRule="exact"/>
              <w:rPr>
                <w:sz w:val="20"/>
                <w:szCs w:val="20"/>
                <w:color w:val="auto"/>
              </w:rPr>
            </w:pPr>
            <w:r>
              <w:rPr>
                <w:rFonts w:ascii="Arial" w:cs="Arial" w:eastAsia="Arial" w:hAnsi="Arial"/>
                <w:sz w:val="18"/>
                <w:szCs w:val="18"/>
                <w:color w:val="auto"/>
              </w:rPr>
              <w:t>day and commencing on the next day. If the last day of such number so calculated falls on a day which is not a Business Day,</w:t>
            </w:r>
          </w:p>
        </w:tc>
      </w:tr>
      <w:tr>
        <w:trPr>
          <w:trHeight w:val="217"/>
        </w:trPr>
        <w:tc>
          <w:tcPr>
            <w:tcW w:w="740" w:type="dxa"/>
            <w:vAlign w:val="bottom"/>
          </w:tcPr>
          <w:p>
            <w:pPr>
              <w:spacing w:after="0"/>
              <w:rPr>
                <w:sz w:val="18"/>
                <w:szCs w:val="18"/>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rPr>
              <w:t>the last day shall be deemed to be the next succeeding day which is a Business Day;</w:t>
            </w:r>
          </w:p>
        </w:tc>
      </w:tr>
      <w:tr>
        <w:trPr>
          <w:trHeight w:val="391"/>
        </w:trPr>
        <w:tc>
          <w:tcPr>
            <w:tcW w:w="740" w:type="dxa"/>
            <w:vAlign w:val="bottom"/>
          </w:tcPr>
          <w:p>
            <w:pPr>
              <w:spacing w:after="0"/>
              <w:rPr>
                <w:sz w:val="20"/>
                <w:szCs w:val="20"/>
                <w:color w:val="auto"/>
              </w:rPr>
            </w:pPr>
            <w:r>
              <w:rPr>
                <w:rFonts w:ascii="Arial" w:cs="Arial" w:eastAsia="Arial" w:hAnsi="Arial"/>
                <w:sz w:val="18"/>
                <w:szCs w:val="18"/>
                <w:color w:val="auto"/>
              </w:rPr>
              <w:t>1.7</w:t>
            </w:r>
          </w:p>
        </w:tc>
        <w:tc>
          <w:tcPr>
            <w:tcW w:w="10500" w:type="dxa"/>
            <w:vAlign w:val="bottom"/>
          </w:tcPr>
          <w:p>
            <w:pPr>
              <w:ind w:left="240"/>
              <w:spacing w:after="0"/>
              <w:rPr>
                <w:sz w:val="20"/>
                <w:szCs w:val="20"/>
                <w:color w:val="auto"/>
              </w:rPr>
            </w:pPr>
            <w:r>
              <w:rPr>
                <w:rFonts w:ascii="Arial" w:cs="Arial" w:eastAsia="Arial" w:hAnsi="Arial"/>
                <w:sz w:val="18"/>
                <w:szCs w:val="18"/>
                <w:color w:val="auto"/>
                <w:w w:val="99"/>
              </w:rPr>
              <w:t>any reference to days (other than a reference to Business Days) months or years shall be a reference to calendar days, calendar</w:t>
            </w:r>
          </w:p>
        </w:tc>
      </w:tr>
      <w:tr>
        <w:trPr>
          <w:trHeight w:val="217"/>
        </w:trPr>
        <w:tc>
          <w:tcPr>
            <w:tcW w:w="740" w:type="dxa"/>
            <w:vAlign w:val="bottom"/>
          </w:tcPr>
          <w:p>
            <w:pPr>
              <w:spacing w:after="0"/>
              <w:rPr>
                <w:sz w:val="18"/>
                <w:szCs w:val="18"/>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rPr>
              <w:t>months or calendar years, respectively;</w:t>
            </w:r>
          </w:p>
        </w:tc>
      </w:tr>
      <w:tr>
        <w:trPr>
          <w:trHeight w:val="391"/>
        </w:trPr>
        <w:tc>
          <w:tcPr>
            <w:tcW w:w="740" w:type="dxa"/>
            <w:vAlign w:val="bottom"/>
          </w:tcPr>
          <w:p>
            <w:pPr>
              <w:spacing w:after="0"/>
              <w:rPr>
                <w:sz w:val="20"/>
                <w:szCs w:val="20"/>
                <w:color w:val="auto"/>
              </w:rPr>
            </w:pPr>
            <w:r>
              <w:rPr>
                <w:rFonts w:ascii="Arial" w:cs="Arial" w:eastAsia="Arial" w:hAnsi="Arial"/>
                <w:sz w:val="18"/>
                <w:szCs w:val="18"/>
                <w:color w:val="auto"/>
              </w:rPr>
              <w:t>1.8</w:t>
            </w:r>
          </w:p>
        </w:tc>
        <w:tc>
          <w:tcPr>
            <w:tcW w:w="10500" w:type="dxa"/>
            <w:vAlign w:val="bottom"/>
          </w:tcPr>
          <w:p>
            <w:pPr>
              <w:ind w:left="240"/>
              <w:spacing w:after="0"/>
              <w:rPr>
                <w:sz w:val="20"/>
                <w:szCs w:val="20"/>
                <w:color w:val="auto"/>
              </w:rPr>
            </w:pPr>
            <w:r>
              <w:rPr>
                <w:rFonts w:ascii="Arial" w:cs="Arial" w:eastAsia="Arial" w:hAnsi="Arial"/>
                <w:sz w:val="18"/>
                <w:szCs w:val="18"/>
                <w:color w:val="auto"/>
              </w:rPr>
              <w:t>any term which refers to a South African legal concept or process (for example, without limiting the aforegoing, winding-up or</w:t>
            </w:r>
          </w:p>
        </w:tc>
      </w:tr>
      <w:tr>
        <w:trPr>
          <w:trHeight w:val="202"/>
        </w:trPr>
        <w:tc>
          <w:tcPr>
            <w:tcW w:w="740" w:type="dxa"/>
            <w:vAlign w:val="bottom"/>
          </w:tcPr>
          <w:p>
            <w:pPr>
              <w:spacing w:after="0"/>
              <w:rPr>
                <w:sz w:val="17"/>
                <w:szCs w:val="17"/>
                <w:color w:val="auto"/>
              </w:rPr>
            </w:pPr>
          </w:p>
        </w:tc>
        <w:tc>
          <w:tcPr>
            <w:tcW w:w="10500" w:type="dxa"/>
            <w:vAlign w:val="bottom"/>
          </w:tcPr>
          <w:p>
            <w:pPr>
              <w:ind w:left="240"/>
              <w:spacing w:after="0" w:line="202" w:lineRule="exact"/>
              <w:rPr>
                <w:sz w:val="20"/>
                <w:szCs w:val="20"/>
                <w:color w:val="auto"/>
              </w:rPr>
            </w:pPr>
            <w:r>
              <w:rPr>
                <w:rFonts w:ascii="Arial" w:cs="Arial" w:eastAsia="Arial" w:hAnsi="Arial"/>
                <w:sz w:val="18"/>
                <w:szCs w:val="18"/>
                <w:color w:val="auto"/>
              </w:rPr>
              <w:t>curatorship) shall be deemed to include a reference to the equivalent or analogous concept or process in any other jurisdiction in</w:t>
            </w:r>
          </w:p>
        </w:tc>
      </w:tr>
      <w:tr>
        <w:trPr>
          <w:trHeight w:val="217"/>
        </w:trPr>
        <w:tc>
          <w:tcPr>
            <w:tcW w:w="740" w:type="dxa"/>
            <w:vAlign w:val="bottom"/>
          </w:tcPr>
          <w:p>
            <w:pPr>
              <w:spacing w:after="0"/>
              <w:rPr>
                <w:sz w:val="18"/>
                <w:szCs w:val="18"/>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rPr>
              <w:t>which this Agreement may apply or to the laws of which a Party may be or become subject;</w:t>
            </w:r>
          </w:p>
        </w:tc>
      </w:tr>
      <w:tr>
        <w:trPr>
          <w:trHeight w:val="391"/>
        </w:trPr>
        <w:tc>
          <w:tcPr>
            <w:tcW w:w="740" w:type="dxa"/>
            <w:vAlign w:val="bottom"/>
          </w:tcPr>
          <w:p>
            <w:pPr>
              <w:spacing w:after="0"/>
              <w:rPr>
                <w:sz w:val="20"/>
                <w:szCs w:val="20"/>
                <w:color w:val="auto"/>
              </w:rPr>
            </w:pPr>
            <w:r>
              <w:rPr>
                <w:rFonts w:ascii="Arial" w:cs="Arial" w:eastAsia="Arial" w:hAnsi="Arial"/>
                <w:sz w:val="18"/>
                <w:szCs w:val="18"/>
                <w:color w:val="auto"/>
              </w:rPr>
              <w:t>1.9</w:t>
            </w:r>
          </w:p>
        </w:tc>
        <w:tc>
          <w:tcPr>
            <w:tcW w:w="10500" w:type="dxa"/>
            <w:vAlign w:val="bottom"/>
          </w:tcPr>
          <w:p>
            <w:pPr>
              <w:ind w:left="240"/>
              <w:spacing w:after="0"/>
              <w:rPr>
                <w:sz w:val="20"/>
                <w:szCs w:val="20"/>
                <w:color w:val="auto"/>
              </w:rPr>
            </w:pPr>
            <w:r>
              <w:rPr>
                <w:rFonts w:ascii="Arial" w:cs="Arial" w:eastAsia="Arial" w:hAnsi="Arial"/>
                <w:sz w:val="18"/>
                <w:szCs w:val="18"/>
                <w:color w:val="auto"/>
              </w:rPr>
              <w:t>the expiry, termination or cancellation of this Agreement shall not affect those provisions of this Agreement which expressly</w:t>
            </w:r>
          </w:p>
        </w:tc>
      </w:tr>
      <w:tr>
        <w:trPr>
          <w:trHeight w:val="203"/>
        </w:trPr>
        <w:tc>
          <w:tcPr>
            <w:tcW w:w="740" w:type="dxa"/>
            <w:vAlign w:val="bottom"/>
          </w:tcPr>
          <w:p>
            <w:pPr>
              <w:spacing w:after="0"/>
              <w:rPr>
                <w:sz w:val="17"/>
                <w:szCs w:val="17"/>
                <w:color w:val="auto"/>
              </w:rPr>
            </w:pPr>
          </w:p>
        </w:tc>
        <w:tc>
          <w:tcPr>
            <w:tcW w:w="10500" w:type="dxa"/>
            <w:vAlign w:val="bottom"/>
          </w:tcPr>
          <w:p>
            <w:pPr>
              <w:ind w:left="240"/>
              <w:spacing w:after="0" w:line="202" w:lineRule="exact"/>
              <w:rPr>
                <w:sz w:val="20"/>
                <w:szCs w:val="20"/>
                <w:color w:val="auto"/>
              </w:rPr>
            </w:pPr>
            <w:r>
              <w:rPr>
                <w:rFonts w:ascii="Arial" w:cs="Arial" w:eastAsia="Arial" w:hAnsi="Arial"/>
                <w:sz w:val="18"/>
                <w:szCs w:val="18"/>
                <w:color w:val="auto"/>
              </w:rPr>
              <w:t>provide that they will operate after any such expiry, termination or cancellation or which of necessity must continue to have effect</w:t>
            </w:r>
          </w:p>
        </w:tc>
      </w:tr>
      <w:tr>
        <w:trPr>
          <w:trHeight w:val="217"/>
        </w:trPr>
        <w:tc>
          <w:tcPr>
            <w:tcW w:w="740" w:type="dxa"/>
            <w:vAlign w:val="bottom"/>
          </w:tcPr>
          <w:p>
            <w:pPr>
              <w:spacing w:after="0"/>
              <w:rPr>
                <w:sz w:val="18"/>
                <w:szCs w:val="18"/>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rPr>
              <w:t>after such expiry, termination or cancellation, notwithstanding that such provisions do not expressly provide for this;</w:t>
            </w:r>
          </w:p>
        </w:tc>
      </w:tr>
      <w:tr>
        <w:trPr>
          <w:trHeight w:val="500"/>
        </w:trPr>
        <w:tc>
          <w:tcPr>
            <w:tcW w:w="740" w:type="dxa"/>
            <w:vAlign w:val="bottom"/>
            <w:tcBorders>
              <w:bottom w:val="single" w:sz="8" w:color="auto"/>
            </w:tcBorders>
          </w:tcPr>
          <w:p>
            <w:pPr>
              <w:spacing w:after="0"/>
              <w:rPr>
                <w:sz w:val="24"/>
                <w:szCs w:val="24"/>
                <w:color w:val="auto"/>
              </w:rPr>
            </w:pPr>
          </w:p>
        </w:tc>
        <w:tc>
          <w:tcPr>
            <w:tcW w:w="10500" w:type="dxa"/>
            <w:vAlign w:val="bottom"/>
            <w:tcBorders>
              <w:bottom w:val="single" w:sz="8" w:color="auto"/>
            </w:tcBorders>
          </w:tcPr>
          <w:p>
            <w:pPr>
              <w:ind w:left="1036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240"/>
          </w:cols>
          <w:pgMar w:left="320" w:top="792" w:right="339" w:bottom="1440" w:gutter="0" w:footer="0" w:header="0"/>
        </w:sectPr>
      </w:pPr>
    </w:p>
    <w:bookmarkStart w:id="28" w:name="page29"/>
    <w:bookmarkEnd w:id="28"/>
    <w:p>
      <w:pPr>
        <w:jc w:val="both"/>
        <w:ind w:left="980" w:hanging="971"/>
        <w:spacing w:after="0" w:line="253" w:lineRule="auto"/>
        <w:tabs>
          <w:tab w:leader="none" w:pos="9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6894830</wp:posOffset>
            </wp:positionH>
            <wp:positionV relativeFrom="page">
              <wp:posOffset>157480</wp:posOffset>
            </wp:positionV>
            <wp:extent cx="411480" cy="2660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411480" cy="266065"/>
                    </a:xfrm>
                    <a:prstGeom prst="rect">
                      <a:avLst/>
                    </a:prstGeom>
                    <a:noFill/>
                  </pic:spPr>
                </pic:pic>
              </a:graphicData>
            </a:graphic>
          </wp:anchor>
        </w:drawing>
        <w:t>1.10</w:t>
      </w:r>
      <w:r>
        <w:rPr>
          <w:sz w:val="20"/>
          <w:szCs w:val="20"/>
          <w:color w:val="auto"/>
        </w:rPr>
        <w:tab/>
      </w:r>
      <w:r>
        <w:rPr>
          <w:rFonts w:ascii="Arial" w:cs="Arial" w:eastAsia="Arial" w:hAnsi="Arial"/>
          <w:sz w:val="18"/>
          <w:szCs w:val="18"/>
          <w:color w:val="auto"/>
        </w:rPr>
        <w:t xml:space="preserve">the use of the words </w:t>
      </w:r>
      <w:r>
        <w:rPr>
          <w:rFonts w:ascii="Arial" w:cs="Arial" w:eastAsia="Arial" w:hAnsi="Arial"/>
          <w:sz w:val="18"/>
          <w:szCs w:val="18"/>
          <w:b w:val="1"/>
          <w:bCs w:val="1"/>
          <w:color w:val="auto"/>
        </w:rPr>
        <w:t>“including”, “includes”</w:t>
      </w:r>
      <w:r>
        <w:rPr>
          <w:rFonts w:ascii="Arial" w:cs="Arial" w:eastAsia="Arial" w:hAnsi="Arial"/>
          <w:sz w:val="18"/>
          <w:szCs w:val="18"/>
          <w:color w:val="auto"/>
        </w:rPr>
        <w:t xml:space="preserve"> and </w:t>
      </w:r>
      <w:r>
        <w:rPr>
          <w:rFonts w:ascii="Arial" w:cs="Arial" w:eastAsia="Arial" w:hAnsi="Arial"/>
          <w:sz w:val="18"/>
          <w:szCs w:val="18"/>
          <w:b w:val="1"/>
          <w:bCs w:val="1"/>
          <w:color w:val="auto"/>
        </w:rPr>
        <w:t>“include”</w:t>
      </w:r>
      <w:r>
        <w:rPr>
          <w:rFonts w:ascii="Arial" w:cs="Arial" w:eastAsia="Arial" w:hAnsi="Arial"/>
          <w:sz w:val="18"/>
          <w:szCs w:val="18"/>
          <w:color w:val="auto"/>
        </w:rPr>
        <w:t xml:space="preserve"> followed by a specific example/s shall not be construed as limiting the meaning of the general wording preceding it and the rule of interpretation to the contrary shall not be applied in the interpretation of such general wording or such specific example/s; and</w:t>
      </w:r>
    </w:p>
    <w:p>
      <w:pPr>
        <w:spacing w:after="0" w:line="177" w:lineRule="exact"/>
        <w:rPr>
          <w:sz w:val="20"/>
          <w:szCs w:val="20"/>
          <w:color w:val="auto"/>
        </w:rPr>
      </w:pPr>
    </w:p>
    <w:p>
      <w:pPr>
        <w:jc w:val="both"/>
        <w:ind w:left="980" w:hanging="971"/>
        <w:spacing w:after="0" w:line="246" w:lineRule="auto"/>
        <w:tabs>
          <w:tab w:leader="none" w:pos="9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color w:val="auto"/>
        </w:rPr>
        <w:t>an electronic signature or an advanced electronic signature, as defined in the Electronic Communications and Transactions Act No 25 of 2002, shall not constitute a signature for any purpose in terms of this Agreement; and</w:t>
      </w:r>
    </w:p>
    <w:p>
      <w:pPr>
        <w:spacing w:after="0" w:line="183" w:lineRule="exact"/>
        <w:rPr>
          <w:sz w:val="20"/>
          <w:szCs w:val="20"/>
          <w:color w:val="auto"/>
        </w:rPr>
      </w:pPr>
    </w:p>
    <w:p>
      <w:pPr>
        <w:jc w:val="both"/>
        <w:ind w:left="980" w:hanging="971"/>
        <w:spacing w:after="0"/>
        <w:tabs>
          <w:tab w:leader="none" w:pos="9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the terms of this Agreement having been negotiated, rule of interpretation which prescribes that, in the event of ambiguity, a contract should be interpreted against the party responsible for its drafting, shall not be applied in the interpretation of this Agreement.</w:t>
      </w:r>
    </w:p>
    <w:p>
      <w:pPr>
        <w:spacing w:after="0" w:line="167"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20" w:lineRule="exact"/>
        <w:rPr>
          <w:sz w:val="20"/>
          <w:szCs w:val="20"/>
          <w:color w:val="auto"/>
        </w:rPr>
      </w:pPr>
    </w:p>
    <w:p>
      <w:pPr>
        <w:ind w:left="660"/>
        <w:spacing w:after="0" w:line="246" w:lineRule="auto"/>
        <w:rPr>
          <w:sz w:val="20"/>
          <w:szCs w:val="20"/>
          <w:color w:val="auto"/>
        </w:rPr>
      </w:pPr>
      <w:r>
        <w:rPr>
          <w:rFonts w:ascii="Arial" w:cs="Arial" w:eastAsia="Arial" w:hAnsi="Arial"/>
          <w:sz w:val="18"/>
          <w:szCs w:val="18"/>
          <w:color w:val="auto"/>
        </w:rPr>
        <w:t>The Seller has agreed to sell to the Purchaser, which has agreed to purchase, the Sale Shares on the terms and conditions of this Agreement.</w:t>
      </w:r>
    </w:p>
    <w:p>
      <w:pPr>
        <w:spacing w:after="0" w:line="161"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SUSPENSIVE CONDITIONS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color w:val="auto"/>
              </w:rPr>
              <w:t>3.1</w:t>
            </w:r>
          </w:p>
        </w:tc>
        <w:tc>
          <w:tcPr>
            <w:tcW w:w="10540" w:type="dxa"/>
            <w:vAlign w:val="bottom"/>
          </w:tcPr>
          <w:p>
            <w:pPr>
              <w:ind w:left="280"/>
              <w:spacing w:after="0"/>
              <w:rPr>
                <w:sz w:val="20"/>
                <w:szCs w:val="20"/>
                <w:color w:val="auto"/>
              </w:rPr>
            </w:pPr>
            <w:r>
              <w:rPr>
                <w:rFonts w:ascii="Arial" w:cs="Arial" w:eastAsia="Arial" w:hAnsi="Arial"/>
                <w:sz w:val="18"/>
                <w:szCs w:val="18"/>
                <w:color w:val="auto"/>
              </w:rPr>
              <w:t>This whole Agreement (other than 1, this 3 and 10 to 18 (both inclusive), by which the Parties shall be bound with effect from the</w:t>
            </w:r>
          </w:p>
        </w:tc>
      </w:tr>
      <w:tr>
        <w:trPr>
          <w:trHeight w:val="224"/>
        </w:trPr>
        <w:tc>
          <w:tcPr>
            <w:tcW w:w="700" w:type="dxa"/>
            <w:vAlign w:val="bottom"/>
          </w:tcPr>
          <w:p>
            <w:pPr>
              <w:spacing w:after="0"/>
              <w:rPr>
                <w:sz w:val="19"/>
                <w:szCs w:val="19"/>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 xml:space="preserve">Signature Date) is subject to the fulfilment of the suspensive condition </w:t>
            </w:r>
            <w:r>
              <w:rPr>
                <w:rFonts w:ascii="Arial" w:cs="Arial" w:eastAsia="Arial" w:hAnsi="Arial"/>
                <w:sz w:val="18"/>
                <w:szCs w:val="18"/>
                <w:b w:val="1"/>
                <w:bCs w:val="1"/>
                <w:color w:val="auto"/>
              </w:rPr>
              <w:t>(“Suspensive Condition”)</w:t>
            </w:r>
            <w:r>
              <w:rPr>
                <w:rFonts w:ascii="Arial" w:cs="Arial" w:eastAsia="Arial" w:hAnsi="Arial"/>
                <w:sz w:val="18"/>
                <w:szCs w:val="18"/>
                <w:color w:val="auto"/>
              </w:rPr>
              <w:t xml:space="preserve"> that on or before the Share</w:t>
            </w:r>
          </w:p>
        </w:tc>
      </w:tr>
      <w:tr>
        <w:trPr>
          <w:trHeight w:val="217"/>
        </w:trPr>
        <w:tc>
          <w:tcPr>
            <w:tcW w:w="700" w:type="dxa"/>
            <w:vAlign w:val="bottom"/>
          </w:tcPr>
          <w:p>
            <w:pPr>
              <w:spacing w:after="0"/>
              <w:rPr>
                <w:sz w:val="18"/>
                <w:szCs w:val="18"/>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Sale Date, the Parties shall have each passed the resolutions necessary to enter into this Agreement.</w:t>
            </w:r>
          </w:p>
        </w:tc>
      </w:tr>
      <w:tr>
        <w:trPr>
          <w:trHeight w:val="391"/>
        </w:trPr>
        <w:tc>
          <w:tcPr>
            <w:tcW w:w="700" w:type="dxa"/>
            <w:vAlign w:val="bottom"/>
          </w:tcPr>
          <w:p>
            <w:pPr>
              <w:spacing w:after="0"/>
              <w:rPr>
                <w:sz w:val="20"/>
                <w:szCs w:val="20"/>
                <w:color w:val="auto"/>
              </w:rPr>
            </w:pPr>
            <w:r>
              <w:rPr>
                <w:rFonts w:ascii="Arial" w:cs="Arial" w:eastAsia="Arial" w:hAnsi="Arial"/>
                <w:sz w:val="18"/>
                <w:szCs w:val="18"/>
                <w:color w:val="auto"/>
              </w:rPr>
              <w:t>3.2</w:t>
            </w:r>
          </w:p>
        </w:tc>
        <w:tc>
          <w:tcPr>
            <w:tcW w:w="10540" w:type="dxa"/>
            <w:vAlign w:val="bottom"/>
          </w:tcPr>
          <w:p>
            <w:pPr>
              <w:ind w:left="280"/>
              <w:spacing w:after="0"/>
              <w:rPr>
                <w:sz w:val="20"/>
                <w:szCs w:val="20"/>
                <w:color w:val="auto"/>
              </w:rPr>
            </w:pPr>
            <w:r>
              <w:rPr>
                <w:rFonts w:ascii="Arial" w:cs="Arial" w:eastAsia="Arial" w:hAnsi="Arial"/>
                <w:sz w:val="18"/>
                <w:szCs w:val="18"/>
                <w:color w:val="auto"/>
              </w:rPr>
              <w:t>Each Party shall use reasonable endeavours to procure the fulfilment of the Suspensive Condition as soon as practically</w:t>
            </w:r>
          </w:p>
        </w:tc>
      </w:tr>
      <w:tr>
        <w:trPr>
          <w:trHeight w:val="217"/>
        </w:trPr>
        <w:tc>
          <w:tcPr>
            <w:tcW w:w="700" w:type="dxa"/>
            <w:vAlign w:val="bottom"/>
          </w:tcPr>
          <w:p>
            <w:pPr>
              <w:spacing w:after="0"/>
              <w:rPr>
                <w:sz w:val="18"/>
                <w:szCs w:val="18"/>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possible after the Signature Date.</w:t>
            </w:r>
          </w:p>
        </w:tc>
      </w:tr>
      <w:tr>
        <w:trPr>
          <w:trHeight w:val="405"/>
        </w:trPr>
        <w:tc>
          <w:tcPr>
            <w:tcW w:w="700" w:type="dxa"/>
            <w:vAlign w:val="bottom"/>
          </w:tcPr>
          <w:p>
            <w:pPr>
              <w:spacing w:after="0"/>
              <w:rPr>
                <w:sz w:val="20"/>
                <w:szCs w:val="20"/>
                <w:color w:val="auto"/>
              </w:rPr>
            </w:pPr>
            <w:r>
              <w:rPr>
                <w:rFonts w:ascii="Arial" w:cs="Arial" w:eastAsia="Arial" w:hAnsi="Arial"/>
                <w:sz w:val="18"/>
                <w:szCs w:val="18"/>
                <w:color w:val="auto"/>
              </w:rPr>
              <w:t>3.3</w:t>
            </w:r>
          </w:p>
        </w:tc>
        <w:tc>
          <w:tcPr>
            <w:tcW w:w="10540" w:type="dxa"/>
            <w:vAlign w:val="bottom"/>
          </w:tcPr>
          <w:p>
            <w:pPr>
              <w:ind w:left="280"/>
              <w:spacing w:after="0"/>
              <w:rPr>
                <w:sz w:val="20"/>
                <w:szCs w:val="20"/>
                <w:color w:val="auto"/>
              </w:rPr>
            </w:pPr>
            <w:r>
              <w:rPr>
                <w:rFonts w:ascii="Arial" w:cs="Arial" w:eastAsia="Arial" w:hAnsi="Arial"/>
                <w:sz w:val="18"/>
                <w:szCs w:val="18"/>
                <w:color w:val="auto"/>
              </w:rPr>
              <w:t>The Suspensive Condition</w:t>
            </w:r>
            <w:r>
              <w:rPr>
                <w:rFonts w:ascii="Arial" w:cs="Arial" w:eastAsia="Arial" w:hAnsi="Arial"/>
                <w:sz w:val="18"/>
                <w:szCs w:val="18"/>
                <w:color w:val="333333"/>
              </w:rPr>
              <w:t>,</w:t>
            </w:r>
            <w:r>
              <w:rPr>
                <w:rFonts w:ascii="Arial" w:cs="Arial" w:eastAsia="Arial" w:hAnsi="Arial"/>
                <w:sz w:val="18"/>
                <w:szCs w:val="18"/>
                <w:color w:val="auto"/>
              </w:rPr>
              <w:t xml:space="preserve"> being regulatory in nature</w:t>
            </w:r>
            <w:r>
              <w:rPr>
                <w:rFonts w:ascii="Arial" w:cs="Arial" w:eastAsia="Arial" w:hAnsi="Arial"/>
                <w:sz w:val="18"/>
                <w:szCs w:val="18"/>
                <w:color w:val="333333"/>
              </w:rPr>
              <w:t>,</w:t>
            </w:r>
            <w:r>
              <w:rPr>
                <w:rFonts w:ascii="Arial" w:cs="Arial" w:eastAsia="Arial" w:hAnsi="Arial"/>
                <w:sz w:val="18"/>
                <w:szCs w:val="18"/>
                <w:color w:val="auto"/>
              </w:rPr>
              <w:t xml:space="preserve"> may not be waived</w:t>
            </w:r>
            <w:r>
              <w:rPr>
                <w:rFonts w:ascii="Arial" w:cs="Arial" w:eastAsia="Arial" w:hAnsi="Arial"/>
                <w:sz w:val="18"/>
                <w:szCs w:val="18"/>
                <w:color w:val="525252"/>
              </w:rPr>
              <w:t>.</w:t>
            </w:r>
          </w:p>
        </w:tc>
      </w:tr>
      <w:tr>
        <w:trPr>
          <w:trHeight w:val="405"/>
        </w:trPr>
        <w:tc>
          <w:tcPr>
            <w:tcW w:w="700" w:type="dxa"/>
            <w:vAlign w:val="bottom"/>
          </w:tcPr>
          <w:p>
            <w:pPr>
              <w:spacing w:after="0"/>
              <w:rPr>
                <w:sz w:val="20"/>
                <w:szCs w:val="20"/>
                <w:color w:val="auto"/>
              </w:rPr>
            </w:pPr>
            <w:r>
              <w:rPr>
                <w:rFonts w:ascii="Arial" w:cs="Arial" w:eastAsia="Arial" w:hAnsi="Arial"/>
                <w:sz w:val="18"/>
                <w:szCs w:val="18"/>
                <w:color w:val="auto"/>
              </w:rPr>
              <w:t>3.4</w:t>
            </w:r>
          </w:p>
        </w:tc>
        <w:tc>
          <w:tcPr>
            <w:tcW w:w="10540" w:type="dxa"/>
            <w:vAlign w:val="bottom"/>
          </w:tcPr>
          <w:p>
            <w:pPr>
              <w:ind w:left="280"/>
              <w:spacing w:after="0"/>
              <w:rPr>
                <w:sz w:val="20"/>
                <w:szCs w:val="20"/>
                <w:color w:val="auto"/>
              </w:rPr>
            </w:pPr>
            <w:r>
              <w:rPr>
                <w:rFonts w:ascii="Arial" w:cs="Arial" w:eastAsia="Arial" w:hAnsi="Arial"/>
                <w:sz w:val="18"/>
                <w:szCs w:val="18"/>
                <w:color w:val="auto"/>
              </w:rPr>
              <w:t>If the Suspensive Condition is not fulfilled for any reason whatever, then -</w:t>
            </w:r>
          </w:p>
        </w:tc>
      </w:tr>
      <w:tr>
        <w:trPr>
          <w:trHeight w:val="391"/>
        </w:trPr>
        <w:tc>
          <w:tcPr>
            <w:tcW w:w="700" w:type="dxa"/>
            <w:vAlign w:val="bottom"/>
          </w:tcPr>
          <w:p>
            <w:pPr>
              <w:spacing w:after="0"/>
              <w:rPr>
                <w:sz w:val="20"/>
                <w:szCs w:val="20"/>
                <w:color w:val="auto"/>
              </w:rPr>
            </w:pPr>
            <w:r>
              <w:rPr>
                <w:rFonts w:ascii="Arial" w:cs="Arial" w:eastAsia="Arial" w:hAnsi="Arial"/>
                <w:sz w:val="18"/>
                <w:szCs w:val="18"/>
                <w:color w:val="auto"/>
              </w:rPr>
              <w:t>3.4.1</w:t>
            </w:r>
          </w:p>
        </w:tc>
        <w:tc>
          <w:tcPr>
            <w:tcW w:w="10540" w:type="dxa"/>
            <w:vAlign w:val="bottom"/>
          </w:tcPr>
          <w:p>
            <w:pPr>
              <w:ind w:left="600"/>
              <w:spacing w:after="0"/>
              <w:rPr>
                <w:sz w:val="20"/>
                <w:szCs w:val="20"/>
                <w:color w:val="auto"/>
              </w:rPr>
            </w:pPr>
            <w:r>
              <w:rPr>
                <w:rFonts w:ascii="Arial" w:cs="Arial" w:eastAsia="Arial" w:hAnsi="Arial"/>
                <w:sz w:val="18"/>
                <w:szCs w:val="18"/>
                <w:color w:val="auto"/>
              </w:rPr>
              <w:t>this whole Agreement (other than 1, this 3 and 10 to 18 (both inclusive), by which the Parties shall remain bound) shall be of</w:t>
            </w:r>
          </w:p>
        </w:tc>
      </w:tr>
      <w:tr>
        <w:trPr>
          <w:trHeight w:val="217"/>
        </w:trPr>
        <w:tc>
          <w:tcPr>
            <w:tcW w:w="700" w:type="dxa"/>
            <w:vAlign w:val="bottom"/>
          </w:tcPr>
          <w:p>
            <w:pPr>
              <w:spacing w:after="0"/>
              <w:rPr>
                <w:sz w:val="18"/>
                <w:szCs w:val="18"/>
                <w:color w:val="auto"/>
              </w:rPr>
            </w:pPr>
          </w:p>
        </w:tc>
        <w:tc>
          <w:tcPr>
            <w:tcW w:w="10540" w:type="dxa"/>
            <w:vAlign w:val="bottom"/>
          </w:tcPr>
          <w:p>
            <w:pPr>
              <w:ind w:left="600"/>
              <w:spacing w:after="0"/>
              <w:rPr>
                <w:sz w:val="20"/>
                <w:szCs w:val="20"/>
                <w:color w:val="auto"/>
              </w:rPr>
            </w:pPr>
            <w:r>
              <w:rPr>
                <w:rFonts w:ascii="Arial" w:cs="Arial" w:eastAsia="Arial" w:hAnsi="Arial"/>
                <w:sz w:val="18"/>
                <w:szCs w:val="18"/>
                <w:color w:val="auto"/>
              </w:rPr>
              <w:t>no force or effect;</w:t>
            </w:r>
          </w:p>
        </w:tc>
      </w:tr>
      <w:tr>
        <w:trPr>
          <w:trHeight w:val="500"/>
        </w:trPr>
        <w:tc>
          <w:tcPr>
            <w:tcW w:w="70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tcPr>
          <w:p>
            <w:pPr>
              <w:ind w:left="1040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240"/>
          </w:cols>
          <w:pgMar w:left="320" w:top="792" w:right="339" w:bottom="1440" w:gutter="0" w:footer="0" w:header="0"/>
        </w:sectPr>
      </w:pPr>
    </w:p>
    <w:bookmarkStart w:id="29" w:name="page30"/>
    <w:bookmarkEnd w:id="2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6894830</wp:posOffset>
            </wp:positionH>
            <wp:positionV relativeFrom="page">
              <wp:posOffset>157480</wp:posOffset>
            </wp:positionV>
            <wp:extent cx="411480" cy="2660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411480" cy="2660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60" w:type="dxa"/>
            <w:vAlign w:val="bottom"/>
          </w:tcPr>
          <w:p>
            <w:pPr>
              <w:jc w:val="right"/>
              <w:ind w:right="370"/>
              <w:spacing w:after="0"/>
              <w:rPr>
                <w:sz w:val="20"/>
                <w:szCs w:val="20"/>
                <w:color w:val="auto"/>
              </w:rPr>
            </w:pPr>
            <w:r>
              <w:rPr>
                <w:rFonts w:ascii="Arial" w:cs="Arial" w:eastAsia="Arial" w:hAnsi="Arial"/>
                <w:sz w:val="18"/>
                <w:szCs w:val="18"/>
                <w:color w:val="auto"/>
                <w:w w:val="94"/>
              </w:rPr>
              <w:t>3.4.2</w:t>
            </w:r>
          </w:p>
        </w:tc>
        <w:tc>
          <w:tcPr>
            <w:tcW w:w="10380" w:type="dxa"/>
            <w:vAlign w:val="bottom"/>
          </w:tcPr>
          <w:p>
            <w:pPr>
              <w:ind w:left="440"/>
              <w:spacing w:after="0"/>
              <w:rPr>
                <w:sz w:val="20"/>
                <w:szCs w:val="20"/>
                <w:color w:val="auto"/>
              </w:rPr>
            </w:pPr>
            <w:r>
              <w:rPr>
                <w:rFonts w:ascii="Arial" w:cs="Arial" w:eastAsia="Arial" w:hAnsi="Arial"/>
                <w:sz w:val="18"/>
                <w:szCs w:val="18"/>
                <w:color w:val="auto"/>
              </w:rPr>
              <w:t>the Parties shall be entitled to be restored as near as possible to the positions in which they would have been</w:t>
            </w:r>
            <w:r>
              <w:rPr>
                <w:rFonts w:ascii="Arial" w:cs="Arial" w:eastAsia="Arial" w:hAnsi="Arial"/>
                <w:sz w:val="18"/>
                <w:szCs w:val="18"/>
                <w:color w:val="333333"/>
              </w:rPr>
              <w:t>,</w:t>
            </w:r>
            <w:r>
              <w:rPr>
                <w:rFonts w:ascii="Arial" w:cs="Arial" w:eastAsia="Arial" w:hAnsi="Arial"/>
                <w:sz w:val="18"/>
                <w:szCs w:val="18"/>
                <w:color w:val="auto"/>
              </w:rPr>
              <w:t xml:space="preserve"> had this</w:t>
            </w:r>
          </w:p>
        </w:tc>
      </w:tr>
      <w:tr>
        <w:trPr>
          <w:trHeight w:val="217"/>
        </w:trPr>
        <w:tc>
          <w:tcPr>
            <w:tcW w:w="860" w:type="dxa"/>
            <w:vAlign w:val="bottom"/>
          </w:tcPr>
          <w:p>
            <w:pPr>
              <w:spacing w:after="0"/>
              <w:rPr>
                <w:sz w:val="18"/>
                <w:szCs w:val="18"/>
                <w:color w:val="auto"/>
              </w:rPr>
            </w:pPr>
          </w:p>
        </w:tc>
        <w:tc>
          <w:tcPr>
            <w:tcW w:w="10380" w:type="dxa"/>
            <w:vAlign w:val="bottom"/>
          </w:tcPr>
          <w:p>
            <w:pPr>
              <w:ind w:left="440"/>
              <w:spacing w:after="0"/>
              <w:rPr>
                <w:sz w:val="20"/>
                <w:szCs w:val="20"/>
                <w:color w:val="auto"/>
              </w:rPr>
            </w:pPr>
            <w:r>
              <w:rPr>
                <w:rFonts w:ascii="Arial" w:cs="Arial" w:eastAsia="Arial" w:hAnsi="Arial"/>
                <w:sz w:val="18"/>
                <w:szCs w:val="18"/>
                <w:color w:val="auto"/>
              </w:rPr>
              <w:t>Agreement not been entered into; and</w:t>
            </w:r>
          </w:p>
        </w:tc>
      </w:tr>
      <w:tr>
        <w:trPr>
          <w:trHeight w:val="391"/>
        </w:trPr>
        <w:tc>
          <w:tcPr>
            <w:tcW w:w="860" w:type="dxa"/>
            <w:vAlign w:val="bottom"/>
          </w:tcPr>
          <w:p>
            <w:pPr>
              <w:jc w:val="right"/>
              <w:ind w:right="370"/>
              <w:spacing w:after="0"/>
              <w:rPr>
                <w:sz w:val="20"/>
                <w:szCs w:val="20"/>
                <w:color w:val="auto"/>
              </w:rPr>
            </w:pPr>
            <w:r>
              <w:rPr>
                <w:rFonts w:ascii="Arial" w:cs="Arial" w:eastAsia="Arial" w:hAnsi="Arial"/>
                <w:sz w:val="18"/>
                <w:szCs w:val="18"/>
                <w:color w:val="auto"/>
                <w:w w:val="94"/>
              </w:rPr>
              <w:t>3.4.3</w:t>
            </w:r>
          </w:p>
        </w:tc>
        <w:tc>
          <w:tcPr>
            <w:tcW w:w="10380" w:type="dxa"/>
            <w:vAlign w:val="bottom"/>
          </w:tcPr>
          <w:p>
            <w:pPr>
              <w:ind w:left="440"/>
              <w:spacing w:after="0"/>
              <w:rPr>
                <w:sz w:val="20"/>
                <w:szCs w:val="20"/>
                <w:color w:val="auto"/>
              </w:rPr>
            </w:pPr>
            <w:r>
              <w:rPr>
                <w:rFonts w:ascii="Arial" w:cs="Arial" w:eastAsia="Arial" w:hAnsi="Arial"/>
                <w:sz w:val="18"/>
                <w:szCs w:val="18"/>
                <w:color w:val="auto"/>
              </w:rPr>
              <w:t>neither Party shall have any claim against the other in terms of this Agreement except for such claims (if any) as may arise</w:t>
            </w:r>
          </w:p>
        </w:tc>
      </w:tr>
      <w:tr>
        <w:trPr>
          <w:trHeight w:val="217"/>
        </w:trPr>
        <w:tc>
          <w:tcPr>
            <w:tcW w:w="860" w:type="dxa"/>
            <w:vAlign w:val="bottom"/>
          </w:tcPr>
          <w:p>
            <w:pPr>
              <w:spacing w:after="0"/>
              <w:rPr>
                <w:sz w:val="18"/>
                <w:szCs w:val="18"/>
                <w:color w:val="auto"/>
              </w:rPr>
            </w:pPr>
          </w:p>
        </w:tc>
        <w:tc>
          <w:tcPr>
            <w:tcW w:w="10380" w:type="dxa"/>
            <w:vAlign w:val="bottom"/>
          </w:tcPr>
          <w:p>
            <w:pPr>
              <w:ind w:left="440"/>
              <w:spacing w:after="0"/>
              <w:rPr>
                <w:sz w:val="20"/>
                <w:szCs w:val="20"/>
                <w:color w:val="auto"/>
              </w:rPr>
            </w:pPr>
            <w:r>
              <w:rPr>
                <w:rFonts w:ascii="Arial" w:cs="Arial" w:eastAsia="Arial" w:hAnsi="Arial"/>
                <w:sz w:val="18"/>
                <w:szCs w:val="18"/>
                <w:color w:val="auto"/>
              </w:rPr>
              <w:t>from a breach of this 3 or from any other provision of this Agreement by which the Parties remain bound.</w:t>
            </w:r>
          </w:p>
        </w:tc>
      </w:tr>
    </w:tbl>
    <w:p>
      <w:pPr>
        <w:spacing w:after="0" w:line="166"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SA</w:t>
      </w:r>
      <w:r>
        <w:rPr>
          <w:rFonts w:ascii="Arial" w:cs="Arial" w:eastAsia="Arial" w:hAnsi="Arial"/>
          <w:sz w:val="18"/>
          <w:szCs w:val="18"/>
          <w:color w:val="auto"/>
        </w:rPr>
        <w:t>L</w:t>
      </w:r>
      <w:r>
        <w:rPr>
          <w:rFonts w:ascii="Arial" w:cs="Arial" w:eastAsia="Arial" w:hAnsi="Arial"/>
          <w:sz w:val="18"/>
          <w:szCs w:val="18"/>
          <w:b w:val="1"/>
          <w:bCs w:val="1"/>
          <w:color w:val="auto"/>
        </w:rPr>
        <w:t>E</w:t>
      </w:r>
    </w:p>
    <w:p>
      <w:pPr>
        <w:spacing w:after="0" w:line="220" w:lineRule="exact"/>
        <w:rPr>
          <w:sz w:val="20"/>
          <w:szCs w:val="20"/>
          <w:color w:val="auto"/>
        </w:rPr>
      </w:pPr>
    </w:p>
    <w:p>
      <w:pPr>
        <w:ind w:left="980" w:right="20" w:hanging="971"/>
        <w:spacing w:after="0" w:line="246" w:lineRule="auto"/>
        <w:tabs>
          <w:tab w:leader="none" w:pos="9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The Seller hereby agrees to sell the Sale Shares to the Purchaser, who agrees to purchase the Sale Shares, as an off-market trade, with effect from the Share Sale Date.</w:t>
      </w:r>
    </w:p>
    <w:p>
      <w:pPr>
        <w:spacing w:after="0" w:line="183" w:lineRule="exact"/>
        <w:rPr>
          <w:sz w:val="20"/>
          <w:szCs w:val="20"/>
          <w:color w:val="auto"/>
        </w:rPr>
      </w:pPr>
    </w:p>
    <w:p>
      <w:pPr>
        <w:ind w:left="980" w:hanging="971"/>
        <w:spacing w:after="0" w:line="246" w:lineRule="auto"/>
        <w:tabs>
          <w:tab w:leader="none" w:pos="9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Notwithstanding the Signature Date, all risk in and benefit attaching to the Sale Shares in terms of the Sale shall pass to the Purchaser with effect from the Share Sale Date</w:t>
      </w:r>
      <w:r>
        <w:rPr>
          <w:rFonts w:ascii="Arial" w:cs="Arial" w:eastAsia="Arial" w:hAnsi="Arial"/>
          <w:sz w:val="18"/>
          <w:szCs w:val="18"/>
          <w:color w:val="333333"/>
        </w:rPr>
        <w:t>.</w:t>
      </w:r>
    </w:p>
    <w:p>
      <w:pPr>
        <w:spacing w:after="0" w:line="161"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PURCHASE PRICE AND PAYMENT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Pr>
          <w:p>
            <w:pPr>
              <w:jc w:val="right"/>
              <w:ind w:right="270"/>
              <w:spacing w:after="0"/>
              <w:rPr>
                <w:sz w:val="20"/>
                <w:szCs w:val="20"/>
                <w:color w:val="auto"/>
              </w:rPr>
            </w:pPr>
            <w:r>
              <w:rPr>
                <w:rFonts w:ascii="Arial" w:cs="Arial" w:eastAsia="Arial" w:hAnsi="Arial"/>
                <w:sz w:val="18"/>
                <w:szCs w:val="18"/>
                <w:color w:val="auto"/>
                <w:w w:val="95"/>
              </w:rPr>
              <w:t>5.1</w:t>
            </w:r>
          </w:p>
        </w:tc>
        <w:tc>
          <w:tcPr>
            <w:tcW w:w="10620" w:type="dxa"/>
            <w:vAlign w:val="bottom"/>
          </w:tcPr>
          <w:p>
            <w:pPr>
              <w:ind w:left="360"/>
              <w:spacing w:after="0"/>
              <w:rPr>
                <w:sz w:val="20"/>
                <w:szCs w:val="20"/>
                <w:color w:val="auto"/>
              </w:rPr>
            </w:pPr>
            <w:r>
              <w:rPr>
                <w:rFonts w:ascii="Arial" w:cs="Arial" w:eastAsia="Arial" w:hAnsi="Arial"/>
                <w:sz w:val="18"/>
                <w:szCs w:val="18"/>
                <w:color w:val="auto"/>
              </w:rPr>
              <w:t>The Purchase Price that shall be payable by the Purchaser to the Seller in consideration for the Sale Shares shall be an amount</w:t>
            </w:r>
          </w:p>
        </w:tc>
      </w:tr>
      <w:tr>
        <w:trPr>
          <w:trHeight w:val="217"/>
        </w:trPr>
        <w:tc>
          <w:tcPr>
            <w:tcW w:w="620" w:type="dxa"/>
            <w:vAlign w:val="bottom"/>
          </w:tcPr>
          <w:p>
            <w:pPr>
              <w:spacing w:after="0"/>
              <w:rPr>
                <w:sz w:val="18"/>
                <w:szCs w:val="18"/>
                <w:color w:val="auto"/>
              </w:rPr>
            </w:pPr>
          </w:p>
        </w:tc>
        <w:tc>
          <w:tcPr>
            <w:tcW w:w="10620" w:type="dxa"/>
            <w:vAlign w:val="bottom"/>
          </w:tcPr>
          <w:p>
            <w:pPr>
              <w:ind w:left="360"/>
              <w:spacing w:after="0"/>
              <w:rPr>
                <w:sz w:val="20"/>
                <w:szCs w:val="20"/>
                <w:color w:val="auto"/>
              </w:rPr>
            </w:pPr>
            <w:r>
              <w:rPr>
                <w:rFonts w:ascii="Arial" w:cs="Arial" w:eastAsia="Arial" w:hAnsi="Arial"/>
                <w:sz w:val="18"/>
                <w:szCs w:val="18"/>
                <w:color w:val="auto"/>
              </w:rPr>
              <w:t>of ZAR 500.00 (five hundred) per Sale Share with an aggregate Purchase Price of ZAR 50,000,000 (fifty million).</w:t>
            </w:r>
          </w:p>
        </w:tc>
      </w:tr>
      <w:tr>
        <w:trPr>
          <w:trHeight w:val="369"/>
        </w:trPr>
        <w:tc>
          <w:tcPr>
            <w:tcW w:w="620" w:type="dxa"/>
            <w:vAlign w:val="bottom"/>
          </w:tcPr>
          <w:p>
            <w:pPr>
              <w:jc w:val="right"/>
              <w:ind w:right="270"/>
              <w:spacing w:after="0"/>
              <w:rPr>
                <w:sz w:val="20"/>
                <w:szCs w:val="20"/>
                <w:color w:val="auto"/>
              </w:rPr>
            </w:pPr>
            <w:r>
              <w:rPr>
                <w:rFonts w:ascii="Arial" w:cs="Arial" w:eastAsia="Arial" w:hAnsi="Arial"/>
                <w:sz w:val="18"/>
                <w:szCs w:val="18"/>
                <w:color w:val="auto"/>
                <w:w w:val="95"/>
              </w:rPr>
              <w:t>5.2</w:t>
            </w:r>
          </w:p>
        </w:tc>
        <w:tc>
          <w:tcPr>
            <w:tcW w:w="10620" w:type="dxa"/>
            <w:vAlign w:val="bottom"/>
          </w:tcPr>
          <w:p>
            <w:pPr>
              <w:ind w:left="360"/>
              <w:spacing w:after="0"/>
              <w:rPr>
                <w:sz w:val="20"/>
                <w:szCs w:val="20"/>
                <w:color w:val="auto"/>
              </w:rPr>
            </w:pPr>
            <w:r>
              <w:rPr>
                <w:rFonts w:ascii="Arial" w:cs="Arial" w:eastAsia="Arial" w:hAnsi="Arial"/>
                <w:sz w:val="18"/>
                <w:szCs w:val="18"/>
                <w:color w:val="auto"/>
              </w:rPr>
              <w:t>The Purchase Price shall not be payable immediately by the Purchaser and shall remain owing by the Purchaser to the Seller on</w:t>
            </w:r>
          </w:p>
        </w:tc>
      </w:tr>
      <w:tr>
        <w:trPr>
          <w:trHeight w:val="239"/>
        </w:trPr>
        <w:tc>
          <w:tcPr>
            <w:tcW w:w="620" w:type="dxa"/>
            <w:vAlign w:val="bottom"/>
          </w:tcPr>
          <w:p>
            <w:pPr>
              <w:spacing w:after="0"/>
              <w:rPr>
                <w:sz w:val="20"/>
                <w:szCs w:val="20"/>
                <w:color w:val="auto"/>
              </w:rPr>
            </w:pPr>
          </w:p>
        </w:tc>
        <w:tc>
          <w:tcPr>
            <w:tcW w:w="10620" w:type="dxa"/>
            <w:vAlign w:val="bottom"/>
          </w:tcPr>
          <w:p>
            <w:pPr>
              <w:ind w:left="360"/>
              <w:spacing w:after="0"/>
              <w:rPr>
                <w:sz w:val="20"/>
                <w:szCs w:val="20"/>
                <w:color w:val="auto"/>
              </w:rPr>
            </w:pPr>
            <w:r>
              <w:rPr>
                <w:rFonts w:ascii="Arial" w:cs="Arial" w:eastAsia="Arial" w:hAnsi="Arial"/>
                <w:sz w:val="18"/>
                <w:szCs w:val="18"/>
                <w:color w:val="auto"/>
              </w:rPr>
              <w:t xml:space="preserve">loan account </w:t>
            </w:r>
            <w:r>
              <w:rPr>
                <w:rFonts w:ascii="Arial" w:cs="Arial" w:eastAsia="Arial" w:hAnsi="Arial"/>
                <w:sz w:val="18"/>
                <w:szCs w:val="18"/>
                <w:b w:val="1"/>
                <w:bCs w:val="1"/>
                <w:color w:val="auto"/>
              </w:rPr>
              <w:t>(“Loan”).</w:t>
            </w:r>
          </w:p>
        </w:tc>
      </w:tr>
    </w:tbl>
    <w:p>
      <w:pPr>
        <w:spacing w:after="0" w:line="166"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LOAN REPAYMENT TERMS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0" w:type="dxa"/>
            <w:vAlign w:val="bottom"/>
          </w:tcPr>
          <w:p>
            <w:pPr>
              <w:jc w:val="right"/>
              <w:ind w:right="270"/>
              <w:spacing w:after="0"/>
              <w:rPr>
                <w:sz w:val="20"/>
                <w:szCs w:val="20"/>
                <w:color w:val="auto"/>
              </w:rPr>
            </w:pPr>
            <w:r>
              <w:rPr>
                <w:rFonts w:ascii="Arial" w:cs="Arial" w:eastAsia="Arial" w:hAnsi="Arial"/>
                <w:sz w:val="18"/>
                <w:szCs w:val="18"/>
                <w:color w:val="auto"/>
                <w:w w:val="95"/>
              </w:rPr>
              <w:t>6.1</w:t>
            </w:r>
          </w:p>
        </w:tc>
        <w:tc>
          <w:tcPr>
            <w:tcW w:w="10620" w:type="dxa"/>
            <w:vAlign w:val="bottom"/>
          </w:tcPr>
          <w:p>
            <w:pPr>
              <w:ind w:left="360"/>
              <w:spacing w:after="0"/>
              <w:rPr>
                <w:sz w:val="20"/>
                <w:szCs w:val="20"/>
                <w:color w:val="auto"/>
              </w:rPr>
            </w:pPr>
            <w:r>
              <w:rPr>
                <w:rFonts w:ascii="Arial" w:cs="Arial" w:eastAsia="Arial" w:hAnsi="Arial"/>
                <w:sz w:val="18"/>
                <w:szCs w:val="18"/>
                <w:color w:val="auto"/>
              </w:rPr>
              <w:t>The Loan shall not bear interest.</w:t>
            </w:r>
          </w:p>
        </w:tc>
      </w:tr>
      <w:tr>
        <w:trPr>
          <w:trHeight w:val="369"/>
        </w:trPr>
        <w:tc>
          <w:tcPr>
            <w:tcW w:w="620" w:type="dxa"/>
            <w:vAlign w:val="bottom"/>
          </w:tcPr>
          <w:p>
            <w:pPr>
              <w:jc w:val="right"/>
              <w:ind w:right="270"/>
              <w:spacing w:after="0"/>
              <w:rPr>
                <w:sz w:val="20"/>
                <w:szCs w:val="20"/>
                <w:color w:val="auto"/>
              </w:rPr>
            </w:pPr>
            <w:r>
              <w:rPr>
                <w:rFonts w:ascii="Arial" w:cs="Arial" w:eastAsia="Arial" w:hAnsi="Arial"/>
                <w:sz w:val="18"/>
                <w:szCs w:val="18"/>
                <w:color w:val="auto"/>
                <w:w w:val="95"/>
              </w:rPr>
              <w:t>6.2</w:t>
            </w:r>
          </w:p>
        </w:tc>
        <w:tc>
          <w:tcPr>
            <w:tcW w:w="10620" w:type="dxa"/>
            <w:vAlign w:val="bottom"/>
          </w:tcPr>
          <w:p>
            <w:pPr>
              <w:ind w:left="360"/>
              <w:spacing w:after="0"/>
              <w:rPr>
                <w:sz w:val="20"/>
                <w:szCs w:val="20"/>
                <w:color w:val="auto"/>
              </w:rPr>
            </w:pPr>
            <w:r>
              <w:rPr>
                <w:rFonts w:ascii="Arial" w:cs="Arial" w:eastAsia="Arial" w:hAnsi="Arial"/>
                <w:sz w:val="18"/>
                <w:szCs w:val="18"/>
                <w:color w:val="auto"/>
              </w:rPr>
              <w:t>The Purchaser shall utilise a minimum of 20% of all dividends received by the Purchaser in respect of the Sale Shares following</w:t>
            </w:r>
          </w:p>
        </w:tc>
      </w:tr>
      <w:tr>
        <w:trPr>
          <w:trHeight w:val="203"/>
        </w:trPr>
        <w:tc>
          <w:tcPr>
            <w:tcW w:w="620" w:type="dxa"/>
            <w:vAlign w:val="bottom"/>
          </w:tcPr>
          <w:p>
            <w:pPr>
              <w:spacing w:after="0"/>
              <w:rPr>
                <w:sz w:val="17"/>
                <w:szCs w:val="17"/>
                <w:color w:val="auto"/>
              </w:rPr>
            </w:pPr>
          </w:p>
        </w:tc>
        <w:tc>
          <w:tcPr>
            <w:tcW w:w="10620" w:type="dxa"/>
            <w:vAlign w:val="bottom"/>
          </w:tcPr>
          <w:p>
            <w:pPr>
              <w:ind w:left="360"/>
              <w:spacing w:after="0" w:line="202" w:lineRule="exact"/>
              <w:rPr>
                <w:sz w:val="20"/>
                <w:szCs w:val="20"/>
                <w:color w:val="auto"/>
              </w:rPr>
            </w:pPr>
            <w:r>
              <w:rPr>
                <w:rFonts w:ascii="Arial" w:cs="Arial" w:eastAsia="Arial" w:hAnsi="Arial"/>
                <w:sz w:val="18"/>
                <w:szCs w:val="18"/>
                <w:color w:val="auto"/>
              </w:rPr>
              <w:t xml:space="preserve">the Share Sale Date </w:t>
            </w:r>
            <w:r>
              <w:rPr>
                <w:rFonts w:ascii="Arial" w:cs="Arial" w:eastAsia="Arial" w:hAnsi="Arial"/>
                <w:sz w:val="18"/>
                <w:szCs w:val="18"/>
                <w:b w:val="1"/>
                <w:bCs w:val="1"/>
                <w:color w:val="auto"/>
              </w:rPr>
              <w:t>(“Dividend”)</w:t>
            </w:r>
            <w:r>
              <w:rPr>
                <w:rFonts w:ascii="Arial" w:cs="Arial" w:eastAsia="Arial" w:hAnsi="Arial"/>
                <w:sz w:val="18"/>
                <w:szCs w:val="18"/>
                <w:color w:val="auto"/>
              </w:rPr>
              <w:t xml:space="preserve"> to repay the Loan until such a time as the Loan has been repaid in full </w:t>
            </w:r>
            <w:r>
              <w:rPr>
                <w:rFonts w:ascii="Arial" w:cs="Arial" w:eastAsia="Arial" w:hAnsi="Arial"/>
                <w:sz w:val="18"/>
                <w:szCs w:val="18"/>
                <w:b w:val="1"/>
                <w:bCs w:val="1"/>
                <w:color w:val="auto"/>
              </w:rPr>
              <w:t>(“Dividend</w:t>
            </w:r>
          </w:p>
        </w:tc>
      </w:tr>
      <w:tr>
        <w:trPr>
          <w:trHeight w:val="239"/>
        </w:trPr>
        <w:tc>
          <w:tcPr>
            <w:tcW w:w="620" w:type="dxa"/>
            <w:vAlign w:val="bottom"/>
          </w:tcPr>
          <w:p>
            <w:pPr>
              <w:spacing w:after="0"/>
              <w:rPr>
                <w:sz w:val="20"/>
                <w:szCs w:val="20"/>
                <w:color w:val="auto"/>
              </w:rPr>
            </w:pPr>
          </w:p>
        </w:tc>
        <w:tc>
          <w:tcPr>
            <w:tcW w:w="10620" w:type="dxa"/>
            <w:vAlign w:val="bottom"/>
          </w:tcPr>
          <w:p>
            <w:pPr>
              <w:ind w:left="360"/>
              <w:spacing w:after="0"/>
              <w:rPr>
                <w:sz w:val="20"/>
                <w:szCs w:val="20"/>
                <w:color w:val="auto"/>
              </w:rPr>
            </w:pPr>
            <w:r>
              <w:rPr>
                <w:rFonts w:ascii="Arial" w:cs="Arial" w:eastAsia="Arial" w:hAnsi="Arial"/>
                <w:sz w:val="18"/>
                <w:szCs w:val="18"/>
                <w:b w:val="1"/>
                <w:bCs w:val="1"/>
                <w:color w:val="auto"/>
              </w:rPr>
              <w:t xml:space="preserve">Repayment”). </w:t>
            </w:r>
            <w:r>
              <w:rPr>
                <w:rFonts w:ascii="Arial" w:cs="Arial" w:eastAsia="Arial" w:hAnsi="Arial"/>
                <w:sz w:val="18"/>
                <w:szCs w:val="18"/>
                <w:color w:val="auto"/>
              </w:rPr>
              <w:t>The Dividend Repayment shall be paid to the Seller within five Business Days of receipt of the Dividend.</w:t>
            </w:r>
          </w:p>
        </w:tc>
      </w:tr>
      <w:tr>
        <w:trPr>
          <w:trHeight w:val="499"/>
        </w:trPr>
        <w:tc>
          <w:tcPr>
            <w:tcW w:w="620" w:type="dxa"/>
            <w:vAlign w:val="bottom"/>
            <w:tcBorders>
              <w:bottom w:val="single" w:sz="8" w:color="auto"/>
            </w:tcBorders>
          </w:tcPr>
          <w:p>
            <w:pPr>
              <w:spacing w:after="0"/>
              <w:rPr>
                <w:sz w:val="24"/>
                <w:szCs w:val="24"/>
                <w:color w:val="auto"/>
              </w:rPr>
            </w:pPr>
          </w:p>
        </w:tc>
        <w:tc>
          <w:tcPr>
            <w:tcW w:w="10620" w:type="dxa"/>
            <w:vAlign w:val="bottom"/>
            <w:tcBorders>
              <w:bottom w:val="single" w:sz="8" w:color="auto"/>
            </w:tcBorders>
          </w:tcPr>
          <w:p>
            <w:pPr>
              <w:ind w:left="10480"/>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240"/>
          </w:cols>
          <w:pgMar w:left="320" w:top="809" w:right="339" w:bottom="1440" w:gutter="0" w:footer="0" w:header="0"/>
        </w:sectPr>
      </w:pPr>
    </w:p>
    <w:bookmarkStart w:id="30" w:name="page31"/>
    <w:bookmarkEnd w:id="3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6894830</wp:posOffset>
            </wp:positionH>
            <wp:positionV relativeFrom="page">
              <wp:posOffset>157480</wp:posOffset>
            </wp:positionV>
            <wp:extent cx="411480" cy="2660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411480" cy="2660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color w:val="auto"/>
              </w:rPr>
              <w:t>6.3</w:t>
            </w:r>
          </w:p>
        </w:tc>
        <w:tc>
          <w:tcPr>
            <w:tcW w:w="10540" w:type="dxa"/>
            <w:vAlign w:val="bottom"/>
          </w:tcPr>
          <w:p>
            <w:pPr>
              <w:ind w:left="280"/>
              <w:spacing w:after="0"/>
              <w:rPr>
                <w:sz w:val="20"/>
                <w:szCs w:val="20"/>
                <w:color w:val="auto"/>
              </w:rPr>
            </w:pPr>
            <w:r>
              <w:rPr>
                <w:rFonts w:ascii="Arial" w:cs="Arial" w:eastAsia="Arial" w:hAnsi="Arial"/>
                <w:sz w:val="18"/>
                <w:szCs w:val="18"/>
                <w:color w:val="auto"/>
              </w:rPr>
              <w:t>Notwithstanding the provisions of 6.2, the outstanding balance of the Loan at any time shall be repayable on demand by no later</w:t>
            </w:r>
          </w:p>
        </w:tc>
      </w:tr>
      <w:tr>
        <w:trPr>
          <w:trHeight w:val="217"/>
        </w:trPr>
        <w:tc>
          <w:tcPr>
            <w:tcW w:w="700" w:type="dxa"/>
            <w:vAlign w:val="bottom"/>
          </w:tcPr>
          <w:p>
            <w:pPr>
              <w:spacing w:after="0"/>
              <w:rPr>
                <w:sz w:val="18"/>
                <w:szCs w:val="18"/>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than -</w:t>
            </w:r>
          </w:p>
        </w:tc>
      </w:tr>
      <w:tr>
        <w:trPr>
          <w:trHeight w:val="405"/>
        </w:trPr>
        <w:tc>
          <w:tcPr>
            <w:tcW w:w="700" w:type="dxa"/>
            <w:vAlign w:val="bottom"/>
          </w:tcPr>
          <w:p>
            <w:pPr>
              <w:spacing w:after="0"/>
              <w:rPr>
                <w:sz w:val="20"/>
                <w:szCs w:val="20"/>
                <w:color w:val="auto"/>
              </w:rPr>
            </w:pPr>
            <w:r>
              <w:rPr>
                <w:rFonts w:ascii="Arial" w:cs="Arial" w:eastAsia="Arial" w:hAnsi="Arial"/>
                <w:sz w:val="18"/>
                <w:szCs w:val="18"/>
                <w:color w:val="auto"/>
              </w:rPr>
              <w:t>6.3.1</w:t>
            </w:r>
          </w:p>
        </w:tc>
        <w:tc>
          <w:tcPr>
            <w:tcW w:w="10540" w:type="dxa"/>
            <w:vAlign w:val="bottom"/>
          </w:tcPr>
          <w:p>
            <w:pPr>
              <w:ind w:left="600"/>
              <w:spacing w:after="0"/>
              <w:rPr>
                <w:sz w:val="20"/>
                <w:szCs w:val="20"/>
                <w:color w:val="auto"/>
              </w:rPr>
            </w:pPr>
            <w:r>
              <w:rPr>
                <w:rFonts w:ascii="Arial" w:cs="Arial" w:eastAsia="Arial" w:hAnsi="Arial"/>
                <w:sz w:val="18"/>
                <w:szCs w:val="18"/>
                <w:color w:val="auto"/>
              </w:rPr>
              <w:t>ten Business Days following the date of receipt of the Repayment Notice by the Purchaser; or</w:t>
            </w:r>
          </w:p>
        </w:tc>
      </w:tr>
      <w:tr>
        <w:trPr>
          <w:trHeight w:val="405"/>
        </w:trPr>
        <w:tc>
          <w:tcPr>
            <w:tcW w:w="700" w:type="dxa"/>
            <w:vAlign w:val="bottom"/>
          </w:tcPr>
          <w:p>
            <w:pPr>
              <w:spacing w:after="0"/>
              <w:rPr>
                <w:sz w:val="20"/>
                <w:szCs w:val="20"/>
                <w:color w:val="auto"/>
              </w:rPr>
            </w:pPr>
            <w:r>
              <w:rPr>
                <w:rFonts w:ascii="Arial" w:cs="Arial" w:eastAsia="Arial" w:hAnsi="Arial"/>
                <w:sz w:val="18"/>
                <w:szCs w:val="18"/>
                <w:color w:val="auto"/>
              </w:rPr>
              <w:t>6.3.2</w:t>
            </w:r>
          </w:p>
        </w:tc>
        <w:tc>
          <w:tcPr>
            <w:tcW w:w="10540" w:type="dxa"/>
            <w:vAlign w:val="bottom"/>
          </w:tcPr>
          <w:p>
            <w:pPr>
              <w:ind w:left="600"/>
              <w:spacing w:after="0"/>
              <w:rPr>
                <w:sz w:val="20"/>
                <w:szCs w:val="20"/>
                <w:color w:val="auto"/>
              </w:rPr>
            </w:pPr>
            <w:r>
              <w:rPr>
                <w:rFonts w:ascii="Arial" w:cs="Arial" w:eastAsia="Arial" w:hAnsi="Arial"/>
                <w:sz w:val="18"/>
                <w:szCs w:val="18"/>
                <w:color w:val="auto"/>
              </w:rPr>
              <w:t>one Business Day following the sale by the Purchaser of the Sale Shares.</w:t>
            </w:r>
          </w:p>
        </w:tc>
      </w:tr>
      <w:tr>
        <w:trPr>
          <w:trHeight w:val="405"/>
        </w:trPr>
        <w:tc>
          <w:tcPr>
            <w:tcW w:w="700" w:type="dxa"/>
            <w:vAlign w:val="bottom"/>
          </w:tcPr>
          <w:p>
            <w:pPr>
              <w:spacing w:after="0"/>
              <w:rPr>
                <w:sz w:val="20"/>
                <w:szCs w:val="20"/>
                <w:color w:val="auto"/>
              </w:rPr>
            </w:pPr>
            <w:r>
              <w:rPr>
                <w:rFonts w:ascii="Arial" w:cs="Arial" w:eastAsia="Arial" w:hAnsi="Arial"/>
                <w:sz w:val="18"/>
                <w:szCs w:val="18"/>
                <w:color w:val="auto"/>
              </w:rPr>
              <w:t>6.3.3</w:t>
            </w:r>
          </w:p>
        </w:tc>
        <w:tc>
          <w:tcPr>
            <w:tcW w:w="10540" w:type="dxa"/>
            <w:vAlign w:val="bottom"/>
          </w:tcPr>
          <w:p>
            <w:pPr>
              <w:ind w:left="600"/>
              <w:spacing w:after="0"/>
              <w:rPr>
                <w:sz w:val="20"/>
                <w:szCs w:val="20"/>
                <w:color w:val="auto"/>
              </w:rPr>
            </w:pPr>
            <w:r>
              <w:rPr>
                <w:rFonts w:ascii="Arial" w:cs="Arial" w:eastAsia="Arial" w:hAnsi="Arial"/>
                <w:sz w:val="18"/>
                <w:szCs w:val="18"/>
                <w:color w:val="auto"/>
              </w:rPr>
              <w:t>The Purchaser shall be entitled to voluntarily repay any portion of the outstanding balance of the Loan at any time.</w:t>
            </w:r>
          </w:p>
        </w:tc>
      </w:tr>
    </w:tbl>
    <w:p>
      <w:pPr>
        <w:spacing w:after="0" w:line="166"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BORROWER UNDERTAKING</w:t>
      </w:r>
    </w:p>
    <w:p>
      <w:pPr>
        <w:spacing w:after="0" w:line="220" w:lineRule="exact"/>
        <w:rPr>
          <w:sz w:val="20"/>
          <w:szCs w:val="20"/>
          <w:color w:val="auto"/>
        </w:rPr>
      </w:pPr>
    </w:p>
    <w:p>
      <w:pPr>
        <w:ind w:left="660" w:right="20"/>
        <w:spacing w:after="0" w:line="246" w:lineRule="auto"/>
        <w:rPr>
          <w:sz w:val="20"/>
          <w:szCs w:val="20"/>
          <w:color w:val="auto"/>
        </w:rPr>
      </w:pPr>
      <w:r>
        <w:rPr>
          <w:rFonts w:ascii="Arial" w:cs="Arial" w:eastAsia="Arial" w:hAnsi="Arial"/>
          <w:sz w:val="18"/>
          <w:szCs w:val="18"/>
          <w:color w:val="auto"/>
        </w:rPr>
        <w:t>On each anniversary of the Share Sale Date, the Purchaser shall deliver to the Seller an acknowledgement in a form substantially similar to the specimen attached hereto as Annexure A.</w:t>
      </w:r>
    </w:p>
    <w:p>
      <w:pPr>
        <w:spacing w:after="0" w:line="161"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CLOSING</w:t>
      </w:r>
    </w:p>
    <w:p>
      <w:pPr>
        <w:spacing w:after="0" w:line="220" w:lineRule="exact"/>
        <w:rPr>
          <w:sz w:val="20"/>
          <w:szCs w:val="20"/>
          <w:color w:val="auto"/>
        </w:rPr>
      </w:pPr>
    </w:p>
    <w:p>
      <w:pPr>
        <w:ind w:left="660"/>
        <w:spacing w:after="0" w:line="246" w:lineRule="auto"/>
        <w:rPr>
          <w:sz w:val="20"/>
          <w:szCs w:val="20"/>
          <w:color w:val="auto"/>
        </w:rPr>
      </w:pPr>
      <w:r>
        <w:rPr>
          <w:rFonts w:ascii="Arial" w:cs="Arial" w:eastAsia="Arial" w:hAnsi="Arial"/>
          <w:sz w:val="18"/>
          <w:szCs w:val="18"/>
          <w:color w:val="auto"/>
        </w:rPr>
        <w:t>Prior to the Share Sale Date, the Parties shall procure that the necessary instructions are issued to their respective CSDPs so as to transfer the Sale Shares from the Seller to the Purchaser as contemplated in this Agreement.</w:t>
      </w:r>
    </w:p>
    <w:p>
      <w:pPr>
        <w:spacing w:after="0" w:line="161"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WARRANTIES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0" w:type="dxa"/>
            <w:vAlign w:val="bottom"/>
          </w:tcPr>
          <w:p>
            <w:pPr>
              <w:spacing w:after="0"/>
              <w:rPr>
                <w:sz w:val="20"/>
                <w:szCs w:val="20"/>
                <w:color w:val="auto"/>
              </w:rPr>
            </w:pPr>
            <w:r>
              <w:rPr>
                <w:rFonts w:ascii="Arial" w:cs="Arial" w:eastAsia="Arial" w:hAnsi="Arial"/>
                <w:sz w:val="18"/>
                <w:szCs w:val="18"/>
                <w:color w:val="auto"/>
              </w:rPr>
              <w:t>9.1</w:t>
            </w:r>
          </w:p>
        </w:tc>
        <w:tc>
          <w:tcPr>
            <w:tcW w:w="10480" w:type="dxa"/>
            <w:vAlign w:val="bottom"/>
          </w:tcPr>
          <w:p>
            <w:pPr>
              <w:ind w:left="220"/>
              <w:spacing w:after="0"/>
              <w:rPr>
                <w:sz w:val="20"/>
                <w:szCs w:val="20"/>
                <w:color w:val="auto"/>
              </w:rPr>
            </w:pPr>
            <w:r>
              <w:rPr>
                <w:rFonts w:ascii="Arial" w:cs="Arial" w:eastAsia="Arial" w:hAnsi="Arial"/>
                <w:sz w:val="18"/>
                <w:szCs w:val="18"/>
                <w:color w:val="auto"/>
              </w:rPr>
              <w:t>The Seller warrants and represents to the Purchaser that as at the –</w:t>
            </w:r>
          </w:p>
        </w:tc>
      </w:tr>
      <w:tr>
        <w:trPr>
          <w:trHeight w:val="405"/>
        </w:trPr>
        <w:tc>
          <w:tcPr>
            <w:tcW w:w="760" w:type="dxa"/>
            <w:vAlign w:val="bottom"/>
          </w:tcPr>
          <w:p>
            <w:pPr>
              <w:spacing w:after="0"/>
              <w:rPr>
                <w:sz w:val="20"/>
                <w:szCs w:val="20"/>
                <w:color w:val="auto"/>
              </w:rPr>
            </w:pPr>
            <w:r>
              <w:rPr>
                <w:rFonts w:ascii="Arial" w:cs="Arial" w:eastAsia="Arial" w:hAnsi="Arial"/>
                <w:sz w:val="18"/>
                <w:szCs w:val="18"/>
                <w:color w:val="auto"/>
              </w:rPr>
              <w:t>9.1.1</w:t>
            </w:r>
          </w:p>
        </w:tc>
        <w:tc>
          <w:tcPr>
            <w:tcW w:w="10480" w:type="dxa"/>
            <w:vAlign w:val="bottom"/>
          </w:tcPr>
          <w:p>
            <w:pPr>
              <w:ind w:left="540"/>
              <w:spacing w:after="0"/>
              <w:rPr>
                <w:sz w:val="20"/>
                <w:szCs w:val="20"/>
                <w:color w:val="auto"/>
              </w:rPr>
            </w:pPr>
            <w:r>
              <w:rPr>
                <w:rFonts w:ascii="Arial" w:cs="Arial" w:eastAsia="Arial" w:hAnsi="Arial"/>
                <w:sz w:val="18"/>
                <w:szCs w:val="18"/>
                <w:color w:val="auto"/>
              </w:rPr>
              <w:t>Signature Date and the Share Sale Date (and the entire period between those dates) -</w:t>
            </w:r>
          </w:p>
        </w:tc>
      </w:tr>
      <w:tr>
        <w:trPr>
          <w:trHeight w:val="405"/>
        </w:trPr>
        <w:tc>
          <w:tcPr>
            <w:tcW w:w="760" w:type="dxa"/>
            <w:vAlign w:val="bottom"/>
          </w:tcPr>
          <w:p>
            <w:pPr>
              <w:spacing w:after="0"/>
              <w:rPr>
                <w:sz w:val="20"/>
                <w:szCs w:val="20"/>
                <w:color w:val="auto"/>
              </w:rPr>
            </w:pPr>
            <w:r>
              <w:rPr>
                <w:rFonts w:ascii="Arial" w:cs="Arial" w:eastAsia="Arial" w:hAnsi="Arial"/>
                <w:sz w:val="18"/>
                <w:szCs w:val="18"/>
                <w:color w:val="auto"/>
              </w:rPr>
              <w:t>9.1.1.1</w:t>
            </w:r>
          </w:p>
        </w:tc>
        <w:tc>
          <w:tcPr>
            <w:tcW w:w="10480" w:type="dxa"/>
            <w:vAlign w:val="bottom"/>
          </w:tcPr>
          <w:p>
            <w:pPr>
              <w:ind w:left="860"/>
              <w:spacing w:after="0"/>
              <w:rPr>
                <w:sz w:val="20"/>
                <w:szCs w:val="20"/>
                <w:color w:val="auto"/>
              </w:rPr>
            </w:pPr>
            <w:r>
              <w:rPr>
                <w:rFonts w:ascii="Arial" w:cs="Arial" w:eastAsia="Arial" w:hAnsi="Arial"/>
                <w:sz w:val="18"/>
                <w:szCs w:val="18"/>
                <w:color w:val="auto"/>
              </w:rPr>
              <w:t>it is the sole beneficial owner and registered holder of the Sale Shares;</w:t>
            </w:r>
          </w:p>
        </w:tc>
      </w:tr>
      <w:tr>
        <w:trPr>
          <w:trHeight w:val="391"/>
        </w:trPr>
        <w:tc>
          <w:tcPr>
            <w:tcW w:w="760" w:type="dxa"/>
            <w:vAlign w:val="bottom"/>
          </w:tcPr>
          <w:p>
            <w:pPr>
              <w:spacing w:after="0"/>
              <w:rPr>
                <w:sz w:val="20"/>
                <w:szCs w:val="20"/>
                <w:color w:val="auto"/>
              </w:rPr>
            </w:pPr>
            <w:r>
              <w:rPr>
                <w:rFonts w:ascii="Arial" w:cs="Arial" w:eastAsia="Arial" w:hAnsi="Arial"/>
                <w:sz w:val="18"/>
                <w:szCs w:val="18"/>
                <w:color w:val="auto"/>
              </w:rPr>
              <w:t>9.1.1.2</w:t>
            </w:r>
          </w:p>
        </w:tc>
        <w:tc>
          <w:tcPr>
            <w:tcW w:w="10480" w:type="dxa"/>
            <w:vAlign w:val="bottom"/>
          </w:tcPr>
          <w:p>
            <w:pPr>
              <w:ind w:left="860"/>
              <w:spacing w:after="0"/>
              <w:rPr>
                <w:sz w:val="20"/>
                <w:szCs w:val="20"/>
                <w:color w:val="auto"/>
              </w:rPr>
            </w:pPr>
            <w:r>
              <w:rPr>
                <w:rFonts w:ascii="Arial" w:cs="Arial" w:eastAsia="Arial" w:hAnsi="Arial"/>
                <w:sz w:val="18"/>
                <w:szCs w:val="18"/>
                <w:color w:val="auto"/>
              </w:rPr>
              <w:t>no person, other than the Purchaser, shall have any right (including any option or right of first refusal) to acquire any of</w:t>
            </w:r>
          </w:p>
        </w:tc>
      </w:tr>
      <w:tr>
        <w:trPr>
          <w:trHeight w:val="217"/>
        </w:trPr>
        <w:tc>
          <w:tcPr>
            <w:tcW w:w="760" w:type="dxa"/>
            <w:vAlign w:val="bottom"/>
          </w:tcPr>
          <w:p>
            <w:pPr>
              <w:spacing w:after="0"/>
              <w:rPr>
                <w:sz w:val="18"/>
                <w:szCs w:val="18"/>
                <w:color w:val="auto"/>
              </w:rPr>
            </w:pPr>
          </w:p>
        </w:tc>
        <w:tc>
          <w:tcPr>
            <w:tcW w:w="10480" w:type="dxa"/>
            <w:vAlign w:val="bottom"/>
          </w:tcPr>
          <w:p>
            <w:pPr>
              <w:ind w:left="860"/>
              <w:spacing w:after="0"/>
              <w:rPr>
                <w:sz w:val="20"/>
                <w:szCs w:val="20"/>
                <w:color w:val="auto"/>
              </w:rPr>
            </w:pPr>
            <w:r>
              <w:rPr>
                <w:rFonts w:ascii="Arial" w:cs="Arial" w:eastAsia="Arial" w:hAnsi="Arial"/>
                <w:sz w:val="18"/>
                <w:szCs w:val="18"/>
                <w:color w:val="auto"/>
              </w:rPr>
              <w:t>the Sale Shares owned and held by it;</w:t>
            </w:r>
          </w:p>
        </w:tc>
      </w:tr>
      <w:tr>
        <w:trPr>
          <w:trHeight w:val="499"/>
        </w:trPr>
        <w:tc>
          <w:tcPr>
            <w:tcW w:w="760" w:type="dxa"/>
            <w:vAlign w:val="bottom"/>
            <w:tcBorders>
              <w:bottom w:val="single" w:sz="8" w:color="auto"/>
            </w:tcBorders>
          </w:tcPr>
          <w:p>
            <w:pPr>
              <w:spacing w:after="0"/>
              <w:rPr>
                <w:sz w:val="24"/>
                <w:szCs w:val="24"/>
                <w:color w:val="auto"/>
              </w:rPr>
            </w:pPr>
          </w:p>
        </w:tc>
        <w:tc>
          <w:tcPr>
            <w:tcW w:w="10480" w:type="dxa"/>
            <w:vAlign w:val="bottom"/>
            <w:tcBorders>
              <w:bottom w:val="single" w:sz="8" w:color="auto"/>
            </w:tcBorders>
          </w:tcPr>
          <w:p>
            <w:pPr>
              <w:ind w:left="1034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240"/>
          </w:cols>
          <w:pgMar w:left="320" w:top="809" w:right="339" w:bottom="1440" w:gutter="0" w:footer="0" w:header="0"/>
        </w:sectPr>
      </w:pPr>
    </w:p>
    <w:bookmarkStart w:id="31" w:name="page32"/>
    <w:bookmarkEnd w:id="3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6894830</wp:posOffset>
            </wp:positionH>
            <wp:positionV relativeFrom="page">
              <wp:posOffset>157480</wp:posOffset>
            </wp:positionV>
            <wp:extent cx="411480" cy="2660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411480" cy="2660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color w:val="auto"/>
              </w:rPr>
              <w:t>9.1.1.3</w:t>
            </w:r>
          </w:p>
        </w:tc>
        <w:tc>
          <w:tcPr>
            <w:tcW w:w="10480" w:type="dxa"/>
            <w:vAlign w:val="bottom"/>
          </w:tcPr>
          <w:p>
            <w:pPr>
              <w:jc w:val="right"/>
              <w:spacing w:after="0"/>
              <w:rPr>
                <w:sz w:val="20"/>
                <w:szCs w:val="20"/>
                <w:color w:val="auto"/>
              </w:rPr>
            </w:pPr>
            <w:r>
              <w:rPr>
                <w:rFonts w:ascii="Arial" w:cs="Arial" w:eastAsia="Arial" w:hAnsi="Arial"/>
                <w:sz w:val="18"/>
                <w:szCs w:val="18"/>
                <w:color w:val="auto"/>
              </w:rPr>
              <w:t>none of the Sale Shares owned and held by it have been sold, alienated, donated or otherwise disposed of or</w:t>
            </w:r>
          </w:p>
        </w:tc>
      </w:tr>
      <w:tr>
        <w:trPr>
          <w:trHeight w:val="217"/>
        </w:trPr>
        <w:tc>
          <w:tcPr>
            <w:tcW w:w="760" w:type="dxa"/>
            <w:vAlign w:val="bottom"/>
          </w:tcPr>
          <w:p>
            <w:pPr>
              <w:spacing w:after="0"/>
              <w:rPr>
                <w:sz w:val="18"/>
                <w:szCs w:val="18"/>
                <w:color w:val="auto"/>
              </w:rPr>
            </w:pPr>
          </w:p>
        </w:tc>
        <w:tc>
          <w:tcPr>
            <w:tcW w:w="10480" w:type="dxa"/>
            <w:vAlign w:val="bottom"/>
          </w:tcPr>
          <w:p>
            <w:pPr>
              <w:ind w:left="860"/>
              <w:spacing w:after="0"/>
              <w:rPr>
                <w:sz w:val="20"/>
                <w:szCs w:val="20"/>
                <w:color w:val="auto"/>
              </w:rPr>
            </w:pPr>
            <w:r>
              <w:rPr>
                <w:rFonts w:ascii="Arial" w:cs="Arial" w:eastAsia="Arial" w:hAnsi="Arial"/>
                <w:sz w:val="18"/>
                <w:szCs w:val="18"/>
                <w:color w:val="auto"/>
              </w:rPr>
              <w:t>transferred to any other person; and</w:t>
            </w:r>
          </w:p>
        </w:tc>
      </w:tr>
      <w:tr>
        <w:trPr>
          <w:trHeight w:val="391"/>
        </w:trPr>
        <w:tc>
          <w:tcPr>
            <w:tcW w:w="760" w:type="dxa"/>
            <w:vAlign w:val="bottom"/>
          </w:tcPr>
          <w:p>
            <w:pPr>
              <w:spacing w:after="0"/>
              <w:rPr>
                <w:sz w:val="20"/>
                <w:szCs w:val="20"/>
                <w:color w:val="auto"/>
              </w:rPr>
            </w:pPr>
            <w:r>
              <w:rPr>
                <w:rFonts w:ascii="Arial" w:cs="Arial" w:eastAsia="Arial" w:hAnsi="Arial"/>
                <w:sz w:val="18"/>
                <w:szCs w:val="18"/>
                <w:color w:val="auto"/>
              </w:rPr>
              <w:t>9.1.1.4</w:t>
            </w:r>
          </w:p>
        </w:tc>
        <w:tc>
          <w:tcPr>
            <w:tcW w:w="10480" w:type="dxa"/>
            <w:vAlign w:val="bottom"/>
          </w:tcPr>
          <w:p>
            <w:pPr>
              <w:jc w:val="right"/>
              <w:spacing w:after="0"/>
              <w:rPr>
                <w:sz w:val="20"/>
                <w:szCs w:val="20"/>
                <w:color w:val="auto"/>
              </w:rPr>
            </w:pPr>
            <w:r>
              <w:rPr>
                <w:rFonts w:ascii="Arial" w:cs="Arial" w:eastAsia="Arial" w:hAnsi="Arial"/>
                <w:sz w:val="18"/>
                <w:szCs w:val="18"/>
                <w:color w:val="auto"/>
              </w:rPr>
              <w:t xml:space="preserve">no impediment exists to giving free and unencumbered title to the Sale Shares owned and held by </w:t>
            </w:r>
            <w:r>
              <w:rPr>
                <w:rFonts w:ascii="Arial" w:cs="Arial" w:eastAsia="Arial" w:hAnsi="Arial"/>
                <w:sz w:val="18"/>
                <w:szCs w:val="18"/>
                <w:color w:val="262626"/>
              </w:rPr>
              <w:t>it</w:t>
            </w:r>
            <w:r>
              <w:rPr>
                <w:rFonts w:ascii="Arial" w:cs="Arial" w:eastAsia="Arial" w:hAnsi="Arial"/>
                <w:sz w:val="18"/>
                <w:szCs w:val="18"/>
                <w:color w:val="auto"/>
              </w:rPr>
              <w:t xml:space="preserve"> to the Purchaser as</w:t>
            </w:r>
          </w:p>
        </w:tc>
      </w:tr>
      <w:tr>
        <w:trPr>
          <w:trHeight w:val="217"/>
        </w:trPr>
        <w:tc>
          <w:tcPr>
            <w:tcW w:w="760" w:type="dxa"/>
            <w:vAlign w:val="bottom"/>
          </w:tcPr>
          <w:p>
            <w:pPr>
              <w:spacing w:after="0"/>
              <w:rPr>
                <w:sz w:val="18"/>
                <w:szCs w:val="18"/>
                <w:color w:val="auto"/>
              </w:rPr>
            </w:pPr>
          </w:p>
        </w:tc>
        <w:tc>
          <w:tcPr>
            <w:tcW w:w="10480" w:type="dxa"/>
            <w:vAlign w:val="bottom"/>
          </w:tcPr>
          <w:p>
            <w:pPr>
              <w:ind w:left="860"/>
              <w:spacing w:after="0"/>
              <w:rPr>
                <w:sz w:val="20"/>
                <w:szCs w:val="20"/>
                <w:color w:val="auto"/>
              </w:rPr>
            </w:pPr>
            <w:r>
              <w:rPr>
                <w:rFonts w:ascii="Arial" w:cs="Arial" w:eastAsia="Arial" w:hAnsi="Arial"/>
                <w:sz w:val="18"/>
                <w:szCs w:val="18"/>
                <w:color w:val="auto"/>
              </w:rPr>
              <w:t>herein provided for; and</w:t>
            </w:r>
          </w:p>
        </w:tc>
      </w:tr>
      <w:tr>
        <w:trPr>
          <w:trHeight w:val="391"/>
        </w:trPr>
        <w:tc>
          <w:tcPr>
            <w:tcW w:w="760" w:type="dxa"/>
            <w:vAlign w:val="bottom"/>
          </w:tcPr>
          <w:p>
            <w:pPr>
              <w:spacing w:after="0"/>
              <w:rPr>
                <w:sz w:val="20"/>
                <w:szCs w:val="20"/>
                <w:color w:val="auto"/>
              </w:rPr>
            </w:pPr>
            <w:r>
              <w:rPr>
                <w:rFonts w:ascii="Arial" w:cs="Arial" w:eastAsia="Arial" w:hAnsi="Arial"/>
                <w:sz w:val="18"/>
                <w:szCs w:val="18"/>
                <w:color w:val="auto"/>
              </w:rPr>
              <w:t>9.1.2</w:t>
            </w:r>
          </w:p>
        </w:tc>
        <w:tc>
          <w:tcPr>
            <w:tcW w:w="10480" w:type="dxa"/>
            <w:vAlign w:val="bottom"/>
          </w:tcPr>
          <w:p>
            <w:pPr>
              <w:jc w:val="right"/>
              <w:spacing w:after="0"/>
              <w:rPr>
                <w:sz w:val="20"/>
                <w:szCs w:val="20"/>
                <w:color w:val="auto"/>
              </w:rPr>
            </w:pPr>
            <w:r>
              <w:rPr>
                <w:rFonts w:ascii="Arial" w:cs="Arial" w:eastAsia="Arial" w:hAnsi="Arial"/>
                <w:sz w:val="18"/>
                <w:szCs w:val="18"/>
                <w:color w:val="auto"/>
              </w:rPr>
              <w:t>Share Sale Date, subject to 8, it shall give free and unencumbered title of the Sale Shares owned and held by it to the</w:t>
            </w:r>
          </w:p>
        </w:tc>
      </w:tr>
      <w:tr>
        <w:trPr>
          <w:trHeight w:val="217"/>
        </w:trPr>
        <w:tc>
          <w:tcPr>
            <w:tcW w:w="760" w:type="dxa"/>
            <w:vAlign w:val="bottom"/>
          </w:tcPr>
          <w:p>
            <w:pPr>
              <w:spacing w:after="0"/>
              <w:rPr>
                <w:sz w:val="18"/>
                <w:szCs w:val="18"/>
                <w:color w:val="auto"/>
              </w:rPr>
            </w:pPr>
          </w:p>
        </w:tc>
        <w:tc>
          <w:tcPr>
            <w:tcW w:w="10480" w:type="dxa"/>
            <w:vAlign w:val="bottom"/>
          </w:tcPr>
          <w:p>
            <w:pPr>
              <w:jc w:val="right"/>
              <w:ind w:right="8990"/>
              <w:spacing w:after="0"/>
              <w:rPr>
                <w:sz w:val="20"/>
                <w:szCs w:val="20"/>
                <w:color w:val="auto"/>
              </w:rPr>
            </w:pPr>
            <w:r>
              <w:rPr>
                <w:rFonts w:ascii="Arial" w:cs="Arial" w:eastAsia="Arial" w:hAnsi="Arial"/>
                <w:sz w:val="18"/>
                <w:szCs w:val="18"/>
                <w:color w:val="auto"/>
              </w:rPr>
              <w:t>Purchaser.</w:t>
            </w:r>
          </w:p>
        </w:tc>
      </w:tr>
      <w:tr>
        <w:trPr>
          <w:trHeight w:val="391"/>
        </w:trPr>
        <w:tc>
          <w:tcPr>
            <w:tcW w:w="760" w:type="dxa"/>
            <w:vAlign w:val="bottom"/>
          </w:tcPr>
          <w:p>
            <w:pPr>
              <w:spacing w:after="0"/>
              <w:rPr>
                <w:sz w:val="20"/>
                <w:szCs w:val="20"/>
                <w:color w:val="auto"/>
              </w:rPr>
            </w:pPr>
            <w:r>
              <w:rPr>
                <w:rFonts w:ascii="Arial" w:cs="Arial" w:eastAsia="Arial" w:hAnsi="Arial"/>
                <w:sz w:val="18"/>
                <w:szCs w:val="18"/>
                <w:color w:val="auto"/>
              </w:rPr>
              <w:t>9.2</w:t>
            </w:r>
          </w:p>
        </w:tc>
        <w:tc>
          <w:tcPr>
            <w:tcW w:w="10480" w:type="dxa"/>
            <w:vAlign w:val="bottom"/>
          </w:tcPr>
          <w:p>
            <w:pPr>
              <w:jc w:val="right"/>
              <w:spacing w:after="0"/>
              <w:rPr>
                <w:sz w:val="20"/>
                <w:szCs w:val="20"/>
                <w:color w:val="auto"/>
              </w:rPr>
            </w:pPr>
            <w:r>
              <w:rPr>
                <w:rFonts w:ascii="Arial" w:cs="Arial" w:eastAsia="Arial" w:hAnsi="Arial"/>
                <w:sz w:val="18"/>
                <w:szCs w:val="18"/>
                <w:color w:val="auto"/>
              </w:rPr>
              <w:t>Each Party warrants to the other that it has the legal powers, capacity and authority required to conclude and implement this</w:t>
            </w:r>
          </w:p>
        </w:tc>
      </w:tr>
      <w:tr>
        <w:trPr>
          <w:trHeight w:val="203"/>
        </w:trPr>
        <w:tc>
          <w:tcPr>
            <w:tcW w:w="760" w:type="dxa"/>
            <w:vAlign w:val="bottom"/>
          </w:tcPr>
          <w:p>
            <w:pPr>
              <w:spacing w:after="0"/>
              <w:rPr>
                <w:sz w:val="17"/>
                <w:szCs w:val="17"/>
                <w:color w:val="auto"/>
              </w:rPr>
            </w:pPr>
          </w:p>
        </w:tc>
        <w:tc>
          <w:tcPr>
            <w:tcW w:w="10480" w:type="dxa"/>
            <w:vAlign w:val="bottom"/>
          </w:tcPr>
          <w:p>
            <w:pPr>
              <w:jc w:val="right"/>
              <w:spacing w:after="0" w:line="202" w:lineRule="exact"/>
              <w:rPr>
                <w:sz w:val="20"/>
                <w:szCs w:val="20"/>
                <w:color w:val="auto"/>
              </w:rPr>
            </w:pPr>
            <w:r>
              <w:rPr>
                <w:rFonts w:ascii="Arial" w:cs="Arial" w:eastAsia="Arial" w:hAnsi="Arial"/>
                <w:sz w:val="18"/>
                <w:szCs w:val="18"/>
                <w:color w:val="auto"/>
              </w:rPr>
              <w:t>Agreement and such conclusion and implementation do not conflict with any obligation or restriction applicable to such Party,</w:t>
            </w:r>
          </w:p>
        </w:tc>
      </w:tr>
      <w:tr>
        <w:trPr>
          <w:trHeight w:val="217"/>
        </w:trPr>
        <w:tc>
          <w:tcPr>
            <w:tcW w:w="760" w:type="dxa"/>
            <w:vAlign w:val="bottom"/>
          </w:tcPr>
          <w:p>
            <w:pPr>
              <w:spacing w:after="0"/>
              <w:rPr>
                <w:sz w:val="18"/>
                <w:szCs w:val="18"/>
                <w:color w:val="auto"/>
              </w:rPr>
            </w:pPr>
          </w:p>
        </w:tc>
        <w:tc>
          <w:tcPr>
            <w:tcW w:w="10480" w:type="dxa"/>
            <w:vAlign w:val="bottom"/>
          </w:tcPr>
          <w:p>
            <w:pPr>
              <w:jc w:val="right"/>
              <w:ind w:right="3690"/>
              <w:spacing w:after="0"/>
              <w:rPr>
                <w:sz w:val="20"/>
                <w:szCs w:val="20"/>
                <w:color w:val="auto"/>
              </w:rPr>
            </w:pPr>
            <w:r>
              <w:rPr>
                <w:rFonts w:ascii="Arial" w:cs="Arial" w:eastAsia="Arial" w:hAnsi="Arial"/>
                <w:sz w:val="18"/>
                <w:szCs w:val="18"/>
                <w:color w:val="auto"/>
              </w:rPr>
              <w:t xml:space="preserve">whether </w:t>
            </w:r>
            <w:r>
              <w:rPr>
                <w:rFonts w:ascii="Arial" w:cs="Arial" w:eastAsia="Arial" w:hAnsi="Arial"/>
                <w:sz w:val="18"/>
                <w:szCs w:val="18"/>
                <w:color w:val="262626"/>
              </w:rPr>
              <w:t>in</w:t>
            </w:r>
            <w:r>
              <w:rPr>
                <w:rFonts w:ascii="Arial" w:cs="Arial" w:eastAsia="Arial" w:hAnsi="Arial"/>
                <w:sz w:val="18"/>
                <w:szCs w:val="18"/>
                <w:color w:val="auto"/>
              </w:rPr>
              <w:t xml:space="preserve"> terms of any applicable </w:t>
            </w:r>
            <w:r>
              <w:rPr>
                <w:rFonts w:ascii="Arial" w:cs="Arial" w:eastAsia="Arial" w:hAnsi="Arial"/>
                <w:sz w:val="18"/>
                <w:szCs w:val="18"/>
                <w:color w:val="262626"/>
              </w:rPr>
              <w:t>law,</w:t>
            </w:r>
            <w:r>
              <w:rPr>
                <w:rFonts w:ascii="Arial" w:cs="Arial" w:eastAsia="Arial" w:hAnsi="Arial"/>
                <w:sz w:val="18"/>
                <w:szCs w:val="18"/>
                <w:color w:val="auto"/>
              </w:rPr>
              <w:t xml:space="preserve"> its constitution (if applicable) or otherwise.</w:t>
            </w:r>
          </w:p>
        </w:tc>
      </w:tr>
    </w:tbl>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CONFIDENTIALITY</w:t>
      </w:r>
    </w:p>
    <w:p>
      <w:pPr>
        <w:spacing w:after="0" w:line="198"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 xml:space="preserve">Notwithstanding the cancellation or termination of this Agreement, no Party </w:t>
      </w:r>
      <w:r>
        <w:rPr>
          <w:rFonts w:ascii="Arial" w:cs="Arial" w:eastAsia="Arial" w:hAnsi="Arial"/>
          <w:sz w:val="18"/>
          <w:szCs w:val="18"/>
          <w:b w:val="1"/>
          <w:bCs w:val="1"/>
          <w:color w:val="auto"/>
        </w:rPr>
        <w:t>(“Receiving Party”)</w:t>
      </w:r>
      <w:r>
        <w:rPr>
          <w:rFonts w:ascii="Arial" w:cs="Arial" w:eastAsia="Arial" w:hAnsi="Arial"/>
          <w:sz w:val="18"/>
          <w:szCs w:val="18"/>
          <w:color w:val="auto"/>
        </w:rPr>
        <w:t xml:space="preserve"> shall, at any time after the conclusion of this Agreement, disclose to any person or use in any manner whatever any other Party’s Confidential Information or the existence and contents of this Agreement; provided that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Arial" w:cs="Arial" w:eastAsia="Arial" w:hAnsi="Arial"/>
                <w:sz w:val="18"/>
                <w:szCs w:val="18"/>
                <w:color w:val="auto"/>
              </w:rPr>
              <w:t>10.1</w:t>
            </w:r>
          </w:p>
        </w:tc>
        <w:tc>
          <w:tcPr>
            <w:tcW w:w="10500" w:type="dxa"/>
            <w:vAlign w:val="bottom"/>
          </w:tcPr>
          <w:p>
            <w:pPr>
              <w:ind w:left="240"/>
              <w:spacing w:after="0"/>
              <w:rPr>
                <w:sz w:val="20"/>
                <w:szCs w:val="20"/>
                <w:color w:val="auto"/>
              </w:rPr>
            </w:pPr>
            <w:r>
              <w:rPr>
                <w:rFonts w:ascii="Arial" w:cs="Arial" w:eastAsia="Arial" w:hAnsi="Arial"/>
                <w:sz w:val="18"/>
                <w:szCs w:val="18"/>
                <w:color w:val="auto"/>
              </w:rPr>
              <w:t>any Party may disclose the existence and contents of this Agreement to the extent required by any rules of any stock exchange</w:t>
            </w:r>
          </w:p>
        </w:tc>
      </w:tr>
      <w:tr>
        <w:trPr>
          <w:trHeight w:val="203"/>
        </w:trPr>
        <w:tc>
          <w:tcPr>
            <w:tcW w:w="740" w:type="dxa"/>
            <w:vAlign w:val="bottom"/>
          </w:tcPr>
          <w:p>
            <w:pPr>
              <w:spacing w:after="0"/>
              <w:rPr>
                <w:sz w:val="17"/>
                <w:szCs w:val="17"/>
                <w:color w:val="auto"/>
              </w:rPr>
            </w:pPr>
          </w:p>
        </w:tc>
        <w:tc>
          <w:tcPr>
            <w:tcW w:w="10500" w:type="dxa"/>
            <w:vAlign w:val="bottom"/>
          </w:tcPr>
          <w:p>
            <w:pPr>
              <w:ind w:left="240"/>
              <w:spacing w:after="0" w:line="202" w:lineRule="exact"/>
              <w:rPr>
                <w:sz w:val="20"/>
                <w:szCs w:val="20"/>
                <w:color w:val="auto"/>
              </w:rPr>
            </w:pPr>
            <w:r>
              <w:rPr>
                <w:rFonts w:ascii="Arial" w:cs="Arial" w:eastAsia="Arial" w:hAnsi="Arial"/>
                <w:sz w:val="18"/>
                <w:szCs w:val="18"/>
                <w:color w:val="auto"/>
              </w:rPr>
              <w:t>by which that Party is bound; provided further that no such disclosure shall be made unless the other Parties have first given</w:t>
            </w:r>
          </w:p>
        </w:tc>
      </w:tr>
      <w:tr>
        <w:trPr>
          <w:trHeight w:val="217"/>
        </w:trPr>
        <w:tc>
          <w:tcPr>
            <w:tcW w:w="740" w:type="dxa"/>
            <w:vAlign w:val="bottom"/>
          </w:tcPr>
          <w:p>
            <w:pPr>
              <w:spacing w:after="0"/>
              <w:rPr>
                <w:sz w:val="18"/>
                <w:szCs w:val="18"/>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rPr>
              <w:t>their written approval for the form thereof, which approval may not be withheld unreasonably;</w:t>
            </w:r>
          </w:p>
        </w:tc>
      </w:tr>
      <w:tr>
        <w:trPr>
          <w:trHeight w:val="405"/>
        </w:trPr>
        <w:tc>
          <w:tcPr>
            <w:tcW w:w="740" w:type="dxa"/>
            <w:vAlign w:val="bottom"/>
          </w:tcPr>
          <w:p>
            <w:pPr>
              <w:spacing w:after="0"/>
              <w:rPr>
                <w:sz w:val="20"/>
                <w:szCs w:val="20"/>
                <w:color w:val="auto"/>
              </w:rPr>
            </w:pPr>
            <w:r>
              <w:rPr>
                <w:rFonts w:ascii="Arial" w:cs="Arial" w:eastAsia="Arial" w:hAnsi="Arial"/>
                <w:sz w:val="18"/>
                <w:szCs w:val="18"/>
                <w:color w:val="auto"/>
              </w:rPr>
              <w:t>10.2</w:t>
            </w:r>
          </w:p>
        </w:tc>
        <w:tc>
          <w:tcPr>
            <w:tcW w:w="10500" w:type="dxa"/>
            <w:vAlign w:val="bottom"/>
          </w:tcPr>
          <w:p>
            <w:pPr>
              <w:ind w:left="240"/>
              <w:spacing w:after="0"/>
              <w:rPr>
                <w:sz w:val="20"/>
                <w:szCs w:val="20"/>
                <w:color w:val="auto"/>
              </w:rPr>
            </w:pPr>
            <w:r>
              <w:rPr>
                <w:rFonts w:ascii="Arial" w:cs="Arial" w:eastAsia="Arial" w:hAnsi="Arial"/>
                <w:sz w:val="18"/>
                <w:szCs w:val="18"/>
                <w:color w:val="auto"/>
              </w:rPr>
              <w:t>the Receiving Party may disclose the other Parties’ Confidential Information and the existence and contents of this Agreement -</w:t>
            </w:r>
          </w:p>
        </w:tc>
      </w:tr>
      <w:tr>
        <w:trPr>
          <w:trHeight w:val="405"/>
        </w:trPr>
        <w:tc>
          <w:tcPr>
            <w:tcW w:w="740" w:type="dxa"/>
            <w:vAlign w:val="bottom"/>
          </w:tcPr>
          <w:p>
            <w:pPr>
              <w:spacing w:after="0"/>
              <w:rPr>
                <w:sz w:val="20"/>
                <w:szCs w:val="20"/>
                <w:color w:val="auto"/>
              </w:rPr>
            </w:pPr>
            <w:r>
              <w:rPr>
                <w:rFonts w:ascii="Arial" w:cs="Arial" w:eastAsia="Arial" w:hAnsi="Arial"/>
                <w:sz w:val="18"/>
                <w:szCs w:val="18"/>
                <w:color w:val="auto"/>
              </w:rPr>
              <w:t>10.2.1</w:t>
            </w:r>
          </w:p>
        </w:tc>
        <w:tc>
          <w:tcPr>
            <w:tcW w:w="10500" w:type="dxa"/>
            <w:vAlign w:val="bottom"/>
          </w:tcPr>
          <w:p>
            <w:pPr>
              <w:ind w:left="560"/>
              <w:spacing w:after="0"/>
              <w:rPr>
                <w:sz w:val="20"/>
                <w:szCs w:val="20"/>
                <w:color w:val="auto"/>
              </w:rPr>
            </w:pPr>
            <w:r>
              <w:rPr>
                <w:rFonts w:ascii="Arial" w:cs="Arial" w:eastAsia="Arial" w:hAnsi="Arial"/>
                <w:sz w:val="18"/>
                <w:szCs w:val="18"/>
                <w:color w:val="auto"/>
              </w:rPr>
              <w:t>to the extent required by law (other than in terms of a contractual obligation of the Receiving Party);</w:t>
            </w:r>
          </w:p>
        </w:tc>
      </w:tr>
      <w:tr>
        <w:trPr>
          <w:trHeight w:val="391"/>
        </w:trPr>
        <w:tc>
          <w:tcPr>
            <w:tcW w:w="740" w:type="dxa"/>
            <w:vAlign w:val="bottom"/>
          </w:tcPr>
          <w:p>
            <w:pPr>
              <w:spacing w:after="0"/>
              <w:rPr>
                <w:sz w:val="20"/>
                <w:szCs w:val="20"/>
                <w:color w:val="auto"/>
              </w:rPr>
            </w:pPr>
            <w:r>
              <w:rPr>
                <w:rFonts w:ascii="Arial" w:cs="Arial" w:eastAsia="Arial" w:hAnsi="Arial"/>
                <w:sz w:val="18"/>
                <w:szCs w:val="18"/>
                <w:color w:val="auto"/>
              </w:rPr>
              <w:t>10.2.2</w:t>
            </w:r>
          </w:p>
        </w:tc>
        <w:tc>
          <w:tcPr>
            <w:tcW w:w="10500" w:type="dxa"/>
            <w:vAlign w:val="bottom"/>
          </w:tcPr>
          <w:p>
            <w:pPr>
              <w:ind w:left="560"/>
              <w:spacing w:after="0"/>
              <w:rPr>
                <w:sz w:val="20"/>
                <w:szCs w:val="20"/>
                <w:color w:val="auto"/>
              </w:rPr>
            </w:pPr>
            <w:r>
              <w:rPr>
                <w:rFonts w:ascii="Arial" w:cs="Arial" w:eastAsia="Arial" w:hAnsi="Arial"/>
                <w:sz w:val="18"/>
                <w:szCs w:val="18"/>
                <w:color w:val="auto"/>
                <w:w w:val="99"/>
              </w:rPr>
              <w:t>to, and permit the use thereof by, its employees, representatives and professional advisers to the extent strictly necessary for</w:t>
            </w:r>
          </w:p>
        </w:tc>
      </w:tr>
      <w:tr>
        <w:trPr>
          <w:trHeight w:val="217"/>
        </w:trPr>
        <w:tc>
          <w:tcPr>
            <w:tcW w:w="740" w:type="dxa"/>
            <w:vAlign w:val="bottom"/>
          </w:tcPr>
          <w:p>
            <w:pPr>
              <w:spacing w:after="0"/>
              <w:rPr>
                <w:sz w:val="18"/>
                <w:szCs w:val="18"/>
                <w:color w:val="auto"/>
              </w:rPr>
            </w:pPr>
          </w:p>
        </w:tc>
        <w:tc>
          <w:tcPr>
            <w:tcW w:w="10500" w:type="dxa"/>
            <w:vAlign w:val="bottom"/>
          </w:tcPr>
          <w:p>
            <w:pPr>
              <w:ind w:left="560"/>
              <w:spacing w:after="0"/>
              <w:rPr>
                <w:sz w:val="20"/>
                <w:szCs w:val="20"/>
                <w:color w:val="auto"/>
              </w:rPr>
            </w:pPr>
            <w:r>
              <w:rPr>
                <w:rFonts w:ascii="Arial" w:cs="Arial" w:eastAsia="Arial" w:hAnsi="Arial"/>
                <w:sz w:val="18"/>
                <w:szCs w:val="18"/>
                <w:color w:val="auto"/>
              </w:rPr>
              <w:t>the purpose of implementing or enforcing this Agreement or obtaining professional advice or</w:t>
            </w:r>
          </w:p>
        </w:tc>
      </w:tr>
      <w:tr>
        <w:trPr>
          <w:trHeight w:val="499"/>
        </w:trPr>
        <w:tc>
          <w:tcPr>
            <w:tcW w:w="740" w:type="dxa"/>
            <w:vAlign w:val="bottom"/>
            <w:tcBorders>
              <w:bottom w:val="single" w:sz="8" w:color="auto"/>
            </w:tcBorders>
          </w:tcPr>
          <w:p>
            <w:pPr>
              <w:spacing w:after="0"/>
              <w:rPr>
                <w:sz w:val="24"/>
                <w:szCs w:val="24"/>
                <w:color w:val="auto"/>
              </w:rPr>
            </w:pPr>
          </w:p>
        </w:tc>
        <w:tc>
          <w:tcPr>
            <w:tcW w:w="10500" w:type="dxa"/>
            <w:vAlign w:val="bottom"/>
            <w:tcBorders>
              <w:bottom w:val="single" w:sz="8" w:color="auto"/>
            </w:tcBorders>
          </w:tcPr>
          <w:p>
            <w:pPr>
              <w:ind w:left="1036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240"/>
          </w:cols>
          <w:pgMar w:left="320" w:top="809" w:right="339" w:bottom="1440" w:gutter="0" w:footer="0" w:header="0"/>
        </w:sectPr>
      </w:pPr>
    </w:p>
    <w:bookmarkStart w:id="32" w:name="page33"/>
    <w:bookmarkEnd w:id="3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6894830</wp:posOffset>
            </wp:positionH>
            <wp:positionV relativeFrom="page">
              <wp:posOffset>157480</wp:posOffset>
            </wp:positionV>
            <wp:extent cx="411480" cy="2660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411480" cy="2660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17"/>
                <w:szCs w:val="17"/>
                <w:color w:val="auto"/>
              </w:rPr>
            </w:pPr>
          </w:p>
        </w:tc>
        <w:tc>
          <w:tcPr>
            <w:tcW w:w="10500" w:type="dxa"/>
            <w:vAlign w:val="bottom"/>
          </w:tcPr>
          <w:p>
            <w:pPr>
              <w:ind w:left="560"/>
              <w:spacing w:after="0"/>
              <w:rPr>
                <w:sz w:val="20"/>
                <w:szCs w:val="20"/>
                <w:color w:val="auto"/>
              </w:rPr>
            </w:pPr>
            <w:r>
              <w:rPr>
                <w:rFonts w:ascii="Arial" w:cs="Arial" w:eastAsia="Arial" w:hAnsi="Arial"/>
                <w:sz w:val="18"/>
                <w:szCs w:val="18"/>
                <w:color w:val="auto"/>
              </w:rPr>
              <w:t>conducting its business, it being specifically agreed that any disclosure or use by any such employee, representative or</w:t>
            </w:r>
          </w:p>
        </w:tc>
      </w:tr>
      <w:tr>
        <w:trPr>
          <w:trHeight w:val="203"/>
        </w:trPr>
        <w:tc>
          <w:tcPr>
            <w:tcW w:w="740" w:type="dxa"/>
            <w:vAlign w:val="bottom"/>
          </w:tcPr>
          <w:p>
            <w:pPr>
              <w:spacing w:after="0"/>
              <w:rPr>
                <w:sz w:val="17"/>
                <w:szCs w:val="17"/>
                <w:color w:val="auto"/>
              </w:rPr>
            </w:pPr>
          </w:p>
        </w:tc>
        <w:tc>
          <w:tcPr>
            <w:tcW w:w="10500" w:type="dxa"/>
            <w:vAlign w:val="bottom"/>
          </w:tcPr>
          <w:p>
            <w:pPr>
              <w:ind w:left="560"/>
              <w:spacing w:after="0" w:line="202" w:lineRule="exact"/>
              <w:rPr>
                <w:sz w:val="20"/>
                <w:szCs w:val="20"/>
                <w:color w:val="auto"/>
              </w:rPr>
            </w:pPr>
            <w:r>
              <w:rPr>
                <w:rFonts w:ascii="Arial" w:cs="Arial" w:eastAsia="Arial" w:hAnsi="Arial"/>
                <w:sz w:val="18"/>
                <w:szCs w:val="18"/>
                <w:color w:val="auto"/>
              </w:rPr>
              <w:t>adviser of such Confidential Information or other information for any other purpose shall constitute a breach of this 10 by the</w:t>
            </w:r>
          </w:p>
        </w:tc>
      </w:tr>
      <w:tr>
        <w:trPr>
          <w:trHeight w:val="217"/>
        </w:trPr>
        <w:tc>
          <w:tcPr>
            <w:tcW w:w="740" w:type="dxa"/>
            <w:vAlign w:val="bottom"/>
          </w:tcPr>
          <w:p>
            <w:pPr>
              <w:spacing w:after="0"/>
              <w:rPr>
                <w:sz w:val="18"/>
                <w:szCs w:val="18"/>
                <w:color w:val="auto"/>
              </w:rPr>
            </w:pPr>
          </w:p>
        </w:tc>
        <w:tc>
          <w:tcPr>
            <w:tcW w:w="10500" w:type="dxa"/>
            <w:vAlign w:val="bottom"/>
          </w:tcPr>
          <w:p>
            <w:pPr>
              <w:ind w:left="560"/>
              <w:spacing w:after="0"/>
              <w:rPr>
                <w:sz w:val="20"/>
                <w:szCs w:val="20"/>
                <w:color w:val="auto"/>
              </w:rPr>
            </w:pPr>
            <w:r>
              <w:rPr>
                <w:rFonts w:ascii="Arial" w:cs="Arial" w:eastAsia="Arial" w:hAnsi="Arial"/>
                <w:sz w:val="18"/>
                <w:szCs w:val="18"/>
                <w:color w:val="auto"/>
              </w:rPr>
              <w:t>Receiving Party; and</w:t>
            </w:r>
          </w:p>
        </w:tc>
      </w:tr>
      <w:tr>
        <w:trPr>
          <w:trHeight w:val="405"/>
        </w:trPr>
        <w:tc>
          <w:tcPr>
            <w:tcW w:w="740" w:type="dxa"/>
            <w:vAlign w:val="bottom"/>
          </w:tcPr>
          <w:p>
            <w:pPr>
              <w:spacing w:after="0"/>
              <w:rPr>
                <w:sz w:val="20"/>
                <w:szCs w:val="20"/>
                <w:color w:val="auto"/>
              </w:rPr>
            </w:pPr>
            <w:r>
              <w:rPr>
                <w:rFonts w:ascii="Arial" w:cs="Arial" w:eastAsia="Arial" w:hAnsi="Arial"/>
                <w:sz w:val="18"/>
                <w:szCs w:val="18"/>
                <w:color w:val="auto"/>
              </w:rPr>
              <w:t>10.3</w:t>
            </w:r>
          </w:p>
        </w:tc>
        <w:tc>
          <w:tcPr>
            <w:tcW w:w="10500" w:type="dxa"/>
            <w:vAlign w:val="bottom"/>
          </w:tcPr>
          <w:p>
            <w:pPr>
              <w:ind w:left="240"/>
              <w:spacing w:after="0"/>
              <w:rPr>
                <w:sz w:val="20"/>
                <w:szCs w:val="20"/>
                <w:color w:val="auto"/>
              </w:rPr>
            </w:pPr>
            <w:r>
              <w:rPr>
                <w:rFonts w:ascii="Arial" w:cs="Arial" w:eastAsia="Arial" w:hAnsi="Arial"/>
                <w:sz w:val="18"/>
                <w:szCs w:val="18"/>
                <w:color w:val="auto"/>
              </w:rPr>
              <w:t>the provisions of this 10 shall cease to apply to any Confidential Information of any Party which –</w:t>
            </w:r>
          </w:p>
        </w:tc>
      </w:tr>
      <w:tr>
        <w:trPr>
          <w:trHeight w:val="391"/>
        </w:trPr>
        <w:tc>
          <w:tcPr>
            <w:tcW w:w="740" w:type="dxa"/>
            <w:vAlign w:val="bottom"/>
          </w:tcPr>
          <w:p>
            <w:pPr>
              <w:spacing w:after="0"/>
              <w:rPr>
                <w:sz w:val="20"/>
                <w:szCs w:val="20"/>
                <w:color w:val="auto"/>
              </w:rPr>
            </w:pPr>
            <w:r>
              <w:rPr>
                <w:rFonts w:ascii="Arial" w:cs="Arial" w:eastAsia="Arial" w:hAnsi="Arial"/>
                <w:sz w:val="18"/>
                <w:szCs w:val="18"/>
                <w:color w:val="auto"/>
              </w:rPr>
              <w:t>10.3.1</w:t>
            </w:r>
          </w:p>
        </w:tc>
        <w:tc>
          <w:tcPr>
            <w:tcW w:w="10500" w:type="dxa"/>
            <w:vAlign w:val="bottom"/>
          </w:tcPr>
          <w:p>
            <w:pPr>
              <w:ind w:left="560"/>
              <w:spacing w:after="0"/>
              <w:rPr>
                <w:sz w:val="20"/>
                <w:szCs w:val="20"/>
                <w:color w:val="auto"/>
              </w:rPr>
            </w:pPr>
            <w:r>
              <w:rPr>
                <w:rFonts w:ascii="Arial" w:cs="Arial" w:eastAsia="Arial" w:hAnsi="Arial"/>
                <w:sz w:val="18"/>
                <w:szCs w:val="18"/>
                <w:color w:val="auto"/>
              </w:rPr>
              <w:t>is or becomes generally available to the public other than as a result of a breach by the Receiving Party of its obligations in</w:t>
            </w:r>
          </w:p>
        </w:tc>
      </w:tr>
      <w:tr>
        <w:trPr>
          <w:trHeight w:val="217"/>
        </w:trPr>
        <w:tc>
          <w:tcPr>
            <w:tcW w:w="740" w:type="dxa"/>
            <w:vAlign w:val="bottom"/>
          </w:tcPr>
          <w:p>
            <w:pPr>
              <w:spacing w:after="0"/>
              <w:rPr>
                <w:sz w:val="18"/>
                <w:szCs w:val="18"/>
                <w:color w:val="auto"/>
              </w:rPr>
            </w:pPr>
          </w:p>
        </w:tc>
        <w:tc>
          <w:tcPr>
            <w:tcW w:w="10500" w:type="dxa"/>
            <w:vAlign w:val="bottom"/>
          </w:tcPr>
          <w:p>
            <w:pPr>
              <w:ind w:left="560"/>
              <w:spacing w:after="0"/>
              <w:rPr>
                <w:sz w:val="20"/>
                <w:szCs w:val="20"/>
                <w:color w:val="auto"/>
              </w:rPr>
            </w:pPr>
            <w:r>
              <w:rPr>
                <w:rFonts w:ascii="Arial" w:cs="Arial" w:eastAsia="Arial" w:hAnsi="Arial"/>
                <w:sz w:val="18"/>
                <w:szCs w:val="18"/>
                <w:color w:val="auto"/>
              </w:rPr>
              <w:t>terms of this 10;</w:t>
            </w:r>
          </w:p>
        </w:tc>
      </w:tr>
      <w:tr>
        <w:trPr>
          <w:trHeight w:val="391"/>
        </w:trPr>
        <w:tc>
          <w:tcPr>
            <w:tcW w:w="740" w:type="dxa"/>
            <w:vAlign w:val="bottom"/>
          </w:tcPr>
          <w:p>
            <w:pPr>
              <w:spacing w:after="0"/>
              <w:rPr>
                <w:sz w:val="20"/>
                <w:szCs w:val="20"/>
                <w:color w:val="auto"/>
              </w:rPr>
            </w:pPr>
            <w:r>
              <w:rPr>
                <w:rFonts w:ascii="Arial" w:cs="Arial" w:eastAsia="Arial" w:hAnsi="Arial"/>
                <w:sz w:val="18"/>
                <w:szCs w:val="18"/>
                <w:color w:val="auto"/>
              </w:rPr>
              <w:t>10.3.2</w:t>
            </w:r>
          </w:p>
        </w:tc>
        <w:tc>
          <w:tcPr>
            <w:tcW w:w="10500" w:type="dxa"/>
            <w:vAlign w:val="bottom"/>
          </w:tcPr>
          <w:p>
            <w:pPr>
              <w:ind w:left="560"/>
              <w:spacing w:after="0"/>
              <w:rPr>
                <w:sz w:val="20"/>
                <w:szCs w:val="20"/>
                <w:color w:val="auto"/>
              </w:rPr>
            </w:pPr>
            <w:r>
              <w:rPr>
                <w:rFonts w:ascii="Arial" w:cs="Arial" w:eastAsia="Arial" w:hAnsi="Arial"/>
                <w:sz w:val="18"/>
                <w:szCs w:val="18"/>
                <w:color w:val="auto"/>
              </w:rPr>
              <w:t>is also received by the Receiving Party from a third party who did not acquire such Confidential Information subject to any</w:t>
            </w:r>
          </w:p>
        </w:tc>
      </w:tr>
      <w:tr>
        <w:trPr>
          <w:trHeight w:val="217"/>
        </w:trPr>
        <w:tc>
          <w:tcPr>
            <w:tcW w:w="740" w:type="dxa"/>
            <w:vAlign w:val="bottom"/>
          </w:tcPr>
          <w:p>
            <w:pPr>
              <w:spacing w:after="0"/>
              <w:rPr>
                <w:sz w:val="18"/>
                <w:szCs w:val="18"/>
                <w:color w:val="auto"/>
              </w:rPr>
            </w:pPr>
          </w:p>
        </w:tc>
        <w:tc>
          <w:tcPr>
            <w:tcW w:w="10500" w:type="dxa"/>
            <w:vAlign w:val="bottom"/>
          </w:tcPr>
          <w:p>
            <w:pPr>
              <w:ind w:left="560"/>
              <w:spacing w:after="0"/>
              <w:rPr>
                <w:sz w:val="20"/>
                <w:szCs w:val="20"/>
                <w:color w:val="auto"/>
              </w:rPr>
            </w:pPr>
            <w:r>
              <w:rPr>
                <w:rFonts w:ascii="Arial" w:cs="Arial" w:eastAsia="Arial" w:hAnsi="Arial"/>
                <w:sz w:val="18"/>
                <w:szCs w:val="18"/>
                <w:color w:val="auto"/>
              </w:rPr>
              <w:t>duty of confidentiality in favour of the other Parties; or</w:t>
            </w:r>
          </w:p>
        </w:tc>
      </w:tr>
      <w:tr>
        <w:trPr>
          <w:trHeight w:val="405"/>
        </w:trPr>
        <w:tc>
          <w:tcPr>
            <w:tcW w:w="740" w:type="dxa"/>
            <w:vAlign w:val="bottom"/>
          </w:tcPr>
          <w:p>
            <w:pPr>
              <w:spacing w:after="0"/>
              <w:rPr>
                <w:sz w:val="20"/>
                <w:szCs w:val="20"/>
                <w:color w:val="auto"/>
              </w:rPr>
            </w:pPr>
            <w:r>
              <w:rPr>
                <w:rFonts w:ascii="Arial" w:cs="Arial" w:eastAsia="Arial" w:hAnsi="Arial"/>
                <w:sz w:val="18"/>
                <w:szCs w:val="18"/>
                <w:color w:val="auto"/>
              </w:rPr>
              <w:t>10.3.3</w:t>
            </w:r>
          </w:p>
        </w:tc>
        <w:tc>
          <w:tcPr>
            <w:tcW w:w="10500" w:type="dxa"/>
            <w:vAlign w:val="bottom"/>
          </w:tcPr>
          <w:p>
            <w:pPr>
              <w:ind w:left="560"/>
              <w:spacing w:after="0"/>
              <w:rPr>
                <w:sz w:val="20"/>
                <w:szCs w:val="20"/>
                <w:color w:val="auto"/>
              </w:rPr>
            </w:pPr>
            <w:r>
              <w:rPr>
                <w:rFonts w:ascii="Arial" w:cs="Arial" w:eastAsia="Arial" w:hAnsi="Arial"/>
                <w:sz w:val="18"/>
                <w:szCs w:val="18"/>
                <w:color w:val="auto"/>
              </w:rPr>
              <w:t>was known to the Receiving Party prior to receiving it from the other Party.</w:t>
            </w:r>
          </w:p>
        </w:tc>
      </w:tr>
    </w:tbl>
    <w:p>
      <w:pPr>
        <w:spacing w:after="0" w:line="166" w:lineRule="exact"/>
        <w:rPr>
          <w:sz w:val="20"/>
          <w:szCs w:val="20"/>
          <w:color w:val="auto"/>
        </w:rPr>
      </w:pPr>
    </w:p>
    <w:p>
      <w:pPr>
        <w:ind w:left="660"/>
        <w:spacing w:after="0" w:line="271" w:lineRule="auto"/>
        <w:rPr>
          <w:sz w:val="20"/>
          <w:szCs w:val="20"/>
          <w:color w:val="auto"/>
        </w:rPr>
      </w:pPr>
      <w:r>
        <w:rPr>
          <w:rFonts w:ascii="Arial" w:cs="Arial" w:eastAsia="Arial" w:hAnsi="Arial"/>
          <w:sz w:val="18"/>
          <w:szCs w:val="18"/>
          <w:b w:val="1"/>
          <w:bCs w:val="1"/>
          <w:color w:val="auto"/>
        </w:rPr>
        <w:t xml:space="preserve">“Confidential Information” </w:t>
      </w:r>
      <w:r>
        <w:rPr>
          <w:rFonts w:ascii="Arial" w:cs="Arial" w:eastAsia="Arial" w:hAnsi="Arial"/>
          <w:sz w:val="18"/>
          <w:szCs w:val="18"/>
          <w:color w:val="auto"/>
        </w:rPr>
        <w:t>of any Party shall mean any information disclosed by that Party to the Receiving Party prior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conclusion of this Agreement, in terms of this Agreement or otherwise in connection with this Agreement.</w:t>
      </w:r>
    </w:p>
    <w:p>
      <w:pPr>
        <w:spacing w:after="0" w:line="140"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20" w:lineRule="exact"/>
        <w:rPr>
          <w:rFonts w:ascii="Arial" w:cs="Arial" w:eastAsia="Arial" w:hAnsi="Arial"/>
          <w:sz w:val="18"/>
          <w:szCs w:val="18"/>
          <w:b w:val="1"/>
          <w:bCs w:val="1"/>
          <w:color w:val="auto"/>
        </w:rPr>
      </w:pPr>
    </w:p>
    <w:p>
      <w:pPr>
        <w:ind w:left="66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This Agreement shall in all respects (including its existence</w:t>
      </w:r>
      <w:r>
        <w:rPr>
          <w:rFonts w:ascii="Arial" w:cs="Arial" w:eastAsia="Arial" w:hAnsi="Arial"/>
          <w:sz w:val="18"/>
          <w:szCs w:val="18"/>
          <w:color w:val="333333"/>
        </w:rPr>
        <w:t>,</w:t>
      </w:r>
      <w:r>
        <w:rPr>
          <w:rFonts w:ascii="Arial" w:cs="Arial" w:eastAsia="Arial" w:hAnsi="Arial"/>
          <w:sz w:val="18"/>
          <w:szCs w:val="18"/>
          <w:color w:val="auto"/>
        </w:rPr>
        <w:t xml:space="preserve"> validity, interpretation, implementation, termination and enforcement) be governed by the laws of South Africa</w:t>
      </w:r>
      <w:r>
        <w:rPr>
          <w:rFonts w:ascii="Arial" w:cs="Arial" w:eastAsia="Arial" w:hAnsi="Arial"/>
          <w:sz w:val="18"/>
          <w:szCs w:val="18"/>
          <w:color w:val="565656"/>
        </w:rPr>
        <w:t>.</w:t>
      </w:r>
    </w:p>
    <w:p>
      <w:pPr>
        <w:spacing w:after="0" w:line="161" w:lineRule="exact"/>
        <w:rPr>
          <w:rFonts w:ascii="Arial" w:cs="Arial" w:eastAsia="Arial" w:hAnsi="Arial"/>
          <w:sz w:val="18"/>
          <w:szCs w:val="18"/>
          <w:b w:val="1"/>
          <w:bCs w:val="1"/>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BREACH</w:t>
      </w:r>
    </w:p>
    <w:p>
      <w:pPr>
        <w:spacing w:after="0" w:line="198" w:lineRule="exact"/>
        <w:rPr>
          <w:rFonts w:ascii="Arial" w:cs="Arial" w:eastAsia="Arial" w:hAnsi="Arial"/>
          <w:sz w:val="18"/>
          <w:szCs w:val="18"/>
          <w:b w:val="1"/>
          <w:bCs w:val="1"/>
          <w:color w:val="auto"/>
        </w:rPr>
      </w:pPr>
    </w:p>
    <w:p>
      <w:pPr>
        <w:jc w:val="both"/>
        <w:ind w:left="660"/>
        <w:spacing w:after="0" w:line="244" w:lineRule="auto"/>
        <w:rPr>
          <w:rFonts w:ascii="Arial" w:cs="Arial" w:eastAsia="Arial" w:hAnsi="Arial"/>
          <w:sz w:val="18"/>
          <w:szCs w:val="18"/>
          <w:b w:val="1"/>
          <w:bCs w:val="1"/>
          <w:color w:val="auto"/>
        </w:rPr>
      </w:pPr>
      <w:r>
        <w:rPr>
          <w:rFonts w:ascii="Arial" w:cs="Arial" w:eastAsia="Arial" w:hAnsi="Arial"/>
          <w:sz w:val="18"/>
          <w:szCs w:val="18"/>
          <w:color w:val="auto"/>
        </w:rPr>
        <w:t xml:space="preserve">Should any Party breach any provision of this Agreement </w:t>
      </w:r>
      <w:r>
        <w:rPr>
          <w:rFonts w:ascii="Arial" w:cs="Arial" w:eastAsia="Arial" w:hAnsi="Arial"/>
          <w:sz w:val="18"/>
          <w:szCs w:val="18"/>
          <w:b w:val="1"/>
          <w:bCs w:val="1"/>
          <w:color w:val="auto"/>
        </w:rPr>
        <w:t>(“Defaulting Party”),</w:t>
      </w:r>
      <w:r>
        <w:rPr>
          <w:rFonts w:ascii="Arial" w:cs="Arial" w:eastAsia="Arial" w:hAnsi="Arial"/>
          <w:sz w:val="18"/>
          <w:szCs w:val="18"/>
          <w:color w:val="auto"/>
        </w:rPr>
        <w:t xml:space="preserve"> and fail to remedy such breach within seven days after receiving written notice requiring such remedy from any other Party </w:t>
      </w:r>
      <w:r>
        <w:rPr>
          <w:rFonts w:ascii="Arial" w:cs="Arial" w:eastAsia="Arial" w:hAnsi="Arial"/>
          <w:sz w:val="18"/>
          <w:szCs w:val="18"/>
          <w:b w:val="1"/>
          <w:bCs w:val="1"/>
          <w:color w:val="auto"/>
        </w:rPr>
        <w:t>(“Aggrieved Party”),</w:t>
      </w:r>
      <w:r>
        <w:rPr>
          <w:rFonts w:ascii="Arial" w:cs="Arial" w:eastAsia="Arial" w:hAnsi="Arial"/>
          <w:sz w:val="18"/>
          <w:szCs w:val="18"/>
          <w:color w:val="auto"/>
        </w:rPr>
        <w:t xml:space="preserve"> then the Aggrieved Party shall be entitled, without prejudice to its other rights under this Agreement or in law (including without limitation any right to claim damages), to claim immediate specific performance of all of the Defaulting Party’s obligations then due for performance Notwithstanding anything to the contrary contained in this Agreement, no Party shall be entitled to cancel or rescind this</w:t>
      </w:r>
    </w:p>
    <w:p>
      <w:pPr>
        <w:spacing w:after="0" w:line="293" w:lineRule="exact"/>
        <w:rPr>
          <w:sz w:val="20"/>
          <w:szCs w:val="20"/>
          <w:color w:val="auto"/>
        </w:rPr>
      </w:pPr>
    </w:p>
    <w:p>
      <w:pPr>
        <w:ind w:left="110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9" w:right="339" w:bottom="1440" w:gutter="0" w:footer="0" w:header="0"/>
        </w:sectPr>
      </w:pPr>
    </w:p>
    <w:bookmarkStart w:id="33" w:name="page34"/>
    <w:bookmarkEnd w:id="33"/>
    <w:p>
      <w:pPr>
        <w:ind w:left="660"/>
        <w:spacing w:after="0" w:line="24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6894830</wp:posOffset>
            </wp:positionH>
            <wp:positionV relativeFrom="page">
              <wp:posOffset>157480</wp:posOffset>
            </wp:positionV>
            <wp:extent cx="411480" cy="2660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411480" cy="266065"/>
                    </a:xfrm>
                    <a:prstGeom prst="rect">
                      <a:avLst/>
                    </a:prstGeom>
                    <a:noFill/>
                  </pic:spPr>
                </pic:pic>
              </a:graphicData>
            </a:graphic>
          </wp:anchor>
        </w:drawing>
        <w:t>Agreement after the performance by all Parties of their obligations which are required to be performed on the Effective Date in terms of this Agreement.</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8"/>
          <w:szCs w:val="18"/>
          <w:b w:val="1"/>
          <w:bCs w:val="1"/>
          <w:color w:val="auto"/>
        </w:rPr>
        <w:t>DISPUTES</w:t>
      </w:r>
    </w:p>
    <w:p>
      <w:pPr>
        <w:spacing w:after="0" w:line="220" w:lineRule="exact"/>
        <w:rPr>
          <w:sz w:val="20"/>
          <w:szCs w:val="20"/>
          <w:color w:val="auto"/>
        </w:rPr>
      </w:pPr>
    </w:p>
    <w:p>
      <w:pPr>
        <w:jc w:val="both"/>
        <w:ind w:left="980" w:hanging="971"/>
        <w:spacing w:after="0" w:line="237" w:lineRule="auto"/>
        <w:tabs>
          <w:tab w:leader="none" w:pos="96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color w:val="auto"/>
        </w:rPr>
        <w:t>Save as expressly otherwise provided in this Agreement, any dispute arising out of or in connection with this Agreement, including any dispute as to its existence</w:t>
      </w:r>
      <w:r>
        <w:rPr>
          <w:rFonts w:ascii="Arial" w:cs="Arial" w:eastAsia="Arial" w:hAnsi="Arial"/>
          <w:sz w:val="18"/>
          <w:szCs w:val="18"/>
          <w:color w:val="333333"/>
        </w:rPr>
        <w:t>,</w:t>
      </w:r>
      <w:r>
        <w:rPr>
          <w:rFonts w:ascii="Arial" w:cs="Arial" w:eastAsia="Arial" w:hAnsi="Arial"/>
          <w:sz w:val="18"/>
          <w:szCs w:val="18"/>
          <w:color w:val="auto"/>
        </w:rPr>
        <w:t xml:space="preserve"> validity</w:t>
      </w:r>
      <w:r>
        <w:rPr>
          <w:rFonts w:ascii="Arial" w:cs="Arial" w:eastAsia="Arial" w:hAnsi="Arial"/>
          <w:sz w:val="18"/>
          <w:szCs w:val="18"/>
          <w:color w:val="333333"/>
        </w:rPr>
        <w:t>,</w:t>
      </w:r>
      <w:r>
        <w:rPr>
          <w:rFonts w:ascii="Arial" w:cs="Arial" w:eastAsia="Arial" w:hAnsi="Arial"/>
          <w:sz w:val="18"/>
          <w:szCs w:val="18"/>
          <w:color w:val="auto"/>
        </w:rPr>
        <w:t xml:space="preserve"> enforceability or termination</w:t>
      </w:r>
      <w:r>
        <w:rPr>
          <w:rFonts w:ascii="Arial" w:cs="Arial" w:eastAsia="Arial" w:hAnsi="Arial"/>
          <w:sz w:val="18"/>
          <w:szCs w:val="18"/>
          <w:color w:val="333333"/>
        </w:rPr>
        <w:t>,</w:t>
      </w:r>
      <w:r>
        <w:rPr>
          <w:rFonts w:ascii="Arial" w:cs="Arial" w:eastAsia="Arial" w:hAnsi="Arial"/>
          <w:sz w:val="18"/>
          <w:szCs w:val="18"/>
          <w:color w:val="auto"/>
        </w:rPr>
        <w:t xml:space="preserve"> shall be finally resolved in accordance with the applicable rules of the Arbitration Foundation of Southern Africa (or its successor-in-title) </w:t>
      </w:r>
      <w:r>
        <w:rPr>
          <w:rFonts w:ascii="Arial" w:cs="Arial" w:eastAsia="Arial" w:hAnsi="Arial"/>
          <w:sz w:val="18"/>
          <w:szCs w:val="18"/>
          <w:b w:val="1"/>
          <w:bCs w:val="1"/>
          <w:color w:val="auto"/>
        </w:rPr>
        <w:t>(“AFSA</w:t>
      </w:r>
      <w:r>
        <w:rPr>
          <w:rFonts w:ascii="Arial" w:cs="Arial" w:eastAsia="Arial" w:hAnsi="Arial"/>
          <w:sz w:val="18"/>
          <w:szCs w:val="18"/>
          <w:b w:val="1"/>
          <w:bCs w:val="1"/>
          <w:color w:val="333333"/>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b w:val="1"/>
          <w:bCs w:val="1"/>
          <w:color w:val="333333"/>
        </w:rPr>
        <w:t>,</w:t>
      </w:r>
      <w:r>
        <w:rPr>
          <w:rFonts w:ascii="Arial" w:cs="Arial" w:eastAsia="Arial" w:hAnsi="Arial"/>
          <w:sz w:val="18"/>
          <w:szCs w:val="18"/>
          <w:color w:val="auto"/>
        </w:rPr>
        <w:t xml:space="preserve"> as determined by AFSA, provided that the rules for expedited arbitrations shall not apply unless the parties to the dispute agree otherwise in writing</w:t>
      </w:r>
      <w:r>
        <w:rPr>
          <w:rFonts w:ascii="Arial" w:cs="Arial" w:eastAsia="Arial" w:hAnsi="Arial"/>
          <w:sz w:val="18"/>
          <w:szCs w:val="18"/>
          <w:color w:val="333333"/>
        </w:rPr>
        <w:t>.</w:t>
      </w:r>
      <w:r>
        <w:rPr>
          <w:rFonts w:ascii="Arial" w:cs="Arial" w:eastAsia="Arial" w:hAnsi="Arial"/>
          <w:sz w:val="18"/>
          <w:szCs w:val="18"/>
          <w:color w:val="auto"/>
        </w:rPr>
        <w:t xml:space="preserve"> The dispute shall be resolved by an arbitrator appointed by AFSA. If AFSA determines that the AFSA Commercial Rules are applicable, there shall be no right of appeal as provided for in article 22 of such rules.</w:t>
      </w:r>
    </w:p>
    <w:p>
      <w:pPr>
        <w:spacing w:after="0" w:line="1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7"/>
          <w:szCs w:val="17"/>
          <w:color w:val="auto"/>
        </w:rPr>
        <w:t>The seat of the arbitration shall be Johannesburg, South Africa.</w:t>
      </w:r>
    </w:p>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color w:val="auto"/>
        </w:rPr>
        <w:t>The language to be used in the arbitral proceedings shall be English</w:t>
      </w:r>
      <w:r>
        <w:rPr>
          <w:rFonts w:ascii="Arial" w:cs="Arial" w:eastAsia="Arial" w:hAnsi="Arial"/>
          <w:sz w:val="18"/>
          <w:szCs w:val="18"/>
          <w:color w:val="333333"/>
        </w:rPr>
        <w:t>.</w:t>
      </w:r>
    </w:p>
    <w:p>
      <w:pPr>
        <w:spacing w:after="0" w:line="198" w:lineRule="exact"/>
        <w:rPr>
          <w:sz w:val="20"/>
          <w:szCs w:val="20"/>
          <w:color w:val="auto"/>
        </w:rPr>
      </w:pPr>
    </w:p>
    <w:p>
      <w:pPr>
        <w:jc w:val="both"/>
        <w:ind w:left="980" w:hanging="971"/>
        <w:spacing w:after="0"/>
        <w:tabs>
          <w:tab w:leader="none" w:pos="96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8"/>
          <w:szCs w:val="18"/>
          <w:color w:val="auto"/>
        </w:rPr>
        <w:t>The arbitration shall be held in private and, without derogating from the provisions of 10, the confidentiality provisions of section 11(2) of the International Arbitration Act No 15 of 2017 shall apply as if the arbitration were an international arbitration, as contemplated in that Act.</w:t>
      </w:r>
    </w:p>
    <w:p>
      <w:pPr>
        <w:spacing w:after="0" w:line="189" w:lineRule="exact"/>
        <w:rPr>
          <w:sz w:val="20"/>
          <w:szCs w:val="20"/>
          <w:color w:val="auto"/>
        </w:rPr>
      </w:pPr>
    </w:p>
    <w:p>
      <w:pPr>
        <w:jc w:val="both"/>
        <w:ind w:left="980" w:hanging="971"/>
        <w:spacing w:after="0" w:line="246" w:lineRule="auto"/>
        <w:tabs>
          <w:tab w:leader="none" w:pos="96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8"/>
          <w:szCs w:val="18"/>
          <w:color w:val="auto"/>
        </w:rPr>
        <w:t>Notwithstanding anything to the contrary contained in this 13, any party to the dispute shall be entitled to obtain interim relief on an urgent basis from any competent court having jurisdiction</w:t>
      </w:r>
      <w:r>
        <w:rPr>
          <w:rFonts w:ascii="Arial" w:cs="Arial" w:eastAsia="Arial" w:hAnsi="Arial"/>
          <w:sz w:val="18"/>
          <w:szCs w:val="18"/>
          <w:color w:val="343434"/>
        </w:rPr>
        <w:t>.</w:t>
      </w:r>
    </w:p>
    <w:p>
      <w:pPr>
        <w:spacing w:after="0" w:line="183" w:lineRule="exact"/>
        <w:rPr>
          <w:sz w:val="20"/>
          <w:szCs w:val="20"/>
          <w:color w:val="auto"/>
        </w:rPr>
      </w:pPr>
    </w:p>
    <w:p>
      <w:pPr>
        <w:jc w:val="both"/>
        <w:ind w:left="980" w:hanging="971"/>
        <w:spacing w:after="0"/>
        <w:tabs>
          <w:tab w:leader="none" w:pos="96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8"/>
          <w:szCs w:val="18"/>
          <w:color w:val="auto"/>
        </w:rPr>
        <w:t>For the purposes of 13.5 and for the purposes of having any award made by the arbitrator being made an order of court</w:t>
      </w:r>
      <w:r>
        <w:rPr>
          <w:rFonts w:ascii="Arial" w:cs="Arial" w:eastAsia="Arial" w:hAnsi="Arial"/>
          <w:sz w:val="18"/>
          <w:szCs w:val="18"/>
          <w:color w:val="343434"/>
        </w:rPr>
        <w:t>,</w:t>
      </w:r>
      <w:r>
        <w:rPr>
          <w:rFonts w:ascii="Arial" w:cs="Arial" w:eastAsia="Arial" w:hAnsi="Arial"/>
          <w:sz w:val="18"/>
          <w:szCs w:val="18"/>
          <w:color w:val="auto"/>
        </w:rPr>
        <w:t xml:space="preserve"> each of the Parties hereby submits </w:t>
      </w:r>
      <w:r>
        <w:rPr>
          <w:rFonts w:ascii="Arial" w:cs="Arial" w:eastAsia="Arial" w:hAnsi="Arial"/>
          <w:sz w:val="18"/>
          <w:szCs w:val="18"/>
          <w:color w:val="262626"/>
        </w:rPr>
        <w:t>itself</w:t>
      </w:r>
      <w:r>
        <w:rPr>
          <w:rFonts w:ascii="Arial" w:cs="Arial" w:eastAsia="Arial" w:hAnsi="Arial"/>
          <w:sz w:val="18"/>
          <w:szCs w:val="18"/>
          <w:color w:val="auto"/>
        </w:rPr>
        <w:t xml:space="preserve"> to the non-exclusive jurisdiction of the High Court of South Africa, Gauteng Local Division, Johannesburg, and any other court having jurisdiction</w:t>
      </w:r>
      <w:r>
        <w:rPr>
          <w:rFonts w:ascii="Arial" w:cs="Arial" w:eastAsia="Arial" w:hAnsi="Arial"/>
          <w:sz w:val="18"/>
          <w:szCs w:val="18"/>
          <w:color w:val="444444"/>
        </w:rPr>
        <w:t>.</w:t>
      </w:r>
    </w:p>
    <w:p>
      <w:pPr>
        <w:spacing w:after="0" w:line="171" w:lineRule="exact"/>
        <w:rPr>
          <w:sz w:val="20"/>
          <w:szCs w:val="20"/>
          <w:color w:val="auto"/>
        </w:rPr>
      </w:pPr>
    </w:p>
    <w:p>
      <w:pPr>
        <w:jc w:val="both"/>
        <w:ind w:left="980" w:hanging="971"/>
        <w:spacing w:after="0" w:line="267" w:lineRule="auto"/>
        <w:tabs>
          <w:tab w:leader="none" w:pos="96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8"/>
          <w:szCs w:val="18"/>
          <w:color w:val="auto"/>
        </w:rPr>
        <w:t xml:space="preserve">For the avoidance of doubt, a Person that accepts a benefit conferred on it by any </w:t>
      </w:r>
      <w:r>
        <w:rPr>
          <w:rFonts w:ascii="Arial" w:cs="Arial" w:eastAsia="Arial" w:hAnsi="Arial"/>
          <w:sz w:val="18"/>
          <w:szCs w:val="18"/>
          <w:i w:val="1"/>
          <w:iCs w:val="1"/>
          <w:color w:val="auto"/>
        </w:rPr>
        <w:t>stipulatio alteri</w:t>
      </w:r>
      <w:r>
        <w:rPr>
          <w:rFonts w:ascii="Arial" w:cs="Arial" w:eastAsia="Arial" w:hAnsi="Arial"/>
          <w:sz w:val="18"/>
          <w:szCs w:val="18"/>
          <w:color w:val="auto"/>
        </w:rPr>
        <w:t xml:space="preserve"> contained in this Agreement shall be bound by the provisions of this </w:t>
      </w:r>
      <w:r>
        <w:rPr>
          <w:rFonts w:ascii="Arial" w:cs="Arial" w:eastAsia="Arial" w:hAnsi="Arial"/>
          <w:sz w:val="18"/>
          <w:szCs w:val="18"/>
          <w:color w:val="262626"/>
        </w:rPr>
        <w:t>13.</w:t>
      </w:r>
    </w:p>
    <w:p>
      <w:pPr>
        <w:spacing w:after="0" w:line="273" w:lineRule="exact"/>
        <w:rPr>
          <w:sz w:val="20"/>
          <w:szCs w:val="20"/>
          <w:color w:val="auto"/>
        </w:rPr>
      </w:pPr>
    </w:p>
    <w:p>
      <w:pPr>
        <w:ind w:left="1100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34" w:name="page35"/>
    <w:bookmarkEnd w:id="34"/>
    <w:p>
      <w:pPr>
        <w:ind w:left="980" w:right="20" w:hanging="971"/>
        <w:spacing w:after="0" w:line="246" w:lineRule="auto"/>
        <w:tabs>
          <w:tab w:leader="none" w:pos="9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6894830</wp:posOffset>
            </wp:positionH>
            <wp:positionV relativeFrom="page">
              <wp:posOffset>157480</wp:posOffset>
            </wp:positionV>
            <wp:extent cx="411480" cy="2660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411480" cy="266065"/>
                    </a:xfrm>
                    <a:prstGeom prst="rect">
                      <a:avLst/>
                    </a:prstGeom>
                    <a:noFill/>
                  </pic:spPr>
                </pic:pic>
              </a:graphicData>
            </a:graphic>
          </wp:anchor>
        </w:drawing>
        <w:t>13.8</w:t>
      </w:r>
      <w:r>
        <w:rPr>
          <w:sz w:val="20"/>
          <w:szCs w:val="20"/>
          <w:color w:val="auto"/>
        </w:rPr>
        <w:tab/>
      </w:r>
      <w:r>
        <w:rPr>
          <w:rFonts w:ascii="Arial" w:cs="Arial" w:eastAsia="Arial" w:hAnsi="Arial"/>
          <w:sz w:val="18"/>
          <w:szCs w:val="18"/>
          <w:color w:val="auto"/>
        </w:rPr>
        <w:t>This 13 is severable from the other provisions of this Agreement and shall remain in full force and effect notwithstanding any termination</w:t>
      </w:r>
      <w:r>
        <w:rPr>
          <w:rFonts w:ascii="Arial" w:cs="Arial" w:eastAsia="Arial" w:hAnsi="Arial"/>
          <w:sz w:val="18"/>
          <w:szCs w:val="18"/>
          <w:color w:val="343434"/>
        </w:rPr>
        <w:t>,</w:t>
      </w:r>
      <w:r>
        <w:rPr>
          <w:rFonts w:ascii="Arial" w:cs="Arial" w:eastAsia="Arial" w:hAnsi="Arial"/>
          <w:sz w:val="18"/>
          <w:szCs w:val="18"/>
          <w:color w:val="auto"/>
        </w:rPr>
        <w:t xml:space="preserve"> cancellation, invalidity, unenforceability or unlawfulness of this Agreement, or any part thereof.</w:t>
      </w:r>
    </w:p>
    <w:p>
      <w:pPr>
        <w:spacing w:after="0" w:line="161"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CESSION AND ASSIGNMENT</w:t>
      </w:r>
    </w:p>
    <w:p>
      <w:pPr>
        <w:spacing w:after="0" w:line="220" w:lineRule="exact"/>
        <w:rPr>
          <w:rFonts w:ascii="Arial" w:cs="Arial" w:eastAsia="Arial" w:hAnsi="Arial"/>
          <w:sz w:val="18"/>
          <w:szCs w:val="18"/>
          <w:b w:val="1"/>
          <w:bCs w:val="1"/>
          <w:color w:val="auto"/>
        </w:rPr>
      </w:pPr>
    </w:p>
    <w:p>
      <w:pPr>
        <w:ind w:left="66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 xml:space="preserve">No Party shall be entitled </w:t>
      </w:r>
      <w:r>
        <w:rPr>
          <w:rFonts w:ascii="Arial" w:cs="Arial" w:eastAsia="Arial" w:hAnsi="Arial"/>
          <w:sz w:val="18"/>
          <w:szCs w:val="18"/>
          <w:color w:val="262626"/>
        </w:rPr>
        <w:t>to</w:t>
      </w:r>
      <w:r>
        <w:rPr>
          <w:rFonts w:ascii="Arial" w:cs="Arial" w:eastAsia="Arial" w:hAnsi="Arial"/>
          <w:sz w:val="18"/>
          <w:szCs w:val="18"/>
          <w:color w:val="auto"/>
        </w:rPr>
        <w:t xml:space="preserve"> cede</w:t>
      </w:r>
      <w:r>
        <w:rPr>
          <w:rFonts w:ascii="Arial" w:cs="Arial" w:eastAsia="Arial" w:hAnsi="Arial"/>
          <w:sz w:val="18"/>
          <w:szCs w:val="18"/>
          <w:color w:val="343434"/>
        </w:rPr>
        <w:t>,</w:t>
      </w:r>
      <w:r>
        <w:rPr>
          <w:rFonts w:ascii="Arial" w:cs="Arial" w:eastAsia="Arial" w:hAnsi="Arial"/>
          <w:sz w:val="18"/>
          <w:szCs w:val="18"/>
          <w:color w:val="auto"/>
        </w:rPr>
        <w:t xml:space="preserve"> transfer, assign or burden any of its rights or delegate any of its obligations under this Agreement without the prior written consent of the other Parties.</w:t>
      </w:r>
    </w:p>
    <w:p>
      <w:pPr>
        <w:spacing w:after="0" w:line="161" w:lineRule="exact"/>
        <w:rPr>
          <w:rFonts w:ascii="Arial" w:cs="Arial" w:eastAsia="Arial" w:hAnsi="Arial"/>
          <w:sz w:val="18"/>
          <w:szCs w:val="18"/>
          <w:b w:val="1"/>
          <w:bCs w:val="1"/>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DOMICILIUM AND NOTICES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40" w:type="dxa"/>
            <w:vAlign w:val="bottom"/>
          </w:tcPr>
          <w:p>
            <w:pPr>
              <w:spacing w:after="0"/>
              <w:rPr>
                <w:sz w:val="20"/>
                <w:szCs w:val="20"/>
                <w:color w:val="auto"/>
              </w:rPr>
            </w:pPr>
            <w:r>
              <w:rPr>
                <w:rFonts w:ascii="Arial" w:cs="Arial" w:eastAsia="Arial" w:hAnsi="Arial"/>
                <w:sz w:val="18"/>
                <w:szCs w:val="18"/>
                <w:color w:val="auto"/>
              </w:rPr>
              <w:t>15.1</w:t>
            </w: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rPr>
              <w:t xml:space="preserve">The Parties choose </w:t>
            </w:r>
            <w:r>
              <w:rPr>
                <w:rFonts w:ascii="Arial" w:cs="Arial" w:eastAsia="Arial" w:hAnsi="Arial"/>
                <w:sz w:val="18"/>
                <w:szCs w:val="18"/>
                <w:i w:val="1"/>
                <w:iCs w:val="1"/>
                <w:color w:val="auto"/>
              </w:rPr>
              <w:t>domicilium citandi et executandi</w:t>
            </w:r>
            <w:r>
              <w:rPr>
                <w:rFonts w:ascii="Arial" w:cs="Arial" w:eastAsia="Arial" w:hAnsi="Arial"/>
                <w:sz w:val="18"/>
                <w:szCs w:val="18"/>
                <w:color w:val="auto"/>
              </w:rPr>
              <w:t xml:space="preserve"> </w:t>
            </w:r>
            <w:r>
              <w:rPr>
                <w:rFonts w:ascii="Arial" w:cs="Arial" w:eastAsia="Arial" w:hAnsi="Arial"/>
                <w:sz w:val="18"/>
                <w:szCs w:val="18"/>
                <w:b w:val="1"/>
                <w:bCs w:val="1"/>
                <w:color w:val="auto"/>
              </w:rPr>
              <w:t>(“Domicilium”)</w:t>
            </w:r>
            <w:r>
              <w:rPr>
                <w:rFonts w:ascii="Arial" w:cs="Arial" w:eastAsia="Arial" w:hAnsi="Arial"/>
                <w:sz w:val="18"/>
                <w:szCs w:val="18"/>
                <w:color w:val="auto"/>
              </w:rPr>
              <w:t xml:space="preserve"> for all purposes relating to this Agreement, including the</w:t>
            </w:r>
          </w:p>
        </w:tc>
      </w:tr>
      <w:tr>
        <w:trPr>
          <w:trHeight w:val="217"/>
        </w:trPr>
        <w:tc>
          <w:tcPr>
            <w:tcW w:w="740" w:type="dxa"/>
            <w:vAlign w:val="bottom"/>
          </w:tcPr>
          <w:p>
            <w:pPr>
              <w:spacing w:after="0"/>
              <w:rPr>
                <w:sz w:val="18"/>
                <w:szCs w:val="18"/>
                <w:color w:val="auto"/>
              </w:rPr>
            </w:pP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rPr>
              <w:t xml:space="preserve">giving of any notice, the payment of any sum, the serving of any process, as follows </w:t>
            </w:r>
            <w:r>
              <w:rPr>
                <w:rFonts w:ascii="Arial" w:cs="Arial" w:eastAsia="Arial" w:hAnsi="Arial"/>
                <w:sz w:val="18"/>
                <w:szCs w:val="18"/>
                <w:color w:val="262626"/>
              </w:rPr>
              <w:t>-</w:t>
            </w:r>
          </w:p>
        </w:tc>
      </w:tr>
      <w:tr>
        <w:trPr>
          <w:trHeight w:val="405"/>
        </w:trPr>
        <w:tc>
          <w:tcPr>
            <w:tcW w:w="740" w:type="dxa"/>
            <w:vAlign w:val="bottom"/>
          </w:tcPr>
          <w:p>
            <w:pPr>
              <w:spacing w:after="0"/>
              <w:rPr>
                <w:sz w:val="20"/>
                <w:szCs w:val="20"/>
                <w:color w:val="auto"/>
              </w:rPr>
            </w:pPr>
            <w:r>
              <w:rPr>
                <w:rFonts w:ascii="Arial" w:cs="Arial" w:eastAsia="Arial" w:hAnsi="Arial"/>
                <w:sz w:val="18"/>
                <w:szCs w:val="18"/>
                <w:color w:val="auto"/>
              </w:rPr>
              <w:t>15.1.1</w:t>
            </w:r>
          </w:p>
        </w:tc>
        <w:tc>
          <w:tcPr>
            <w:tcW w:w="4040" w:type="dxa"/>
            <w:vAlign w:val="bottom"/>
          </w:tcPr>
          <w:p>
            <w:pPr>
              <w:ind w:left="560"/>
              <w:spacing w:after="0"/>
              <w:rPr>
                <w:sz w:val="20"/>
                <w:szCs w:val="20"/>
                <w:color w:val="auto"/>
              </w:rPr>
            </w:pPr>
            <w:r>
              <w:rPr>
                <w:rFonts w:ascii="Arial" w:cs="Arial" w:eastAsia="Arial" w:hAnsi="Arial"/>
                <w:sz w:val="18"/>
                <w:szCs w:val="18"/>
                <w:b w:val="1"/>
                <w:bCs w:val="1"/>
                <w:color w:val="auto"/>
              </w:rPr>
              <w:t>Seller</w:t>
            </w:r>
          </w:p>
        </w:tc>
        <w:tc>
          <w:tcPr>
            <w:tcW w:w="154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391"/>
        </w:trPr>
        <w:tc>
          <w:tcPr>
            <w:tcW w:w="740" w:type="dxa"/>
            <w:vAlign w:val="bottom"/>
          </w:tcPr>
          <w:p>
            <w:pPr>
              <w:spacing w:after="0"/>
              <w:rPr>
                <w:sz w:val="24"/>
                <w:szCs w:val="24"/>
                <w:color w:val="auto"/>
              </w:rPr>
            </w:pPr>
          </w:p>
        </w:tc>
        <w:tc>
          <w:tcPr>
            <w:tcW w:w="4040" w:type="dxa"/>
            <w:vAlign w:val="bottom"/>
          </w:tcPr>
          <w:p>
            <w:pPr>
              <w:ind w:left="2360"/>
              <w:spacing w:after="0"/>
              <w:rPr>
                <w:sz w:val="20"/>
                <w:szCs w:val="20"/>
                <w:color w:val="auto"/>
              </w:rPr>
            </w:pPr>
            <w:r>
              <w:rPr>
                <w:rFonts w:ascii="Arial" w:cs="Arial" w:eastAsia="Arial" w:hAnsi="Arial"/>
                <w:sz w:val="18"/>
                <w:szCs w:val="18"/>
                <w:color w:val="auto"/>
              </w:rPr>
              <w:t>physical -</w:t>
            </w:r>
          </w:p>
        </w:tc>
        <w:tc>
          <w:tcPr>
            <w:tcW w:w="6460" w:type="dxa"/>
            <w:vAlign w:val="bottom"/>
            <w:gridSpan w:val="2"/>
          </w:tcPr>
          <w:p>
            <w:pPr>
              <w:spacing w:after="0"/>
              <w:rPr>
                <w:sz w:val="20"/>
                <w:szCs w:val="20"/>
                <w:color w:val="auto"/>
              </w:rPr>
            </w:pPr>
            <w:r>
              <w:rPr>
                <w:rFonts w:ascii="Arial" w:cs="Arial" w:eastAsia="Arial" w:hAnsi="Arial"/>
                <w:sz w:val="18"/>
                <w:szCs w:val="18"/>
                <w:color w:val="auto"/>
              </w:rPr>
              <w:t>21 Penhurst Avenue</w:t>
            </w:r>
          </w:p>
        </w:tc>
      </w:tr>
      <w:tr>
        <w:trPr>
          <w:trHeight w:val="203"/>
        </w:trPr>
        <w:tc>
          <w:tcPr>
            <w:tcW w:w="74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6460" w:type="dxa"/>
            <w:vAlign w:val="bottom"/>
            <w:gridSpan w:val="2"/>
          </w:tcPr>
          <w:p>
            <w:pPr>
              <w:spacing w:after="0" w:line="202" w:lineRule="exact"/>
              <w:rPr>
                <w:sz w:val="20"/>
                <w:szCs w:val="20"/>
                <w:color w:val="auto"/>
              </w:rPr>
            </w:pPr>
            <w:r>
              <w:rPr>
                <w:rFonts w:ascii="Arial" w:cs="Arial" w:eastAsia="Arial" w:hAnsi="Arial"/>
                <w:sz w:val="18"/>
                <w:szCs w:val="18"/>
                <w:color w:val="auto"/>
              </w:rPr>
              <w:t>Essexwold</w:t>
            </w:r>
          </w:p>
        </w:tc>
      </w:tr>
      <w:tr>
        <w:trPr>
          <w:trHeight w:val="203"/>
        </w:trPr>
        <w:tc>
          <w:tcPr>
            <w:tcW w:w="74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6460" w:type="dxa"/>
            <w:vAlign w:val="bottom"/>
            <w:gridSpan w:val="2"/>
          </w:tcPr>
          <w:p>
            <w:pPr>
              <w:spacing w:after="0" w:line="202" w:lineRule="exact"/>
              <w:rPr>
                <w:sz w:val="20"/>
                <w:szCs w:val="20"/>
                <w:color w:val="auto"/>
              </w:rPr>
            </w:pPr>
            <w:r>
              <w:rPr>
                <w:rFonts w:ascii="Arial" w:cs="Arial" w:eastAsia="Arial" w:hAnsi="Arial"/>
                <w:sz w:val="18"/>
                <w:szCs w:val="18"/>
                <w:color w:val="auto"/>
              </w:rPr>
              <w:t>Bedfordview</w:t>
            </w:r>
          </w:p>
        </w:tc>
      </w:tr>
      <w:tr>
        <w:trPr>
          <w:trHeight w:val="217"/>
        </w:trPr>
        <w:tc>
          <w:tcPr>
            <w:tcW w:w="7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2007</w:t>
            </w:r>
          </w:p>
        </w:tc>
        <w:tc>
          <w:tcPr>
            <w:tcW w:w="4920" w:type="dxa"/>
            <w:vAlign w:val="bottom"/>
          </w:tcPr>
          <w:p>
            <w:pPr>
              <w:spacing w:after="0"/>
              <w:rPr>
                <w:sz w:val="18"/>
                <w:szCs w:val="18"/>
                <w:color w:val="auto"/>
              </w:rPr>
            </w:pPr>
          </w:p>
        </w:tc>
      </w:tr>
      <w:tr>
        <w:trPr>
          <w:trHeight w:val="229"/>
        </w:trPr>
        <w:tc>
          <w:tcPr>
            <w:tcW w:w="740" w:type="dxa"/>
            <w:vAlign w:val="bottom"/>
          </w:tcPr>
          <w:p>
            <w:pPr>
              <w:spacing w:after="0"/>
              <w:rPr>
                <w:sz w:val="19"/>
                <w:szCs w:val="19"/>
                <w:color w:val="auto"/>
              </w:rPr>
            </w:pPr>
          </w:p>
        </w:tc>
        <w:tc>
          <w:tcPr>
            <w:tcW w:w="4040" w:type="dxa"/>
            <w:vAlign w:val="bottom"/>
          </w:tcPr>
          <w:p>
            <w:pPr>
              <w:ind w:left="2360"/>
              <w:spacing w:after="0"/>
              <w:rPr>
                <w:sz w:val="20"/>
                <w:szCs w:val="20"/>
                <w:color w:val="auto"/>
              </w:rPr>
            </w:pPr>
            <w:r>
              <w:rPr>
                <w:rFonts w:ascii="Arial" w:cs="Arial" w:eastAsia="Arial" w:hAnsi="Arial"/>
                <w:sz w:val="18"/>
                <w:szCs w:val="18"/>
                <w:color w:val="auto"/>
              </w:rPr>
              <w:t>email -</w:t>
            </w:r>
          </w:p>
        </w:tc>
        <w:tc>
          <w:tcPr>
            <w:tcW w:w="6460" w:type="dxa"/>
            <w:vAlign w:val="bottom"/>
            <w:gridSpan w:val="2"/>
          </w:tcPr>
          <w:p>
            <w:pPr>
              <w:spacing w:after="0"/>
              <w:rPr>
                <w:sz w:val="20"/>
                <w:szCs w:val="20"/>
                <w:color w:val="auto"/>
              </w:rPr>
            </w:pPr>
            <w:r>
              <w:rPr>
                <w:rFonts w:ascii="Arial" w:cs="Arial" w:eastAsia="Arial" w:hAnsi="Arial"/>
                <w:sz w:val="18"/>
                <w:szCs w:val="18"/>
                <w:color w:val="auto"/>
              </w:rPr>
              <w:t>juan@cartrack.com</w:t>
            </w:r>
          </w:p>
        </w:tc>
      </w:tr>
      <w:tr>
        <w:trPr>
          <w:trHeight w:val="291"/>
        </w:trPr>
        <w:tc>
          <w:tcPr>
            <w:tcW w:w="740" w:type="dxa"/>
            <w:vAlign w:val="bottom"/>
          </w:tcPr>
          <w:p>
            <w:pPr>
              <w:spacing w:after="0"/>
              <w:rPr>
                <w:sz w:val="24"/>
                <w:szCs w:val="24"/>
                <w:color w:val="auto"/>
              </w:rPr>
            </w:pPr>
          </w:p>
        </w:tc>
        <w:tc>
          <w:tcPr>
            <w:tcW w:w="4040" w:type="dxa"/>
            <w:vAlign w:val="bottom"/>
          </w:tcPr>
          <w:p>
            <w:pPr>
              <w:ind w:left="2360"/>
              <w:spacing w:after="0"/>
              <w:rPr>
                <w:sz w:val="20"/>
                <w:szCs w:val="20"/>
                <w:color w:val="auto"/>
              </w:rPr>
            </w:pPr>
            <w:r>
              <w:rPr>
                <w:rFonts w:ascii="Arial" w:cs="Arial" w:eastAsia="Arial" w:hAnsi="Arial"/>
                <w:sz w:val="18"/>
                <w:szCs w:val="18"/>
                <w:color w:val="auto"/>
              </w:rPr>
              <w:t>attention -</w:t>
            </w:r>
          </w:p>
        </w:tc>
        <w:tc>
          <w:tcPr>
            <w:tcW w:w="1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Juan Marais</w:t>
            </w:r>
          </w:p>
        </w:tc>
        <w:tc>
          <w:tcPr>
            <w:tcW w:w="4920" w:type="dxa"/>
            <w:vAlign w:val="bottom"/>
          </w:tcPr>
          <w:p>
            <w:pPr>
              <w:spacing w:after="0"/>
              <w:rPr>
                <w:sz w:val="24"/>
                <w:szCs w:val="24"/>
                <w:color w:val="auto"/>
              </w:rPr>
            </w:pPr>
          </w:p>
        </w:tc>
      </w:tr>
      <w:tr>
        <w:trPr>
          <w:trHeight w:val="513"/>
        </w:trPr>
        <w:tc>
          <w:tcPr>
            <w:tcW w:w="740" w:type="dxa"/>
            <w:vAlign w:val="bottom"/>
          </w:tcPr>
          <w:p>
            <w:pPr>
              <w:spacing w:after="0"/>
              <w:rPr>
                <w:sz w:val="20"/>
                <w:szCs w:val="20"/>
                <w:color w:val="auto"/>
              </w:rPr>
            </w:pPr>
            <w:r>
              <w:rPr>
                <w:rFonts w:ascii="Arial" w:cs="Arial" w:eastAsia="Arial" w:hAnsi="Arial"/>
                <w:sz w:val="18"/>
                <w:szCs w:val="18"/>
                <w:color w:val="auto"/>
              </w:rPr>
              <w:t>15.1.2</w:t>
            </w:r>
          </w:p>
        </w:tc>
        <w:tc>
          <w:tcPr>
            <w:tcW w:w="4040" w:type="dxa"/>
            <w:vAlign w:val="bottom"/>
          </w:tcPr>
          <w:p>
            <w:pPr>
              <w:ind w:left="560"/>
              <w:spacing w:after="0"/>
              <w:rPr>
                <w:sz w:val="20"/>
                <w:szCs w:val="20"/>
                <w:color w:val="auto"/>
              </w:rPr>
            </w:pPr>
            <w:r>
              <w:rPr>
                <w:rFonts w:ascii="Arial" w:cs="Arial" w:eastAsia="Arial" w:hAnsi="Arial"/>
                <w:sz w:val="18"/>
                <w:szCs w:val="18"/>
                <w:b w:val="1"/>
                <w:bCs w:val="1"/>
                <w:color w:val="auto"/>
              </w:rPr>
              <w:t>Purchaser</w:t>
            </w:r>
          </w:p>
        </w:tc>
        <w:tc>
          <w:tcPr>
            <w:tcW w:w="154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391"/>
        </w:trPr>
        <w:tc>
          <w:tcPr>
            <w:tcW w:w="740" w:type="dxa"/>
            <w:vAlign w:val="bottom"/>
          </w:tcPr>
          <w:p>
            <w:pPr>
              <w:spacing w:after="0"/>
              <w:rPr>
                <w:sz w:val="24"/>
                <w:szCs w:val="24"/>
                <w:color w:val="auto"/>
              </w:rPr>
            </w:pPr>
          </w:p>
        </w:tc>
        <w:tc>
          <w:tcPr>
            <w:tcW w:w="4040" w:type="dxa"/>
            <w:vAlign w:val="bottom"/>
          </w:tcPr>
          <w:p>
            <w:pPr>
              <w:ind w:left="2360"/>
              <w:spacing w:after="0"/>
              <w:rPr>
                <w:sz w:val="20"/>
                <w:szCs w:val="20"/>
                <w:color w:val="auto"/>
              </w:rPr>
            </w:pPr>
            <w:r>
              <w:rPr>
                <w:rFonts w:ascii="Arial" w:cs="Arial" w:eastAsia="Arial" w:hAnsi="Arial"/>
                <w:sz w:val="18"/>
                <w:szCs w:val="18"/>
                <w:color w:val="auto"/>
              </w:rPr>
              <w:t>physical -</w:t>
            </w:r>
          </w:p>
        </w:tc>
        <w:tc>
          <w:tcPr>
            <w:tcW w:w="6460" w:type="dxa"/>
            <w:vAlign w:val="bottom"/>
            <w:gridSpan w:val="2"/>
          </w:tcPr>
          <w:p>
            <w:pPr>
              <w:spacing w:after="0"/>
              <w:rPr>
                <w:sz w:val="20"/>
                <w:szCs w:val="20"/>
                <w:color w:val="auto"/>
              </w:rPr>
            </w:pPr>
            <w:r>
              <w:rPr>
                <w:rFonts w:ascii="Arial" w:cs="Arial" w:eastAsia="Arial" w:hAnsi="Arial"/>
                <w:sz w:val="18"/>
                <w:szCs w:val="18"/>
                <w:color w:val="auto"/>
              </w:rPr>
              <w:t>21 Penhurst Avenue</w:t>
            </w:r>
          </w:p>
        </w:tc>
      </w:tr>
      <w:tr>
        <w:trPr>
          <w:trHeight w:val="203"/>
        </w:trPr>
        <w:tc>
          <w:tcPr>
            <w:tcW w:w="74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6460" w:type="dxa"/>
            <w:vAlign w:val="bottom"/>
            <w:gridSpan w:val="2"/>
          </w:tcPr>
          <w:p>
            <w:pPr>
              <w:spacing w:after="0" w:line="202" w:lineRule="exact"/>
              <w:rPr>
                <w:sz w:val="20"/>
                <w:szCs w:val="20"/>
                <w:color w:val="auto"/>
              </w:rPr>
            </w:pPr>
            <w:r>
              <w:rPr>
                <w:rFonts w:ascii="Arial" w:cs="Arial" w:eastAsia="Arial" w:hAnsi="Arial"/>
                <w:sz w:val="18"/>
                <w:szCs w:val="18"/>
                <w:color w:val="auto"/>
              </w:rPr>
              <w:t>Essexwold</w:t>
            </w:r>
          </w:p>
        </w:tc>
      </w:tr>
      <w:tr>
        <w:trPr>
          <w:trHeight w:val="203"/>
        </w:trPr>
        <w:tc>
          <w:tcPr>
            <w:tcW w:w="74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6460" w:type="dxa"/>
            <w:vAlign w:val="bottom"/>
            <w:gridSpan w:val="2"/>
          </w:tcPr>
          <w:p>
            <w:pPr>
              <w:spacing w:after="0" w:line="202" w:lineRule="exact"/>
              <w:rPr>
                <w:sz w:val="20"/>
                <w:szCs w:val="20"/>
                <w:color w:val="auto"/>
              </w:rPr>
            </w:pPr>
            <w:r>
              <w:rPr>
                <w:rFonts w:ascii="Arial" w:cs="Arial" w:eastAsia="Arial" w:hAnsi="Arial"/>
                <w:sz w:val="18"/>
                <w:szCs w:val="18"/>
                <w:color w:val="auto"/>
              </w:rPr>
              <w:t>Bedfordview</w:t>
            </w:r>
          </w:p>
        </w:tc>
      </w:tr>
      <w:tr>
        <w:trPr>
          <w:trHeight w:val="217"/>
        </w:trPr>
        <w:tc>
          <w:tcPr>
            <w:tcW w:w="7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2007</w:t>
            </w:r>
          </w:p>
        </w:tc>
        <w:tc>
          <w:tcPr>
            <w:tcW w:w="4920" w:type="dxa"/>
            <w:vAlign w:val="bottom"/>
          </w:tcPr>
          <w:p>
            <w:pPr>
              <w:spacing w:after="0"/>
              <w:rPr>
                <w:sz w:val="18"/>
                <w:szCs w:val="18"/>
                <w:color w:val="auto"/>
              </w:rPr>
            </w:pPr>
          </w:p>
        </w:tc>
      </w:tr>
      <w:tr>
        <w:trPr>
          <w:trHeight w:val="229"/>
        </w:trPr>
        <w:tc>
          <w:tcPr>
            <w:tcW w:w="740" w:type="dxa"/>
            <w:vAlign w:val="bottom"/>
          </w:tcPr>
          <w:p>
            <w:pPr>
              <w:spacing w:after="0"/>
              <w:rPr>
                <w:sz w:val="19"/>
                <w:szCs w:val="19"/>
                <w:color w:val="auto"/>
              </w:rPr>
            </w:pPr>
          </w:p>
        </w:tc>
        <w:tc>
          <w:tcPr>
            <w:tcW w:w="4040" w:type="dxa"/>
            <w:vAlign w:val="bottom"/>
          </w:tcPr>
          <w:p>
            <w:pPr>
              <w:ind w:left="2360"/>
              <w:spacing w:after="0"/>
              <w:rPr>
                <w:sz w:val="20"/>
                <w:szCs w:val="20"/>
                <w:color w:val="auto"/>
              </w:rPr>
            </w:pPr>
            <w:r>
              <w:rPr>
                <w:rFonts w:ascii="Arial" w:cs="Arial" w:eastAsia="Arial" w:hAnsi="Arial"/>
                <w:sz w:val="18"/>
                <w:szCs w:val="18"/>
                <w:color w:val="auto"/>
              </w:rPr>
              <w:t>email -</w:t>
            </w:r>
          </w:p>
        </w:tc>
        <w:tc>
          <w:tcPr>
            <w:tcW w:w="6460" w:type="dxa"/>
            <w:vAlign w:val="bottom"/>
            <w:gridSpan w:val="2"/>
          </w:tcPr>
          <w:p>
            <w:pPr>
              <w:spacing w:after="0"/>
              <w:rPr>
                <w:sz w:val="20"/>
                <w:szCs w:val="20"/>
                <w:color w:val="auto"/>
              </w:rPr>
            </w:pPr>
            <w:r>
              <w:rPr>
                <w:rFonts w:ascii="Arial" w:cs="Arial" w:eastAsia="Arial" w:hAnsi="Arial"/>
                <w:sz w:val="18"/>
                <w:szCs w:val="18"/>
                <w:color w:val="auto"/>
              </w:rPr>
              <w:t>juan@cartrack.com</w:t>
            </w:r>
          </w:p>
        </w:tc>
      </w:tr>
      <w:tr>
        <w:trPr>
          <w:trHeight w:val="291"/>
        </w:trPr>
        <w:tc>
          <w:tcPr>
            <w:tcW w:w="740" w:type="dxa"/>
            <w:vAlign w:val="bottom"/>
          </w:tcPr>
          <w:p>
            <w:pPr>
              <w:spacing w:after="0"/>
              <w:rPr>
                <w:sz w:val="24"/>
                <w:szCs w:val="24"/>
                <w:color w:val="auto"/>
              </w:rPr>
            </w:pPr>
          </w:p>
        </w:tc>
        <w:tc>
          <w:tcPr>
            <w:tcW w:w="4040" w:type="dxa"/>
            <w:vAlign w:val="bottom"/>
          </w:tcPr>
          <w:p>
            <w:pPr>
              <w:ind w:left="2360"/>
              <w:spacing w:after="0"/>
              <w:rPr>
                <w:sz w:val="20"/>
                <w:szCs w:val="20"/>
                <w:color w:val="auto"/>
              </w:rPr>
            </w:pPr>
            <w:r>
              <w:rPr>
                <w:rFonts w:ascii="Arial" w:cs="Arial" w:eastAsia="Arial" w:hAnsi="Arial"/>
                <w:sz w:val="18"/>
                <w:szCs w:val="18"/>
                <w:color w:val="auto"/>
              </w:rPr>
              <w:t>attention -</w:t>
            </w:r>
          </w:p>
        </w:tc>
        <w:tc>
          <w:tcPr>
            <w:tcW w:w="1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Juan Marais</w:t>
            </w:r>
          </w:p>
        </w:tc>
        <w:tc>
          <w:tcPr>
            <w:tcW w:w="4920" w:type="dxa"/>
            <w:vAlign w:val="bottom"/>
          </w:tcPr>
          <w:p>
            <w:pPr>
              <w:spacing w:after="0"/>
              <w:rPr>
                <w:sz w:val="24"/>
                <w:szCs w:val="24"/>
                <w:color w:val="auto"/>
              </w:rPr>
            </w:pPr>
          </w:p>
        </w:tc>
      </w:tr>
      <w:tr>
        <w:trPr>
          <w:trHeight w:val="499"/>
        </w:trPr>
        <w:tc>
          <w:tcPr>
            <w:tcW w:w="740" w:type="dxa"/>
            <w:vAlign w:val="bottom"/>
          </w:tcPr>
          <w:p>
            <w:pPr>
              <w:spacing w:after="0"/>
              <w:rPr>
                <w:sz w:val="20"/>
                <w:szCs w:val="20"/>
                <w:color w:val="auto"/>
              </w:rPr>
            </w:pPr>
            <w:r>
              <w:rPr>
                <w:rFonts w:ascii="Arial" w:cs="Arial" w:eastAsia="Arial" w:hAnsi="Arial"/>
                <w:sz w:val="18"/>
                <w:szCs w:val="18"/>
                <w:color w:val="auto"/>
              </w:rPr>
              <w:t>15.2</w:t>
            </w: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rPr>
              <w:t>Each of the Parties shall be entitled from time to time, by giving written notice to the others</w:t>
            </w:r>
            <w:r>
              <w:rPr>
                <w:rFonts w:ascii="Arial" w:cs="Arial" w:eastAsia="Arial" w:hAnsi="Arial"/>
                <w:sz w:val="18"/>
                <w:szCs w:val="18"/>
                <w:color w:val="363636"/>
              </w:rPr>
              <w:t>,</w:t>
            </w:r>
            <w:r>
              <w:rPr>
                <w:rFonts w:ascii="Arial" w:cs="Arial" w:eastAsia="Arial" w:hAnsi="Arial"/>
                <w:sz w:val="18"/>
                <w:szCs w:val="18"/>
                <w:color w:val="auto"/>
              </w:rPr>
              <w:t xml:space="preserve"> to vary its physical Domicilium to any</w:t>
            </w:r>
          </w:p>
        </w:tc>
      </w:tr>
      <w:tr>
        <w:trPr>
          <w:trHeight w:val="202"/>
        </w:trPr>
        <w:tc>
          <w:tcPr>
            <w:tcW w:w="740" w:type="dxa"/>
            <w:vAlign w:val="bottom"/>
          </w:tcPr>
          <w:p>
            <w:pPr>
              <w:spacing w:after="0"/>
              <w:rPr>
                <w:sz w:val="17"/>
                <w:szCs w:val="17"/>
                <w:color w:val="auto"/>
              </w:rPr>
            </w:pPr>
          </w:p>
        </w:tc>
        <w:tc>
          <w:tcPr>
            <w:tcW w:w="1050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other physical address (not being a post office box or poste restante) and/or to vary its email domicilium to any other email</w:t>
            </w:r>
          </w:p>
        </w:tc>
      </w:tr>
      <w:tr>
        <w:trPr>
          <w:trHeight w:val="217"/>
        </w:trPr>
        <w:tc>
          <w:tcPr>
            <w:tcW w:w="740" w:type="dxa"/>
            <w:vAlign w:val="bottom"/>
          </w:tcPr>
          <w:p>
            <w:pPr>
              <w:spacing w:after="0"/>
              <w:rPr>
                <w:sz w:val="18"/>
                <w:szCs w:val="18"/>
                <w:color w:val="auto"/>
              </w:rPr>
            </w:pPr>
          </w:p>
        </w:tc>
        <w:tc>
          <w:tcPr>
            <w:tcW w:w="4040" w:type="dxa"/>
            <w:vAlign w:val="bottom"/>
          </w:tcPr>
          <w:p>
            <w:pPr>
              <w:ind w:left="240"/>
              <w:spacing w:after="0"/>
              <w:rPr>
                <w:sz w:val="20"/>
                <w:szCs w:val="20"/>
                <w:color w:val="auto"/>
              </w:rPr>
            </w:pPr>
            <w:r>
              <w:rPr>
                <w:rFonts w:ascii="Arial" w:cs="Arial" w:eastAsia="Arial" w:hAnsi="Arial"/>
                <w:sz w:val="18"/>
                <w:szCs w:val="18"/>
                <w:color w:val="auto"/>
              </w:rPr>
              <w:t>address.</w:t>
            </w:r>
          </w:p>
        </w:tc>
        <w:tc>
          <w:tcPr>
            <w:tcW w:w="1540" w:type="dxa"/>
            <w:vAlign w:val="bottom"/>
          </w:tcPr>
          <w:p>
            <w:pPr>
              <w:spacing w:after="0"/>
              <w:rPr>
                <w:sz w:val="18"/>
                <w:szCs w:val="18"/>
                <w:color w:val="auto"/>
              </w:rPr>
            </w:pPr>
          </w:p>
        </w:tc>
        <w:tc>
          <w:tcPr>
            <w:tcW w:w="4920" w:type="dxa"/>
            <w:vAlign w:val="bottom"/>
          </w:tcPr>
          <w:p>
            <w:pPr>
              <w:spacing w:after="0"/>
              <w:rPr>
                <w:sz w:val="18"/>
                <w:szCs w:val="18"/>
                <w:color w:val="auto"/>
              </w:rPr>
            </w:pPr>
          </w:p>
        </w:tc>
      </w:tr>
      <w:tr>
        <w:trPr>
          <w:trHeight w:val="499"/>
        </w:trPr>
        <w:tc>
          <w:tcPr>
            <w:tcW w:w="74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6460" w:type="dxa"/>
            <w:vAlign w:val="bottom"/>
            <w:tcBorders>
              <w:bottom w:val="single" w:sz="8" w:color="auto"/>
            </w:tcBorders>
            <w:gridSpan w:val="2"/>
          </w:tcPr>
          <w:p>
            <w:pPr>
              <w:ind w:left="622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240"/>
          </w:cols>
          <w:pgMar w:left="320" w:top="814" w:right="339" w:bottom="1440" w:gutter="0" w:footer="0" w:header="0"/>
        </w:sectPr>
      </w:pPr>
    </w:p>
    <w:bookmarkStart w:id="35" w:name="page36"/>
    <w:bookmarkEnd w:id="3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6894830</wp:posOffset>
            </wp:positionH>
            <wp:positionV relativeFrom="page">
              <wp:posOffset>157480</wp:posOffset>
            </wp:positionV>
            <wp:extent cx="411480" cy="2660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411480" cy="2660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4"/>
        </w:trPr>
        <w:tc>
          <w:tcPr>
            <w:tcW w:w="740" w:type="dxa"/>
            <w:vAlign w:val="bottom"/>
          </w:tcPr>
          <w:p>
            <w:pPr>
              <w:spacing w:after="0"/>
              <w:rPr>
                <w:sz w:val="20"/>
                <w:szCs w:val="20"/>
                <w:color w:val="auto"/>
              </w:rPr>
            </w:pPr>
            <w:r>
              <w:rPr>
                <w:rFonts w:ascii="Arial" w:cs="Arial" w:eastAsia="Arial" w:hAnsi="Arial"/>
                <w:sz w:val="18"/>
                <w:szCs w:val="18"/>
                <w:color w:val="auto"/>
              </w:rPr>
              <w:t>15.3</w:t>
            </w:r>
          </w:p>
        </w:tc>
        <w:tc>
          <w:tcPr>
            <w:tcW w:w="10500" w:type="dxa"/>
            <w:vAlign w:val="bottom"/>
          </w:tcPr>
          <w:p>
            <w:pPr>
              <w:ind w:left="240"/>
              <w:spacing w:after="0"/>
              <w:rPr>
                <w:sz w:val="20"/>
                <w:szCs w:val="20"/>
                <w:color w:val="auto"/>
              </w:rPr>
            </w:pPr>
            <w:r>
              <w:rPr>
                <w:rFonts w:ascii="Arial" w:cs="Arial" w:eastAsia="Arial" w:hAnsi="Arial"/>
                <w:sz w:val="18"/>
                <w:szCs w:val="18"/>
                <w:color w:val="auto"/>
              </w:rPr>
              <w:t xml:space="preserve">Any notice given or payment made by any Party to the others </w:t>
            </w:r>
            <w:r>
              <w:rPr>
                <w:rFonts w:ascii="Arial" w:cs="Arial" w:eastAsia="Arial" w:hAnsi="Arial"/>
                <w:sz w:val="18"/>
                <w:szCs w:val="18"/>
                <w:b w:val="1"/>
                <w:bCs w:val="1"/>
                <w:color w:val="auto"/>
              </w:rPr>
              <w:t>(“Addressee”)</w:t>
            </w:r>
            <w:r>
              <w:rPr>
                <w:rFonts w:ascii="Arial" w:cs="Arial" w:eastAsia="Arial" w:hAnsi="Arial"/>
                <w:sz w:val="18"/>
                <w:szCs w:val="18"/>
                <w:color w:val="auto"/>
              </w:rPr>
              <w:t xml:space="preserve"> which is delivered by hand between the hours of</w:t>
            </w:r>
          </w:p>
        </w:tc>
      </w:tr>
      <w:tr>
        <w:trPr>
          <w:trHeight w:val="203"/>
        </w:trPr>
        <w:tc>
          <w:tcPr>
            <w:tcW w:w="740" w:type="dxa"/>
            <w:vAlign w:val="bottom"/>
          </w:tcPr>
          <w:p>
            <w:pPr>
              <w:spacing w:after="0"/>
              <w:rPr>
                <w:sz w:val="17"/>
                <w:szCs w:val="17"/>
                <w:color w:val="auto"/>
              </w:rPr>
            </w:pPr>
          </w:p>
        </w:tc>
        <w:tc>
          <w:tcPr>
            <w:tcW w:w="10500" w:type="dxa"/>
            <w:vAlign w:val="bottom"/>
          </w:tcPr>
          <w:p>
            <w:pPr>
              <w:ind w:left="240"/>
              <w:spacing w:after="0" w:line="202" w:lineRule="exact"/>
              <w:rPr>
                <w:sz w:val="20"/>
                <w:szCs w:val="20"/>
                <w:color w:val="auto"/>
              </w:rPr>
            </w:pPr>
            <w:r>
              <w:rPr>
                <w:rFonts w:ascii="Arial" w:cs="Arial" w:eastAsia="Arial" w:hAnsi="Arial"/>
                <w:sz w:val="18"/>
                <w:szCs w:val="18"/>
                <w:color w:val="auto"/>
              </w:rPr>
              <w:t>09:00 and 17:00 on any Business Day to the Addressee’s physical Domicilium for the time being shall be deemed to have been</w:t>
            </w:r>
          </w:p>
        </w:tc>
      </w:tr>
      <w:tr>
        <w:trPr>
          <w:trHeight w:val="217"/>
        </w:trPr>
        <w:tc>
          <w:tcPr>
            <w:tcW w:w="740" w:type="dxa"/>
            <w:vAlign w:val="bottom"/>
          </w:tcPr>
          <w:p>
            <w:pPr>
              <w:spacing w:after="0"/>
              <w:rPr>
                <w:sz w:val="18"/>
                <w:szCs w:val="18"/>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rPr>
              <w:t>received by the Addressee at the time of delivery</w:t>
            </w:r>
            <w:r>
              <w:rPr>
                <w:rFonts w:ascii="Arial" w:cs="Arial" w:eastAsia="Arial" w:hAnsi="Arial"/>
                <w:sz w:val="18"/>
                <w:szCs w:val="18"/>
                <w:color w:val="363636"/>
              </w:rPr>
              <w:t>.</w:t>
            </w:r>
          </w:p>
        </w:tc>
      </w:tr>
      <w:tr>
        <w:trPr>
          <w:trHeight w:val="369"/>
        </w:trPr>
        <w:tc>
          <w:tcPr>
            <w:tcW w:w="740" w:type="dxa"/>
            <w:vAlign w:val="bottom"/>
          </w:tcPr>
          <w:p>
            <w:pPr>
              <w:spacing w:after="0"/>
              <w:rPr>
                <w:sz w:val="20"/>
                <w:szCs w:val="20"/>
                <w:color w:val="auto"/>
              </w:rPr>
            </w:pPr>
            <w:r>
              <w:rPr>
                <w:rFonts w:ascii="Arial" w:cs="Arial" w:eastAsia="Arial" w:hAnsi="Arial"/>
                <w:sz w:val="18"/>
                <w:szCs w:val="18"/>
                <w:color w:val="auto"/>
              </w:rPr>
              <w:t>15.4</w:t>
            </w:r>
          </w:p>
        </w:tc>
        <w:tc>
          <w:tcPr>
            <w:tcW w:w="10500" w:type="dxa"/>
            <w:vAlign w:val="bottom"/>
          </w:tcPr>
          <w:p>
            <w:pPr>
              <w:ind w:left="240"/>
              <w:spacing w:after="0"/>
              <w:rPr>
                <w:sz w:val="20"/>
                <w:szCs w:val="20"/>
                <w:color w:val="auto"/>
              </w:rPr>
            </w:pPr>
            <w:r>
              <w:rPr>
                <w:rFonts w:ascii="Arial" w:cs="Arial" w:eastAsia="Arial" w:hAnsi="Arial"/>
                <w:sz w:val="18"/>
                <w:szCs w:val="18"/>
                <w:color w:val="auto"/>
              </w:rPr>
              <w:t>Any notice given by either Party to the others which is successfully transmitted by email to the Addressee’s email Domicilium for</w:t>
            </w:r>
          </w:p>
        </w:tc>
      </w:tr>
      <w:tr>
        <w:trPr>
          <w:trHeight w:val="239"/>
        </w:trPr>
        <w:tc>
          <w:tcPr>
            <w:tcW w:w="740" w:type="dxa"/>
            <w:vAlign w:val="bottom"/>
          </w:tcPr>
          <w:p>
            <w:pPr>
              <w:spacing w:after="0"/>
              <w:rPr>
                <w:sz w:val="20"/>
                <w:szCs w:val="20"/>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rPr>
              <w:t xml:space="preserve">the time being </w:t>
            </w:r>
            <w:r>
              <w:rPr>
                <w:rFonts w:ascii="Arial" w:cs="Arial" w:eastAsia="Arial" w:hAnsi="Arial"/>
                <w:sz w:val="18"/>
                <w:szCs w:val="18"/>
                <w:b w:val="1"/>
                <w:bCs w:val="1"/>
                <w:color w:val="auto"/>
              </w:rPr>
              <w:t>(“Transmitted”)</w:t>
            </w:r>
            <w:r>
              <w:rPr>
                <w:rFonts w:ascii="Arial" w:cs="Arial" w:eastAsia="Arial" w:hAnsi="Arial"/>
                <w:sz w:val="18"/>
                <w:szCs w:val="18"/>
                <w:color w:val="auto"/>
              </w:rPr>
              <w:t xml:space="preserve"> shall, if the notice is Transmitted -</w:t>
            </w:r>
          </w:p>
        </w:tc>
      </w:tr>
      <w:tr>
        <w:trPr>
          <w:trHeight w:val="391"/>
        </w:trPr>
        <w:tc>
          <w:tcPr>
            <w:tcW w:w="740" w:type="dxa"/>
            <w:vAlign w:val="bottom"/>
          </w:tcPr>
          <w:p>
            <w:pPr>
              <w:spacing w:after="0"/>
              <w:rPr>
                <w:sz w:val="20"/>
                <w:szCs w:val="20"/>
                <w:color w:val="auto"/>
              </w:rPr>
            </w:pPr>
            <w:r>
              <w:rPr>
                <w:rFonts w:ascii="Arial" w:cs="Arial" w:eastAsia="Arial" w:hAnsi="Arial"/>
                <w:sz w:val="18"/>
                <w:szCs w:val="18"/>
                <w:color w:val="auto"/>
              </w:rPr>
              <w:t>15.4.1</w:t>
            </w:r>
          </w:p>
        </w:tc>
        <w:tc>
          <w:tcPr>
            <w:tcW w:w="10500" w:type="dxa"/>
            <w:vAlign w:val="bottom"/>
          </w:tcPr>
          <w:p>
            <w:pPr>
              <w:ind w:left="560"/>
              <w:spacing w:after="0"/>
              <w:rPr>
                <w:sz w:val="20"/>
                <w:szCs w:val="20"/>
                <w:color w:val="auto"/>
              </w:rPr>
            </w:pPr>
            <w:r>
              <w:rPr>
                <w:rFonts w:ascii="Arial" w:cs="Arial" w:eastAsia="Arial" w:hAnsi="Arial"/>
                <w:sz w:val="18"/>
                <w:szCs w:val="18"/>
                <w:color w:val="auto"/>
              </w:rPr>
              <w:t>by no later than 17:00 on a Business Day, be deemed (unless the contrary is proved) to have been received by the</w:t>
            </w:r>
          </w:p>
        </w:tc>
      </w:tr>
      <w:tr>
        <w:trPr>
          <w:trHeight w:val="217"/>
        </w:trPr>
        <w:tc>
          <w:tcPr>
            <w:tcW w:w="740" w:type="dxa"/>
            <w:vAlign w:val="bottom"/>
          </w:tcPr>
          <w:p>
            <w:pPr>
              <w:spacing w:after="0"/>
              <w:rPr>
                <w:sz w:val="18"/>
                <w:szCs w:val="18"/>
                <w:color w:val="auto"/>
              </w:rPr>
            </w:pPr>
          </w:p>
        </w:tc>
        <w:tc>
          <w:tcPr>
            <w:tcW w:w="10500" w:type="dxa"/>
            <w:vAlign w:val="bottom"/>
          </w:tcPr>
          <w:p>
            <w:pPr>
              <w:ind w:left="560"/>
              <w:spacing w:after="0"/>
              <w:rPr>
                <w:sz w:val="20"/>
                <w:szCs w:val="20"/>
                <w:color w:val="auto"/>
              </w:rPr>
            </w:pPr>
            <w:r>
              <w:rPr>
                <w:rFonts w:ascii="Arial" w:cs="Arial" w:eastAsia="Arial" w:hAnsi="Arial"/>
                <w:sz w:val="18"/>
                <w:szCs w:val="18"/>
                <w:color w:val="auto"/>
              </w:rPr>
              <w:t>Addressee on that day;</w:t>
            </w:r>
          </w:p>
        </w:tc>
      </w:tr>
      <w:tr>
        <w:trPr>
          <w:trHeight w:val="391"/>
        </w:trPr>
        <w:tc>
          <w:tcPr>
            <w:tcW w:w="740" w:type="dxa"/>
            <w:vAlign w:val="bottom"/>
          </w:tcPr>
          <w:p>
            <w:pPr>
              <w:spacing w:after="0"/>
              <w:rPr>
                <w:sz w:val="20"/>
                <w:szCs w:val="20"/>
                <w:color w:val="auto"/>
              </w:rPr>
            </w:pPr>
            <w:r>
              <w:rPr>
                <w:rFonts w:ascii="Arial" w:cs="Arial" w:eastAsia="Arial" w:hAnsi="Arial"/>
                <w:sz w:val="18"/>
                <w:szCs w:val="18"/>
                <w:color w:val="auto"/>
              </w:rPr>
              <w:t>15.4.2</w:t>
            </w:r>
          </w:p>
        </w:tc>
        <w:tc>
          <w:tcPr>
            <w:tcW w:w="10500" w:type="dxa"/>
            <w:vAlign w:val="bottom"/>
          </w:tcPr>
          <w:p>
            <w:pPr>
              <w:ind w:left="560"/>
              <w:spacing w:after="0"/>
              <w:rPr>
                <w:sz w:val="20"/>
                <w:szCs w:val="20"/>
                <w:color w:val="auto"/>
              </w:rPr>
            </w:pPr>
            <w:r>
              <w:rPr>
                <w:rFonts w:ascii="Arial" w:cs="Arial" w:eastAsia="Arial" w:hAnsi="Arial"/>
                <w:sz w:val="18"/>
                <w:szCs w:val="18"/>
                <w:color w:val="auto"/>
              </w:rPr>
              <w:t>after 17</w:t>
            </w:r>
            <w:r>
              <w:rPr>
                <w:rFonts w:ascii="Arial" w:cs="Arial" w:eastAsia="Arial" w:hAnsi="Arial"/>
                <w:sz w:val="18"/>
                <w:szCs w:val="18"/>
                <w:color w:val="363636"/>
              </w:rPr>
              <w:t>:</w:t>
            </w:r>
            <w:r>
              <w:rPr>
                <w:rFonts w:ascii="Arial" w:cs="Arial" w:eastAsia="Arial" w:hAnsi="Arial"/>
                <w:sz w:val="18"/>
                <w:szCs w:val="18"/>
                <w:color w:val="auto"/>
              </w:rPr>
              <w:t>00 on a Business Day or is Transmitted on a day which is not a Business Day, be deemed (unless the contrary is</w:t>
            </w:r>
          </w:p>
        </w:tc>
      </w:tr>
      <w:tr>
        <w:trPr>
          <w:trHeight w:val="217"/>
        </w:trPr>
        <w:tc>
          <w:tcPr>
            <w:tcW w:w="740" w:type="dxa"/>
            <w:vAlign w:val="bottom"/>
          </w:tcPr>
          <w:p>
            <w:pPr>
              <w:spacing w:after="0"/>
              <w:rPr>
                <w:sz w:val="18"/>
                <w:szCs w:val="18"/>
                <w:color w:val="auto"/>
              </w:rPr>
            </w:pPr>
          </w:p>
        </w:tc>
        <w:tc>
          <w:tcPr>
            <w:tcW w:w="10500" w:type="dxa"/>
            <w:vAlign w:val="bottom"/>
          </w:tcPr>
          <w:p>
            <w:pPr>
              <w:ind w:left="560"/>
              <w:spacing w:after="0"/>
              <w:rPr>
                <w:sz w:val="20"/>
                <w:szCs w:val="20"/>
                <w:color w:val="auto"/>
              </w:rPr>
            </w:pPr>
            <w:r>
              <w:rPr>
                <w:rFonts w:ascii="Arial" w:cs="Arial" w:eastAsia="Arial" w:hAnsi="Arial"/>
                <w:sz w:val="18"/>
                <w:szCs w:val="18"/>
                <w:color w:val="auto"/>
              </w:rPr>
              <w:t>proved) to have been received by the Addressee on the next day which is a Business Day.</w:t>
            </w:r>
          </w:p>
        </w:tc>
      </w:tr>
      <w:tr>
        <w:trPr>
          <w:trHeight w:val="391"/>
        </w:trPr>
        <w:tc>
          <w:tcPr>
            <w:tcW w:w="740" w:type="dxa"/>
            <w:vAlign w:val="bottom"/>
          </w:tcPr>
          <w:p>
            <w:pPr>
              <w:spacing w:after="0"/>
              <w:rPr>
                <w:sz w:val="20"/>
                <w:szCs w:val="20"/>
                <w:color w:val="auto"/>
              </w:rPr>
            </w:pPr>
            <w:r>
              <w:rPr>
                <w:rFonts w:ascii="Arial" w:cs="Arial" w:eastAsia="Arial" w:hAnsi="Arial"/>
                <w:sz w:val="18"/>
                <w:szCs w:val="18"/>
                <w:color w:val="auto"/>
              </w:rPr>
              <w:t>15.5</w:t>
            </w:r>
          </w:p>
        </w:tc>
        <w:tc>
          <w:tcPr>
            <w:tcW w:w="10500" w:type="dxa"/>
            <w:vAlign w:val="bottom"/>
          </w:tcPr>
          <w:p>
            <w:pPr>
              <w:ind w:left="240"/>
              <w:spacing w:after="0"/>
              <w:rPr>
                <w:sz w:val="20"/>
                <w:szCs w:val="20"/>
                <w:color w:val="auto"/>
              </w:rPr>
            </w:pPr>
            <w:r>
              <w:rPr>
                <w:rFonts w:ascii="Arial" w:cs="Arial" w:eastAsia="Arial" w:hAnsi="Arial"/>
                <w:sz w:val="18"/>
                <w:szCs w:val="18"/>
                <w:color w:val="auto"/>
              </w:rPr>
              <w:t>This 12 shall not operate so as to invalidate the giving or receipt of any written notice which is actually received by the</w:t>
            </w:r>
          </w:p>
        </w:tc>
      </w:tr>
      <w:tr>
        <w:trPr>
          <w:trHeight w:val="217"/>
        </w:trPr>
        <w:tc>
          <w:tcPr>
            <w:tcW w:w="740" w:type="dxa"/>
            <w:vAlign w:val="bottom"/>
          </w:tcPr>
          <w:p>
            <w:pPr>
              <w:spacing w:after="0"/>
              <w:rPr>
                <w:sz w:val="18"/>
                <w:szCs w:val="18"/>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rPr>
              <w:t>Addressee other than by a method referred to in this 12.</w:t>
            </w:r>
          </w:p>
        </w:tc>
      </w:tr>
      <w:tr>
        <w:trPr>
          <w:trHeight w:val="391"/>
        </w:trPr>
        <w:tc>
          <w:tcPr>
            <w:tcW w:w="740" w:type="dxa"/>
            <w:vAlign w:val="bottom"/>
          </w:tcPr>
          <w:p>
            <w:pPr>
              <w:spacing w:after="0"/>
              <w:rPr>
                <w:sz w:val="20"/>
                <w:szCs w:val="20"/>
                <w:color w:val="auto"/>
              </w:rPr>
            </w:pPr>
            <w:r>
              <w:rPr>
                <w:rFonts w:ascii="Arial" w:cs="Arial" w:eastAsia="Arial" w:hAnsi="Arial"/>
                <w:sz w:val="18"/>
                <w:szCs w:val="18"/>
                <w:color w:val="auto"/>
              </w:rPr>
              <w:t>15.6</w:t>
            </w:r>
          </w:p>
        </w:tc>
        <w:tc>
          <w:tcPr>
            <w:tcW w:w="10500" w:type="dxa"/>
            <w:vAlign w:val="bottom"/>
          </w:tcPr>
          <w:p>
            <w:pPr>
              <w:ind w:left="240"/>
              <w:spacing w:after="0"/>
              <w:rPr>
                <w:sz w:val="20"/>
                <w:szCs w:val="20"/>
                <w:color w:val="auto"/>
              </w:rPr>
            </w:pPr>
            <w:r>
              <w:rPr>
                <w:rFonts w:ascii="Arial" w:cs="Arial" w:eastAsia="Arial" w:hAnsi="Arial"/>
                <w:sz w:val="18"/>
                <w:szCs w:val="18"/>
                <w:color w:val="auto"/>
                <w:w w:val="99"/>
              </w:rPr>
              <w:t>Any notice in terms of or in connection with this Agreement shall be valid and effective only if in writing and if received or deemed</w:t>
            </w:r>
          </w:p>
        </w:tc>
      </w:tr>
      <w:tr>
        <w:trPr>
          <w:trHeight w:val="217"/>
        </w:trPr>
        <w:tc>
          <w:tcPr>
            <w:tcW w:w="740" w:type="dxa"/>
            <w:vAlign w:val="bottom"/>
          </w:tcPr>
          <w:p>
            <w:pPr>
              <w:spacing w:after="0"/>
              <w:rPr>
                <w:sz w:val="18"/>
                <w:szCs w:val="18"/>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rPr>
              <w:t>to be received by the Addressee.</w:t>
            </w:r>
          </w:p>
        </w:tc>
      </w:tr>
    </w:tbl>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8"/>
          <w:szCs w:val="18"/>
          <w:b w:val="1"/>
          <w:bCs w:val="1"/>
          <w:color w:val="auto"/>
        </w:rPr>
        <w:t>GENERAL</w:t>
      </w:r>
    </w:p>
    <w:p>
      <w:pPr>
        <w:spacing w:after="0" w:line="220" w:lineRule="exact"/>
        <w:rPr>
          <w:sz w:val="20"/>
          <w:szCs w:val="20"/>
          <w:color w:val="auto"/>
        </w:rPr>
      </w:pPr>
    </w:p>
    <w:p>
      <w:pPr>
        <w:jc w:val="both"/>
        <w:ind w:left="980" w:hanging="971"/>
        <w:spacing w:after="0" w:line="238" w:lineRule="auto"/>
        <w:tabs>
          <w:tab w:leader="none" w:pos="96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8"/>
          <w:szCs w:val="18"/>
          <w:color w:val="auto"/>
        </w:rPr>
        <w:t>This Agreement constitutes the sole record of the agreement between the Parties in relation to the subject matter hereof</w:t>
      </w:r>
      <w:r>
        <w:rPr>
          <w:rFonts w:ascii="Arial" w:cs="Arial" w:eastAsia="Arial" w:hAnsi="Arial"/>
          <w:sz w:val="18"/>
          <w:szCs w:val="18"/>
          <w:color w:val="414141"/>
        </w:rPr>
        <w:t>.</w:t>
      </w:r>
      <w:r>
        <w:rPr>
          <w:rFonts w:ascii="Arial" w:cs="Arial" w:eastAsia="Arial" w:hAnsi="Arial"/>
          <w:sz w:val="18"/>
          <w:szCs w:val="18"/>
          <w:color w:val="auto"/>
        </w:rPr>
        <w:t xml:space="preserve"> No Party shall be bound by any express, tacit or implied term, representation, warranty, promise or the like not recorded herein. This Agreement supersedes and replaces all prior commitments, undertakings or representations, whether oral or written, between the Parties in respect of the subject matter hereof.</w:t>
      </w:r>
    </w:p>
    <w:p>
      <w:pPr>
        <w:spacing w:after="0" w:line="191" w:lineRule="exact"/>
        <w:rPr>
          <w:sz w:val="20"/>
          <w:szCs w:val="20"/>
          <w:color w:val="auto"/>
        </w:rPr>
      </w:pPr>
    </w:p>
    <w:p>
      <w:pPr>
        <w:jc w:val="both"/>
        <w:ind w:left="980" w:hanging="971"/>
        <w:spacing w:after="0" w:line="246" w:lineRule="auto"/>
        <w:tabs>
          <w:tab w:leader="none" w:pos="96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8"/>
          <w:szCs w:val="18"/>
          <w:color w:val="auto"/>
        </w:rPr>
        <w:t>No addition to, variation, novation or agreed cancellation of any provision of this Agreement shall be binding upon the Parties unless reduced to writing and signed by or on behalf of the Parties.</w:t>
      </w:r>
    </w:p>
    <w:p>
      <w:pPr>
        <w:spacing w:after="0" w:line="291" w:lineRule="exact"/>
        <w:rPr>
          <w:sz w:val="20"/>
          <w:szCs w:val="20"/>
          <w:color w:val="auto"/>
        </w:rPr>
      </w:pPr>
    </w:p>
    <w:p>
      <w:pPr>
        <w:ind w:left="1100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6" w:name="page37"/>
    <w:bookmarkEnd w:id="36"/>
    <w:p>
      <w:pPr>
        <w:jc w:val="both"/>
        <w:ind w:hanging="971"/>
        <w:spacing w:after="0" w:line="24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6894830</wp:posOffset>
            </wp:positionH>
            <wp:positionV relativeFrom="page">
              <wp:posOffset>157480</wp:posOffset>
            </wp:positionV>
            <wp:extent cx="411480" cy="2660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411480" cy="266065"/>
                    </a:xfrm>
                    <a:prstGeom prst="rect">
                      <a:avLst/>
                    </a:prstGeom>
                    <a:noFill/>
                  </pic:spPr>
                </pic:pic>
              </a:graphicData>
            </a:graphic>
          </wp:anchor>
        </w:drawing>
        <w:t>16.3</w:t>
      </w:r>
      <w:r>
        <w:rPr>
          <w:sz w:val="20"/>
          <w:szCs w:val="20"/>
          <w:color w:val="auto"/>
        </w:rPr>
        <w:t xml:space="preserve"> </w:t>
      </w:r>
      <w:r>
        <w:rPr>
          <w:rFonts w:ascii="Arial" w:cs="Arial" w:eastAsia="Arial" w:hAnsi="Arial"/>
          <w:sz w:val="18"/>
          <w:szCs w:val="18"/>
          <w:color w:val="auto"/>
        </w:rPr>
        <w:t>Without prejudice to any other provision of this Agreement, any successor-in-title, including any executor</w:t>
      </w:r>
      <w:r>
        <w:rPr>
          <w:rFonts w:ascii="Arial" w:cs="Arial" w:eastAsia="Arial" w:hAnsi="Arial"/>
          <w:sz w:val="18"/>
          <w:szCs w:val="18"/>
          <w:color w:val="2F2F2F"/>
        </w:rPr>
        <w:t>,</w:t>
      </w:r>
      <w:r>
        <w:rPr>
          <w:rFonts w:ascii="Arial" w:cs="Arial" w:eastAsia="Arial" w:hAnsi="Arial"/>
          <w:sz w:val="18"/>
          <w:szCs w:val="18"/>
          <w:color w:val="auto"/>
        </w:rPr>
        <w:t xml:space="preserve"> heir</w:t>
      </w:r>
      <w:r>
        <w:rPr>
          <w:rFonts w:ascii="Arial" w:cs="Arial" w:eastAsia="Arial" w:hAnsi="Arial"/>
          <w:sz w:val="18"/>
          <w:szCs w:val="18"/>
          <w:color w:val="2F2F2F"/>
        </w:rPr>
        <w:t>,</w:t>
      </w:r>
      <w:r>
        <w:rPr>
          <w:rFonts w:ascii="Arial" w:cs="Arial" w:eastAsia="Arial" w:hAnsi="Arial"/>
          <w:sz w:val="18"/>
          <w:szCs w:val="18"/>
          <w:color w:val="auto"/>
        </w:rPr>
        <w:t xml:space="preserve"> liquidator, judicial manager, curator or trustee, of any Party shall be bound by this Agreement.</w:t>
      </w:r>
    </w:p>
    <w:p>
      <w:pPr>
        <w:spacing w:after="0" w:line="161" w:lineRule="exact"/>
        <w:rPr>
          <w:sz w:val="20"/>
          <w:szCs w:val="20"/>
          <w:color w:val="auto"/>
        </w:rPr>
      </w:pPr>
    </w:p>
    <w:p>
      <w:pPr>
        <w:jc w:val="both"/>
        <w:ind w:hanging="971"/>
        <w:spacing w:after="0" w:line="247" w:lineRule="auto"/>
        <w:rPr>
          <w:sz w:val="20"/>
          <w:szCs w:val="20"/>
          <w:color w:val="auto"/>
        </w:rPr>
      </w:pPr>
      <w:r>
        <w:rPr>
          <w:rFonts w:ascii="Arial" w:cs="Arial" w:eastAsia="Arial" w:hAnsi="Arial"/>
          <w:sz w:val="18"/>
          <w:szCs w:val="18"/>
          <w:color w:val="auto"/>
        </w:rPr>
        <w:t>16.4</w:t>
      </w:r>
      <w:r>
        <w:rPr>
          <w:sz w:val="20"/>
          <w:szCs w:val="20"/>
          <w:color w:val="auto"/>
        </w:rPr>
        <w:t xml:space="preserve"> </w:t>
      </w:r>
      <w:r>
        <w:rPr>
          <w:rFonts w:ascii="Arial" w:cs="Arial" w:eastAsia="Arial" w:hAnsi="Arial"/>
          <w:sz w:val="18"/>
          <w:szCs w:val="18"/>
          <w:color w:val="auto"/>
        </w:rPr>
        <w:t xml:space="preserve">No waiver, indulgence or extension of time which any Party </w:t>
      </w:r>
      <w:r>
        <w:rPr>
          <w:rFonts w:ascii="Arial" w:cs="Arial" w:eastAsia="Arial" w:hAnsi="Arial"/>
          <w:sz w:val="18"/>
          <w:szCs w:val="18"/>
          <w:b w:val="1"/>
          <w:bCs w:val="1"/>
          <w:color w:val="auto"/>
        </w:rPr>
        <w:t>(“Grantor”)</w:t>
      </w:r>
      <w:r>
        <w:rPr>
          <w:rFonts w:ascii="Arial" w:cs="Arial" w:eastAsia="Arial" w:hAnsi="Arial"/>
          <w:sz w:val="18"/>
          <w:szCs w:val="18"/>
          <w:color w:val="auto"/>
        </w:rPr>
        <w:t xml:space="preserve"> may grant to any other</w:t>
      </w:r>
      <w:r>
        <w:rPr>
          <w:rFonts w:ascii="Arial" w:cs="Arial" w:eastAsia="Arial" w:hAnsi="Arial"/>
          <w:sz w:val="18"/>
          <w:szCs w:val="18"/>
          <w:color w:val="2F2F2F"/>
        </w:rPr>
        <w:t>,</w:t>
      </w:r>
      <w:r>
        <w:rPr>
          <w:rFonts w:ascii="Arial" w:cs="Arial" w:eastAsia="Arial" w:hAnsi="Arial"/>
          <w:sz w:val="18"/>
          <w:szCs w:val="18"/>
          <w:color w:val="auto"/>
        </w:rPr>
        <w:t xml:space="preserve"> nor any delay or failure by the Grantor to enforce, whether completely or partially, any of its rights, shall constitute a waiver of or, whether by estoppel or otherwise, limit any of the existing or future rights of the Grantor in terms hereof</w:t>
      </w:r>
      <w:r>
        <w:rPr>
          <w:rFonts w:ascii="Arial" w:cs="Arial" w:eastAsia="Arial" w:hAnsi="Arial"/>
          <w:sz w:val="18"/>
          <w:szCs w:val="18"/>
          <w:color w:val="2F2F2F"/>
        </w:rPr>
        <w:t>,</w:t>
      </w:r>
      <w:r>
        <w:rPr>
          <w:rFonts w:ascii="Arial" w:cs="Arial" w:eastAsia="Arial" w:hAnsi="Arial"/>
          <w:sz w:val="18"/>
          <w:szCs w:val="18"/>
          <w:color w:val="auto"/>
        </w:rPr>
        <w:t xml:space="preserve"> save in the event and to the extent that the Grantor has signed a written document expressly waiving or limiting such right.</w:t>
      </w:r>
    </w:p>
    <w:p>
      <w:pPr>
        <w:spacing w:after="0" w:line="182" w:lineRule="exact"/>
        <w:rPr>
          <w:sz w:val="20"/>
          <w:szCs w:val="20"/>
          <w:color w:val="auto"/>
        </w:rPr>
      </w:pPr>
    </w:p>
    <w:p>
      <w:pPr>
        <w:jc w:val="both"/>
        <w:ind w:hanging="971"/>
        <w:spacing w:after="0" w:line="238" w:lineRule="auto"/>
        <w:rPr>
          <w:sz w:val="20"/>
          <w:szCs w:val="20"/>
          <w:color w:val="auto"/>
        </w:rPr>
      </w:pPr>
      <w:r>
        <w:rPr>
          <w:rFonts w:ascii="Arial" w:cs="Arial" w:eastAsia="Arial" w:hAnsi="Arial"/>
          <w:sz w:val="18"/>
          <w:szCs w:val="18"/>
          <w:color w:val="auto"/>
        </w:rPr>
        <w:t>16.5</w:t>
      </w:r>
      <w:r>
        <w:rPr>
          <w:sz w:val="20"/>
          <w:szCs w:val="20"/>
          <w:color w:val="auto"/>
        </w:rPr>
        <w:t xml:space="preserve"> </w:t>
      </w:r>
      <w:r>
        <w:rPr>
          <w:rFonts w:ascii="Arial" w:cs="Arial" w:eastAsia="Arial" w:hAnsi="Arial"/>
          <w:sz w:val="18"/>
          <w:szCs w:val="18"/>
          <w:color w:val="auto"/>
        </w:rPr>
        <w:t>All costs, charges and expenses of every nature whatever which may be incurred by any Party in enforcing its rights in terms of this Agreement, including without limiting the generality of the aforegoing, legal costs on the scale as between attorney and own client and collection commission, irrespective of whether any action has been instituted, shall be recoverable from the Party against which such rights are successfully enforced.</w:t>
      </w:r>
    </w:p>
    <w:p>
      <w:pPr>
        <w:spacing w:after="0" w:line="191" w:lineRule="exact"/>
        <w:rPr>
          <w:sz w:val="20"/>
          <w:szCs w:val="20"/>
          <w:color w:val="auto"/>
        </w:rPr>
      </w:pPr>
    </w:p>
    <w:p>
      <w:pPr>
        <w:jc w:val="both"/>
        <w:ind w:hanging="971"/>
        <w:spacing w:after="0"/>
        <w:rPr>
          <w:sz w:val="20"/>
          <w:szCs w:val="20"/>
          <w:color w:val="auto"/>
        </w:rPr>
      </w:pPr>
      <w:r>
        <w:rPr>
          <w:rFonts w:ascii="Arial" w:cs="Arial" w:eastAsia="Arial" w:hAnsi="Arial"/>
          <w:sz w:val="18"/>
          <w:szCs w:val="18"/>
          <w:color w:val="auto"/>
        </w:rPr>
        <w:t>16.6</w:t>
      </w:r>
      <w:r>
        <w:rPr>
          <w:sz w:val="20"/>
          <w:szCs w:val="20"/>
          <w:color w:val="auto"/>
        </w:rPr>
        <w:t xml:space="preserve"> </w:t>
      </w:r>
      <w:r>
        <w:rPr>
          <w:rFonts w:ascii="Arial" w:cs="Arial" w:eastAsia="Arial" w:hAnsi="Arial"/>
          <w:sz w:val="18"/>
          <w:szCs w:val="18"/>
          <w:color w:val="auto"/>
        </w:rPr>
        <w:t>Save as expressly provided in this Agreement, no Party shall be entitled to cede</w:t>
      </w:r>
      <w:r>
        <w:rPr>
          <w:rFonts w:ascii="Arial" w:cs="Arial" w:eastAsia="Arial" w:hAnsi="Arial"/>
          <w:sz w:val="18"/>
          <w:szCs w:val="18"/>
          <w:color w:val="343434"/>
        </w:rPr>
        <w:t>,</w:t>
      </w:r>
      <w:r>
        <w:rPr>
          <w:rFonts w:ascii="Arial" w:cs="Arial" w:eastAsia="Arial" w:hAnsi="Arial"/>
          <w:sz w:val="18"/>
          <w:szCs w:val="18"/>
          <w:color w:val="auto"/>
        </w:rPr>
        <w:t xml:space="preserve"> delegate, encumber, assign or otherwise transfer any of its rights and/or obligations in terms of</w:t>
      </w:r>
      <w:r>
        <w:rPr>
          <w:rFonts w:ascii="Arial" w:cs="Arial" w:eastAsia="Arial" w:hAnsi="Arial"/>
          <w:sz w:val="18"/>
          <w:szCs w:val="18"/>
          <w:color w:val="343434"/>
        </w:rPr>
        <w:t>,</w:t>
      </w:r>
      <w:r>
        <w:rPr>
          <w:rFonts w:ascii="Arial" w:cs="Arial" w:eastAsia="Arial" w:hAnsi="Arial"/>
          <w:sz w:val="18"/>
          <w:szCs w:val="18"/>
          <w:color w:val="auto"/>
        </w:rPr>
        <w:t xml:space="preserve"> and/or interest in, this Agreement to any third party without the prior written signed consent of the other Party</w:t>
      </w:r>
      <w:r>
        <w:rPr>
          <w:rFonts w:ascii="Arial" w:cs="Arial" w:eastAsia="Arial" w:hAnsi="Arial"/>
          <w:sz w:val="18"/>
          <w:szCs w:val="18"/>
          <w:color w:val="343434"/>
        </w:rPr>
        <w:t>.</w:t>
      </w:r>
    </w:p>
    <w:p>
      <w:pPr>
        <w:spacing w:after="0" w:line="189" w:lineRule="exact"/>
        <w:rPr>
          <w:sz w:val="20"/>
          <w:szCs w:val="20"/>
          <w:color w:val="auto"/>
        </w:rPr>
      </w:pPr>
    </w:p>
    <w:p>
      <w:pPr>
        <w:jc w:val="both"/>
        <w:ind w:hanging="971"/>
        <w:spacing w:after="0" w:line="246" w:lineRule="auto"/>
        <w:rPr>
          <w:sz w:val="20"/>
          <w:szCs w:val="20"/>
          <w:color w:val="auto"/>
        </w:rPr>
      </w:pPr>
      <w:r>
        <w:rPr>
          <w:rFonts w:ascii="Arial" w:cs="Arial" w:eastAsia="Arial" w:hAnsi="Arial"/>
          <w:sz w:val="18"/>
          <w:szCs w:val="18"/>
          <w:color w:val="auto"/>
        </w:rPr>
        <w:t>16.7</w:t>
      </w:r>
      <w:r>
        <w:rPr>
          <w:sz w:val="20"/>
          <w:szCs w:val="20"/>
          <w:color w:val="auto"/>
        </w:rPr>
        <w:t xml:space="preserve"> </w:t>
      </w:r>
      <w:r>
        <w:rPr>
          <w:rFonts w:ascii="Arial" w:cs="Arial" w:eastAsia="Arial" w:hAnsi="Arial"/>
          <w:sz w:val="18"/>
          <w:szCs w:val="18"/>
          <w:color w:val="auto"/>
        </w:rPr>
        <w:t>Unless otherwise expressly stipulated in this Agreement, each Party to this Agreement contracts as a principal and not as an agent for any other Person, disclosed or undisclosed.</w:t>
      </w:r>
    </w:p>
    <w:p>
      <w:pPr>
        <w:spacing w:after="0" w:line="183" w:lineRule="exact"/>
        <w:rPr>
          <w:sz w:val="20"/>
          <w:szCs w:val="20"/>
          <w:color w:val="auto"/>
        </w:rPr>
      </w:pPr>
    </w:p>
    <w:p>
      <w:pPr>
        <w:jc w:val="both"/>
        <w:ind w:hanging="971"/>
        <w:spacing w:after="0" w:line="246" w:lineRule="auto"/>
        <w:rPr>
          <w:sz w:val="20"/>
          <w:szCs w:val="20"/>
          <w:color w:val="auto"/>
        </w:rPr>
      </w:pPr>
      <w:r>
        <w:rPr>
          <w:rFonts w:ascii="Arial" w:cs="Arial" w:eastAsia="Arial" w:hAnsi="Arial"/>
          <w:sz w:val="18"/>
          <w:szCs w:val="18"/>
          <w:color w:val="auto"/>
        </w:rPr>
        <w:t>16.8</w:t>
      </w:r>
      <w:r>
        <w:rPr>
          <w:sz w:val="20"/>
          <w:szCs w:val="20"/>
          <w:color w:val="auto"/>
        </w:rPr>
        <w:t xml:space="preserve"> </w:t>
      </w:r>
      <w:r>
        <w:rPr>
          <w:rFonts w:ascii="Arial" w:cs="Arial" w:eastAsia="Arial" w:hAnsi="Arial"/>
          <w:sz w:val="18"/>
          <w:szCs w:val="18"/>
          <w:color w:val="auto"/>
        </w:rPr>
        <w:t>The signature by any Party of a counterpart of this Agreement shall be as effective as if that Party had signed the same document as the other Party/ies.</w:t>
      </w:r>
    </w:p>
    <w:p>
      <w:pPr>
        <w:spacing w:after="0" w:line="183" w:lineRule="exact"/>
        <w:rPr>
          <w:sz w:val="20"/>
          <w:szCs w:val="20"/>
          <w:color w:val="auto"/>
        </w:rPr>
      </w:pPr>
    </w:p>
    <w:p>
      <w:pPr>
        <w:jc w:val="both"/>
        <w:ind w:hanging="971"/>
        <w:spacing w:after="0" w:line="238" w:lineRule="auto"/>
        <w:rPr>
          <w:sz w:val="20"/>
          <w:szCs w:val="20"/>
          <w:color w:val="auto"/>
        </w:rPr>
      </w:pPr>
      <w:r>
        <w:rPr>
          <w:rFonts w:ascii="Arial" w:cs="Arial" w:eastAsia="Arial" w:hAnsi="Arial"/>
          <w:sz w:val="18"/>
          <w:szCs w:val="18"/>
          <w:color w:val="auto"/>
        </w:rPr>
        <w:t>16.9</w:t>
      </w:r>
      <w:r>
        <w:rPr>
          <w:sz w:val="20"/>
          <w:szCs w:val="20"/>
          <w:color w:val="auto"/>
        </w:rPr>
        <w:t xml:space="preserve"> </w:t>
      </w:r>
      <w:r>
        <w:rPr>
          <w:rFonts w:ascii="Arial" w:cs="Arial" w:eastAsia="Arial" w:hAnsi="Arial"/>
          <w:sz w:val="18"/>
          <w:szCs w:val="18"/>
          <w:color w:val="auto"/>
        </w:rPr>
        <w:t>Each provision of this Agreement is, notwithstanding the grammatical relationship between that provision and the other provisions of this Agreement, severable from the other provisions of this Agreement. Any provision of this Agreement which is or becomes invalid, unenforceable or unlawful in any jurisdiction shall, in such jurisdiction only, be treated as pro non scripto to the extent that it is so invalid, unenforceable or unlawful, without invalidating or affecting the other provisions of this Agreement which shall remain of full force and effect. The Parties declare that it</w:t>
      </w:r>
    </w:p>
    <w:p>
      <w:pPr>
        <w:spacing w:after="0" w:line="297" w:lineRule="exact"/>
        <w:rPr>
          <w:sz w:val="20"/>
          <w:szCs w:val="20"/>
          <w:color w:val="auto"/>
        </w:rPr>
      </w:pPr>
    </w:p>
    <w:p>
      <w:pPr>
        <w:ind w:left="100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-1905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60"/>
          </w:cols>
          <w:pgMar w:left="1300" w:top="814" w:right="339" w:bottom="1440" w:gutter="0" w:footer="0" w:header="0"/>
        </w:sectPr>
      </w:pPr>
    </w:p>
    <w:bookmarkStart w:id="37" w:name="page38"/>
    <w:bookmarkEnd w:id="37"/>
    <w:p>
      <w:pPr>
        <w:ind w:left="980"/>
        <w:spacing w:after="0" w:line="24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6894830</wp:posOffset>
            </wp:positionH>
            <wp:positionV relativeFrom="page">
              <wp:posOffset>157480</wp:posOffset>
            </wp:positionV>
            <wp:extent cx="411480" cy="2660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411480" cy="266065"/>
                    </a:xfrm>
                    <a:prstGeom prst="rect">
                      <a:avLst/>
                    </a:prstGeom>
                    <a:noFill/>
                  </pic:spPr>
                </pic:pic>
              </a:graphicData>
            </a:graphic>
          </wp:anchor>
        </w:drawing>
        <w:t>is their intention that this Agreement would be executed without such invalid, unenforceable or unlawful provision if they were aware of such invalidity, unenforceability or unlawfulness at the time of execution of this Agreement.</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8"/>
          <w:szCs w:val="18"/>
          <w:b w:val="1"/>
          <w:bCs w:val="1"/>
          <w:color w:val="auto"/>
        </w:rPr>
        <w:t>GOVERNING LAW</w:t>
      </w:r>
    </w:p>
    <w:p>
      <w:pPr>
        <w:spacing w:after="0" w:line="220" w:lineRule="exact"/>
        <w:rPr>
          <w:sz w:val="20"/>
          <w:szCs w:val="20"/>
          <w:color w:val="auto"/>
        </w:rPr>
      </w:pPr>
    </w:p>
    <w:p>
      <w:pPr>
        <w:ind w:left="980" w:hanging="971"/>
        <w:spacing w:after="0" w:line="274" w:lineRule="auto"/>
        <w:tabs>
          <w:tab w:leader="none" w:pos="96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7"/>
          <w:szCs w:val="17"/>
          <w:color w:val="auto"/>
        </w:rPr>
        <w:t>This Agreement shall in all respects (including its existence</w:t>
      </w:r>
      <w:r>
        <w:rPr>
          <w:rFonts w:ascii="Arial" w:cs="Arial" w:eastAsia="Arial" w:hAnsi="Arial"/>
          <w:sz w:val="17"/>
          <w:szCs w:val="17"/>
          <w:color w:val="343434"/>
        </w:rPr>
        <w:t>,</w:t>
      </w:r>
      <w:r>
        <w:rPr>
          <w:rFonts w:ascii="Arial" w:cs="Arial" w:eastAsia="Arial" w:hAnsi="Arial"/>
          <w:sz w:val="17"/>
          <w:szCs w:val="17"/>
          <w:color w:val="auto"/>
        </w:rPr>
        <w:t xml:space="preserve"> validity, interpretation, implementation</w:t>
      </w:r>
      <w:r>
        <w:rPr>
          <w:rFonts w:ascii="Arial" w:cs="Arial" w:eastAsia="Arial" w:hAnsi="Arial"/>
          <w:sz w:val="17"/>
          <w:szCs w:val="17"/>
          <w:color w:val="343434"/>
        </w:rPr>
        <w:t>,</w:t>
      </w:r>
      <w:r>
        <w:rPr>
          <w:rFonts w:ascii="Arial" w:cs="Arial" w:eastAsia="Arial" w:hAnsi="Arial"/>
          <w:sz w:val="17"/>
          <w:szCs w:val="17"/>
          <w:color w:val="auto"/>
        </w:rPr>
        <w:t xml:space="preserve"> termination and enforcement) be governed by the law of South Africa which is applicable to agreements executed and wholly performed within South Africa.</w:t>
      </w:r>
    </w:p>
    <w:p>
      <w:pPr>
        <w:spacing w:after="0" w:line="161" w:lineRule="exact"/>
        <w:rPr>
          <w:sz w:val="20"/>
          <w:szCs w:val="20"/>
          <w:color w:val="auto"/>
        </w:rPr>
      </w:pPr>
    </w:p>
    <w:p>
      <w:pPr>
        <w:ind w:left="980" w:right="20" w:hanging="971"/>
        <w:spacing w:after="0" w:line="246" w:lineRule="auto"/>
        <w:tabs>
          <w:tab w:leader="none" w:pos="96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8"/>
          <w:szCs w:val="18"/>
          <w:color w:val="auto"/>
        </w:rPr>
        <w:t>This 17 is severable from the other provisions of this Agreement and shall remain in full force and effect notwithstanding any termination, cancellation, invalidity, unenforceability or unlawfulness of this Agreement, or any part thereof.</w:t>
      </w:r>
    </w:p>
    <w:p>
      <w:pPr>
        <w:spacing w:after="0" w:line="161"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COSTS</w:t>
      </w:r>
    </w:p>
    <w:p>
      <w:pPr>
        <w:spacing w:after="0" w:line="220" w:lineRule="exact"/>
        <w:rPr>
          <w:rFonts w:ascii="Arial" w:cs="Arial" w:eastAsia="Arial" w:hAnsi="Arial"/>
          <w:sz w:val="18"/>
          <w:szCs w:val="18"/>
          <w:b w:val="1"/>
          <w:bCs w:val="1"/>
          <w:color w:val="auto"/>
        </w:rPr>
      </w:pPr>
    </w:p>
    <w:p>
      <w:pPr>
        <w:ind w:left="660" w:right="2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Save as expressly otherwise provided in this Agreement, each Party shall bear and pay its own costs in relation to the negotiation, drafting, finalisation</w:t>
      </w:r>
      <w:r>
        <w:rPr>
          <w:rFonts w:ascii="Arial" w:cs="Arial" w:eastAsia="Arial" w:hAnsi="Arial"/>
          <w:sz w:val="18"/>
          <w:szCs w:val="18"/>
          <w:color w:val="363636"/>
        </w:rPr>
        <w:t>,</w:t>
      </w:r>
      <w:r>
        <w:rPr>
          <w:rFonts w:ascii="Arial" w:cs="Arial" w:eastAsia="Arial" w:hAnsi="Arial"/>
          <w:sz w:val="18"/>
          <w:szCs w:val="18"/>
          <w:color w:val="auto"/>
        </w:rPr>
        <w:t xml:space="preserve"> signing and implementation of this Agreement.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**signature pages to immediately follow**</w:t>
      </w:r>
    </w:p>
    <w:p>
      <w:pPr>
        <w:spacing w:after="0" w:line="328" w:lineRule="exact"/>
        <w:rPr>
          <w:sz w:val="20"/>
          <w:szCs w:val="20"/>
          <w:color w:val="auto"/>
        </w:rPr>
      </w:pPr>
    </w:p>
    <w:p>
      <w:pPr>
        <w:ind w:left="1100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6894830</wp:posOffset>
            </wp:positionH>
            <wp:positionV relativeFrom="page">
              <wp:posOffset>157480</wp:posOffset>
            </wp:positionV>
            <wp:extent cx="411480" cy="265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411480" cy="265430"/>
                    </a:xfrm>
                    <a:prstGeom prst="rect">
                      <a:avLst/>
                    </a:prstGeom>
                    <a:noFill/>
                  </pic:spPr>
                </pic:pic>
              </a:graphicData>
            </a:graphic>
          </wp:anchor>
        </w:drawing>
        <w:t xml:space="preserve">Signed at </w:t>
      </w:r>
      <w:r>
        <w:rPr>
          <w:rFonts w:ascii="Arial" w:cs="Arial" w:eastAsia="Arial" w:hAnsi="Arial"/>
          <w:sz w:val="18"/>
          <w:szCs w:val="18"/>
          <w:i w:val="1"/>
          <w:iCs w:val="1"/>
          <w:color w:val="auto"/>
        </w:rPr>
        <w:t>Johannesburg</w:t>
      </w:r>
      <w:r>
        <w:rPr>
          <w:rFonts w:ascii="Arial" w:cs="Arial" w:eastAsia="Arial" w:hAnsi="Arial"/>
          <w:sz w:val="18"/>
          <w:szCs w:val="18"/>
          <w:color w:val="auto"/>
        </w:rPr>
        <w:t xml:space="preserve"> on </w:t>
      </w:r>
      <w:r>
        <w:rPr>
          <w:rFonts w:ascii="Arial" w:cs="Arial" w:eastAsia="Arial" w:hAnsi="Arial"/>
          <w:sz w:val="18"/>
          <w:szCs w:val="18"/>
          <w:i w:val="1"/>
          <w:iCs w:val="1"/>
          <w:color w:val="auto"/>
        </w:rPr>
        <w:t>29 November</w:t>
      </w:r>
      <w:r>
        <w:rPr>
          <w:rFonts w:ascii="Arial" w:cs="Arial" w:eastAsia="Arial" w:hAnsi="Arial"/>
          <w:sz w:val="18"/>
          <w:szCs w:val="18"/>
          <w:color w:val="auto"/>
        </w:rPr>
        <w:t xml:space="preserve"> 2021</w:t>
      </w:r>
    </w:p>
    <w:p>
      <w:pPr>
        <w:spacing w:after="0" w:line="19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for </w:t>
      </w:r>
      <w:r>
        <w:rPr>
          <w:rFonts w:ascii="Arial" w:cs="Arial" w:eastAsia="Arial" w:hAnsi="Arial"/>
          <w:sz w:val="18"/>
          <w:szCs w:val="18"/>
          <w:b w:val="1"/>
          <w:bCs w:val="1"/>
          <w:color w:val="auto"/>
        </w:rPr>
        <w:t>Georgem Holdings Proprietary Limited</w:t>
      </w:r>
    </w:p>
    <w:p>
      <w:pPr>
        <w:spacing w:after="0" w:line="200" w:lineRule="exact"/>
        <w:rPr>
          <w:sz w:val="20"/>
          <w:szCs w:val="20"/>
          <w:color w:val="auto"/>
        </w:rPr>
      </w:pPr>
    </w:p>
    <w:p>
      <w:pPr>
        <w:spacing w:after="0" w:line="2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Juan Marais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-1905</wp:posOffset>
            </wp:positionV>
            <wp:extent cx="3566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who warrants that he is duly</w:t>
      </w:r>
    </w:p>
    <w:p>
      <w:pPr>
        <w:ind w:left="5620"/>
        <w:spacing w:after="0"/>
        <w:rPr>
          <w:sz w:val="20"/>
          <w:szCs w:val="20"/>
          <w:color w:val="auto"/>
        </w:rPr>
      </w:pPr>
      <w:r>
        <w:rPr>
          <w:rFonts w:ascii="Arial" w:cs="Arial" w:eastAsia="Arial" w:hAnsi="Arial"/>
          <w:sz w:val="18"/>
          <w:szCs w:val="18"/>
          <w:color w:val="auto"/>
        </w:rPr>
        <w:t>authorized hereto</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6894830</wp:posOffset>
            </wp:positionH>
            <wp:positionV relativeFrom="page">
              <wp:posOffset>157480</wp:posOffset>
            </wp:positionV>
            <wp:extent cx="411480" cy="2654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411480" cy="265430"/>
                    </a:xfrm>
                    <a:prstGeom prst="rect">
                      <a:avLst/>
                    </a:prstGeom>
                    <a:noFill/>
                  </pic:spPr>
                </pic:pic>
              </a:graphicData>
            </a:graphic>
          </wp:anchor>
        </w:drawing>
        <w:t xml:space="preserve">Signed at </w:t>
      </w:r>
      <w:r>
        <w:rPr>
          <w:rFonts w:ascii="Arial" w:cs="Arial" w:eastAsia="Arial" w:hAnsi="Arial"/>
          <w:sz w:val="18"/>
          <w:szCs w:val="18"/>
          <w:i w:val="1"/>
          <w:iCs w:val="1"/>
          <w:color w:val="auto"/>
        </w:rPr>
        <w:t>Johannesburg</w:t>
      </w:r>
      <w:r>
        <w:rPr>
          <w:rFonts w:ascii="Arial" w:cs="Arial" w:eastAsia="Arial" w:hAnsi="Arial"/>
          <w:sz w:val="18"/>
          <w:szCs w:val="18"/>
          <w:color w:val="auto"/>
        </w:rPr>
        <w:t xml:space="preserve"> on </w:t>
      </w:r>
      <w:r>
        <w:rPr>
          <w:rFonts w:ascii="Arial" w:cs="Arial" w:eastAsia="Arial" w:hAnsi="Arial"/>
          <w:sz w:val="18"/>
          <w:szCs w:val="18"/>
          <w:i w:val="1"/>
          <w:iCs w:val="1"/>
          <w:color w:val="auto"/>
        </w:rPr>
        <w:t>29 November</w:t>
      </w:r>
      <w:r>
        <w:rPr>
          <w:rFonts w:ascii="Arial" w:cs="Arial" w:eastAsia="Arial" w:hAnsi="Arial"/>
          <w:sz w:val="18"/>
          <w:szCs w:val="18"/>
          <w:color w:val="auto"/>
        </w:rPr>
        <w:t xml:space="preserve"> 2021</w:t>
      </w:r>
    </w:p>
    <w:p>
      <w:pPr>
        <w:spacing w:after="0" w:line="19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for </w:t>
      </w:r>
      <w:r>
        <w:rPr>
          <w:rFonts w:ascii="Arial" w:cs="Arial" w:eastAsia="Arial" w:hAnsi="Arial"/>
          <w:sz w:val="18"/>
          <w:szCs w:val="18"/>
          <w:b w:val="1"/>
          <w:bCs w:val="1"/>
          <w:color w:val="auto"/>
        </w:rPr>
        <w:t>One Spire Proprietary Limited</w:t>
      </w:r>
    </w:p>
    <w:p>
      <w:pPr>
        <w:spacing w:after="0" w:line="200" w:lineRule="exact"/>
        <w:rPr>
          <w:sz w:val="20"/>
          <w:szCs w:val="20"/>
          <w:color w:val="auto"/>
        </w:rPr>
      </w:pPr>
    </w:p>
    <w:p>
      <w:pPr>
        <w:spacing w:after="0" w:line="2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Juan Marais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-1905</wp:posOffset>
            </wp:positionV>
            <wp:extent cx="3566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who warrants that he is duly</w:t>
      </w:r>
    </w:p>
    <w:p>
      <w:pPr>
        <w:ind w:left="5620"/>
        <w:spacing w:after="0"/>
        <w:rPr>
          <w:sz w:val="20"/>
          <w:szCs w:val="20"/>
          <w:color w:val="auto"/>
        </w:rPr>
      </w:pPr>
      <w:r>
        <w:rPr>
          <w:rFonts w:ascii="Arial" w:cs="Arial" w:eastAsia="Arial" w:hAnsi="Arial"/>
          <w:sz w:val="18"/>
          <w:szCs w:val="18"/>
          <w:color w:val="auto"/>
        </w:rPr>
        <w:t>authorized hereto</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6894830</wp:posOffset>
            </wp:positionH>
            <wp:positionV relativeFrom="page">
              <wp:posOffset>157480</wp:posOffset>
            </wp:positionV>
            <wp:extent cx="411480" cy="2654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411480" cy="265430"/>
                    </a:xfrm>
                    <a:prstGeom prst="rect">
                      <a:avLst/>
                    </a:prstGeom>
                    <a:noFill/>
                  </pic:spPr>
                </pic:pic>
              </a:graphicData>
            </a:graphic>
          </wp:anchor>
        </w:drawing>
        <w:t>ANNEXURE A - FORM OF ACKNOWLEDGEMENT</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w:t>
      </w:r>
      <w:r>
        <w:rPr>
          <w:rFonts w:ascii="Arial" w:cs="Arial" w:eastAsia="Arial" w:hAnsi="Arial"/>
          <w:sz w:val="18"/>
          <w:szCs w:val="18"/>
          <w:color w:val="383838"/>
        </w:rPr>
        <w:t>,</w:t>
      </w:r>
      <w:r>
        <w:rPr>
          <w:rFonts w:ascii="Arial" w:cs="Arial" w:eastAsia="Arial" w:hAnsi="Arial"/>
          <w:sz w:val="18"/>
          <w:szCs w:val="18"/>
          <w:color w:val="auto"/>
        </w:rPr>
        <w:t xml:space="preserve"> Juan Marais with identity number 6804105041080, in my capacity as a director of One Spire Proprietary Limited (registration number</w:t>
      </w:r>
      <w:r>
        <w:rPr>
          <w:rFonts w:ascii="Arial" w:cs="Arial" w:eastAsia="Arial" w:hAnsi="Arial"/>
          <w:sz w:val="18"/>
          <w:szCs w:val="18"/>
          <w:color w:val="383838"/>
        </w:rPr>
        <w:t>:</w:t>
      </w:r>
      <w:r>
        <w:rPr>
          <w:rFonts w:ascii="Arial" w:cs="Arial" w:eastAsia="Arial" w:hAnsi="Arial"/>
          <w:sz w:val="18"/>
          <w:szCs w:val="18"/>
          <w:color w:val="auto"/>
        </w:rPr>
        <w:t xml:space="preserve"> 2021/704023/07)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hereby</w:t>
      </w:r>
      <w:r>
        <w:rPr>
          <w:rFonts w:ascii="Arial" w:cs="Arial" w:eastAsia="Arial" w:hAnsi="Arial"/>
          <w:sz w:val="18"/>
          <w:szCs w:val="18"/>
          <w:color w:val="383838"/>
        </w:rPr>
        <w:t>,</w:t>
      </w:r>
      <w:r>
        <w:rPr>
          <w:rFonts w:ascii="Arial" w:cs="Arial" w:eastAsia="Arial" w:hAnsi="Arial"/>
          <w:sz w:val="18"/>
          <w:szCs w:val="18"/>
          <w:color w:val="auto"/>
        </w:rPr>
        <w:t xml:space="preserve"> acknowledge the Company to be truly and lawfull</w:t>
      </w:r>
      <w:r>
        <w:rPr>
          <w:rFonts w:ascii="Arial" w:cs="Arial" w:eastAsia="Arial" w:hAnsi="Arial"/>
          <w:sz w:val="18"/>
          <w:szCs w:val="18"/>
          <w:color w:val="383838"/>
        </w:rPr>
        <w:t>y)</w:t>
      </w:r>
      <w:r>
        <w:rPr>
          <w:rFonts w:ascii="Arial" w:cs="Arial" w:eastAsia="Arial" w:hAnsi="Arial"/>
          <w:sz w:val="18"/>
          <w:szCs w:val="18"/>
          <w:color w:val="auto"/>
        </w:rPr>
        <w:t xml:space="preserve"> indebted/liable to Georgem Holdings Proprietary Limited</w:t>
      </w:r>
      <w:r>
        <w:rPr>
          <w:rFonts w:ascii="Arial" w:cs="Arial" w:eastAsia="Arial" w:hAnsi="Arial"/>
          <w:sz w:val="18"/>
          <w:szCs w:val="18"/>
          <w:color w:val="8E8E8E"/>
        </w:rPr>
        <w:t>;</w:t>
      </w:r>
      <w:r>
        <w:rPr>
          <w:rFonts w:ascii="Arial" w:cs="Arial" w:eastAsia="Arial" w:hAnsi="Arial"/>
          <w:sz w:val="18"/>
          <w:szCs w:val="18"/>
          <w:color w:val="auto"/>
        </w:rPr>
        <w:t xml:space="preserve"> (registration number: 2012/106706/07) </w:t>
      </w:r>
      <w:r>
        <w:rPr>
          <w:rFonts w:ascii="Arial" w:cs="Arial" w:eastAsia="Arial" w:hAnsi="Arial"/>
          <w:sz w:val="18"/>
          <w:szCs w:val="18"/>
          <w:b w:val="1"/>
          <w:bCs w:val="1"/>
          <w:color w:val="auto"/>
        </w:rPr>
        <w:t>(“Creditor”)</w:t>
      </w:r>
      <w:r>
        <w:rPr>
          <w:rFonts w:ascii="Arial" w:cs="Arial" w:eastAsia="Arial" w:hAnsi="Arial"/>
          <w:sz w:val="18"/>
          <w:szCs w:val="18"/>
          <w:color w:val="auto"/>
        </w:rPr>
        <w:t xml:space="preserve"> in/for the sum of ZAR 50,000,000 (fifty million), as at the date hereof, such indebtedness/liability arising as recorded and more fully detailed in the sale of shares agreement concluded between the Company and the Creditor on or about 29 November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Signed at </w:t>
      </w:r>
      <w:r>
        <w:rPr>
          <w:rFonts w:ascii="Arial" w:cs="Arial" w:eastAsia="Arial" w:hAnsi="Arial"/>
          <w:sz w:val="18"/>
          <w:szCs w:val="18"/>
          <w:i w:val="1"/>
          <w:iCs w:val="1"/>
          <w:color w:val="auto"/>
        </w:rPr>
        <w:t>Johannesburg</w:t>
      </w:r>
      <w:r>
        <w:rPr>
          <w:rFonts w:ascii="Arial" w:cs="Arial" w:eastAsia="Arial" w:hAnsi="Arial"/>
          <w:sz w:val="18"/>
          <w:szCs w:val="18"/>
          <w:color w:val="auto"/>
        </w:rPr>
        <w:t xml:space="preserve"> on </w:t>
      </w:r>
      <w:r>
        <w:rPr>
          <w:rFonts w:ascii="Arial" w:cs="Arial" w:eastAsia="Arial" w:hAnsi="Arial"/>
          <w:sz w:val="18"/>
          <w:szCs w:val="18"/>
          <w:i w:val="1"/>
          <w:iCs w:val="1"/>
          <w:color w:val="auto"/>
        </w:rPr>
        <w:t>29 November</w:t>
      </w:r>
      <w:r>
        <w:rPr>
          <w:rFonts w:ascii="Arial" w:cs="Arial" w:eastAsia="Arial" w:hAnsi="Arial"/>
          <w:sz w:val="18"/>
          <w:szCs w:val="18"/>
          <w:color w:val="auto"/>
        </w:rPr>
        <w:t xml:space="preserve"> 2021</w:t>
      </w:r>
    </w:p>
    <w:p>
      <w:pPr>
        <w:spacing w:after="0" w:line="19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for </w:t>
      </w:r>
      <w:r>
        <w:rPr>
          <w:rFonts w:ascii="Arial" w:cs="Arial" w:eastAsia="Arial" w:hAnsi="Arial"/>
          <w:sz w:val="18"/>
          <w:szCs w:val="18"/>
          <w:b w:val="1"/>
          <w:bCs w:val="1"/>
          <w:color w:val="auto"/>
        </w:rPr>
        <w:t>One Spire Proprietary Limited</w:t>
      </w:r>
    </w:p>
    <w:p>
      <w:pPr>
        <w:spacing w:after="0" w:line="200" w:lineRule="exact"/>
        <w:rPr>
          <w:sz w:val="20"/>
          <w:szCs w:val="20"/>
          <w:color w:val="auto"/>
        </w:rPr>
      </w:pPr>
    </w:p>
    <w:p>
      <w:pPr>
        <w:spacing w:after="0" w:line="2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Juan Marais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-1905</wp:posOffset>
            </wp:positionV>
            <wp:extent cx="3566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who warrants that he is duly</w:t>
      </w:r>
    </w:p>
    <w:p>
      <w:pPr>
        <w:ind w:left="5620"/>
        <w:spacing w:after="0"/>
        <w:rPr>
          <w:sz w:val="20"/>
          <w:szCs w:val="20"/>
          <w:color w:val="auto"/>
        </w:rPr>
      </w:pPr>
      <w:r>
        <w:rPr>
          <w:rFonts w:ascii="Arial" w:cs="Arial" w:eastAsia="Arial" w:hAnsi="Arial"/>
          <w:sz w:val="18"/>
          <w:szCs w:val="18"/>
          <w:color w:val="auto"/>
        </w:rPr>
        <w:t>authorized hereto</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decimal"/>
      <w:start w:val="2"/>
    </w:lvl>
  </w:abstractNum>
  <w:abstractNum w:abstractNumId="3">
    <w:nsid w:val="140E0F76"/>
    <w:multiLevelType w:val="hybridMultilevel"/>
    <w:lvl w:ilvl="0">
      <w:lvlJc w:val="left"/>
      <w:lvlText w:val="(%1)"/>
      <w:numFmt w:val="decimal"/>
      <w:start w:val="3"/>
    </w:lvl>
  </w:abstractNum>
  <w:abstractNum w:abstractNumId="4">
    <w:nsid w:val="3352255A"/>
    <w:multiLevelType w:val="hybridMultilevel"/>
    <w:lvl w:ilvl="0">
      <w:lvlJc w:val="left"/>
      <w:lvlText w:val="(%1)"/>
      <w:numFmt w:val="decimal"/>
      <w:start w:val="4"/>
    </w:lvl>
  </w:abstractNum>
  <w:abstractNum w:abstractNumId="5">
    <w:nsid w:val="109CF92E"/>
    <w:multiLevelType w:val="hybridMultilevel"/>
    <w:lvl w:ilvl="0">
      <w:lvlJc w:val="left"/>
      <w:lvlText w:val="(%1)"/>
      <w:numFmt w:val="decimal"/>
      <w:start w:val="5"/>
    </w:lvl>
  </w:abstractNum>
  <w:abstractNum w:abstractNumId="6">
    <w:nsid w:val="DED7263"/>
    <w:multiLevelType w:val="hybridMultilevel"/>
    <w:lvl w:ilvl="0">
      <w:lvlJc w:val="left"/>
      <w:lvlText w:val="(%1)"/>
      <w:numFmt w:val="lowerRoman"/>
      <w:start w:val="7"/>
    </w:lvl>
  </w:abstractNum>
  <w:abstractNum w:abstractNumId="7">
    <w:nsid w:val="7FDCC233"/>
    <w:multiLevelType w:val="hybridMultilevel"/>
    <w:lvl w:ilvl="0">
      <w:lvlJc w:val="left"/>
      <w:lvlText w:val="(%1)"/>
      <w:numFmt w:val="lowerLetter"/>
      <w:start w:val="3"/>
    </w:lvl>
  </w:abstractNum>
  <w:abstractNum w:abstractNumId="8">
    <w:nsid w:val="1BEFD79F"/>
    <w:multiLevelType w:val="hybridMultilevel"/>
    <w:lvl w:ilvl="0">
      <w:lvlJc w:val="left"/>
      <w:lvlText w:val="(%1)"/>
      <w:numFmt w:val="lowerLetter"/>
      <w:start w:val="3"/>
    </w:lvl>
  </w:abstractNum>
  <w:abstractNum w:abstractNumId="9">
    <w:nsid w:val="41A7C4C9"/>
    <w:multiLevelType w:val="hybridMultilevel"/>
    <w:lvl w:ilvl="0">
      <w:lvlJc w:val="left"/>
      <w:lvlText w:val="1"/>
      <w:numFmt w:val="bullet"/>
      <w:start w:val="1"/>
    </w:lvl>
  </w:abstractNum>
  <w:abstractNum w:abstractNumId="10">
    <w:nsid w:val="6B68079A"/>
    <w:multiLevelType w:val="hybridMultilevel"/>
    <w:lvl w:ilvl="0">
      <w:lvlJc w:val="left"/>
      <w:lvlText w:val="2"/>
      <w:numFmt w:val="bullet"/>
      <w:start w:val="1"/>
    </w:lvl>
  </w:abstractNum>
  <w:abstractNum w:abstractNumId="11">
    <w:nsid w:val="4E6AFB66"/>
    <w:multiLevelType w:val="hybridMultilevel"/>
    <w:lvl w:ilvl="0">
      <w:lvlJc w:val="left"/>
      <w:lvlText w:val="3"/>
      <w:numFmt w:val="bullet"/>
      <w:start w:val="1"/>
    </w:lvl>
  </w:abstractNum>
  <w:abstractNum w:abstractNumId="12">
    <w:nsid w:val="25E45D32"/>
    <w:multiLevelType w:val="hybridMultilevel"/>
    <w:lvl w:ilvl="0">
      <w:lvlJc w:val="left"/>
      <w:lvlText w:val="4"/>
      <w:numFmt w:val="bullet"/>
      <w:start w:val="1"/>
    </w:lvl>
  </w:abstractNum>
  <w:abstractNum w:abstractNumId="13">
    <w:nsid w:val="519B500D"/>
    <w:multiLevelType w:val="hybridMultilevel"/>
    <w:lvl w:ilvl="0">
      <w:lvlJc w:val="left"/>
      <w:lvlText w:val="5"/>
      <w:numFmt w:val="bullet"/>
      <w:start w:val="1"/>
    </w:lvl>
  </w:abstractNum>
  <w:abstractNum w:abstractNumId="14">
    <w:nsid w:val="431BD7B7"/>
    <w:multiLevelType w:val="hybridMultilevel"/>
    <w:lvl w:ilvl="0">
      <w:lvlJc w:val="left"/>
      <w:lvlText w:val="6"/>
      <w:numFmt w:val="bullet"/>
      <w:start w:val="1"/>
    </w:lvl>
  </w:abstractNum>
  <w:abstractNum w:abstractNumId="15">
    <w:nsid w:val="3F2DBA31"/>
    <w:multiLevelType w:val="hybridMultilevel"/>
    <w:lvl w:ilvl="0">
      <w:lvlJc w:val="left"/>
      <w:lvlText w:val="7"/>
      <w:numFmt w:val="bullet"/>
      <w:start w:val="1"/>
    </w:lvl>
  </w:abstractNum>
  <w:abstractNum w:abstractNumId="16">
    <w:nsid w:val="7C83E458"/>
    <w:multiLevelType w:val="hybridMultilevel"/>
    <w:lvl w:ilvl="0">
      <w:lvlJc w:val="left"/>
      <w:lvlText w:val="8"/>
      <w:numFmt w:val="bullet"/>
      <w:start w:val="1"/>
    </w:lvl>
  </w:abstractNum>
  <w:abstractNum w:abstractNumId="17">
    <w:nsid w:val="257130A3"/>
    <w:multiLevelType w:val="hybridMultilevel"/>
    <w:lvl w:ilvl="0">
      <w:lvlJc w:val="left"/>
      <w:lvlText w:val="9"/>
      <w:numFmt w:val="bullet"/>
      <w:start w:val="1"/>
    </w:lvl>
  </w:abstractNum>
  <w:abstractNum w:abstractNumId="18">
    <w:nsid w:val="62BBD95A"/>
    <w:multiLevelType w:val="hybridMultilevel"/>
    <w:lvl w:ilvl="0">
      <w:lvlJc w:val="left"/>
      <w:lvlText w:val="%1"/>
      <w:numFmt w:val="decimal"/>
      <w:start w:val="11"/>
    </w:lvl>
  </w:abstractNum>
  <w:abstractNum w:abstractNumId="19">
    <w:nsid w:val="436C6125"/>
    <w:multiLevelType w:val="hybridMultilevel"/>
    <w:lvl w:ilvl="0">
      <w:lvlJc w:val="left"/>
      <w:lvlText w:val="%1"/>
      <w:numFmt w:val="decimal"/>
      <w:start w:val="14"/>
    </w:lvl>
  </w:abstractNum>
  <w:abstractNum w:abstractNumId="20">
    <w:nsid w:val="628C895D"/>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2021-12-08T15:27:42Z</dcterms:created>
  <dcterms:modified xsi:type="dcterms:W3CDTF">2021-12-08T15:27:42Z</dcterms:modified>
</cp:coreProperties>
</file>