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October, 2022</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71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12,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October 12, 2022 - Karooooo Ltd. Announces Second Quarter and Half Year 2023 Unaudited Financial Results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480" w:type="dxa"/>
            <w:vAlign w:val="bottom"/>
            <w:tcBorders>
              <w:top w:val="single" w:sz="8" w:color="0000EE"/>
              <w:bottom w:val="single" w:sz="8" w:color="auto"/>
            </w:tcBorders>
          </w:tcPr>
          <w:p>
            <w:pPr>
              <w:jc w:val="right"/>
              <w:ind w:right="487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SINGAPORE (October 12, 2022) - Karooooo Limited (“Karooooo”), which owns 100% of Cartrack, 100% of Carzuka and 70.1% of Karooooo Logistics (Picup, re-named as Karooooo Logistics, given the consolidation of platforms), (collectively, the “group”), reported solid results for the second quarter (“Q2 2023”) and Half-Year (“HY 2023”) ended August 31, 2022, giving management confidence to leave the outlook for the 2023 financial year unchanged.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Karooooo’s entrepreneurial culture continues to differentiate itself through its exceptional agility, customer centricity and ability to innovate. We understand that business operations rely heavily on systems, processes and actionable business intelligence. Karooooo’s leading connected cloud (“Operations Cloud”) enables customers to develop effective controls and workflows to digitalize critical elements of their day-to-day operations all on one single platform. With Karooooo’s unified products platform, customers make better decisions and succeed on execution.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our customers digitally transform their operations and eliminate inefficient processes, they see wide-ranging improvements in their operational performance. Karoooooo’s Operations Cloud collects and contextualizes over 100 billion data points per month through system integrations, workforce tools and advanced telemetry and video-based Internet of Things (“IoT”) devices to empower customers with insights that deliver real business impact. We harness our leading technology to transform complex analytics into practical and easy-to-use tools that simplify the day-to-day decision making of an operation. As a result, our customers see significant short and long-term benefits that make them more competitive across their diverse industries. These are some of the valuable benefits that create market demand for our offering:</w:t>
      </w:r>
    </w:p>
    <w:p>
      <w:pPr>
        <w:spacing w:after="0" w:line="18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fuel, maintenance and all other fleet and mobility related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driver and in-field service worker productivity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efficiencies and controls in supply chain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driver and worksite security and safety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Leaner back-office teams (automated data entries and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service (accurate billing, high quality service delivery, quicker query response times etc)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risk management and compliance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(“ESG”) management and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Karooooo’s Operations Cloud sees a high rate of successful implementation and strong customer retention across businesses of varying sizes and in diverse geographical markets and industries such as logistics, field-service-maintenance, transport, finance, mining, agriculture and emergency services. Karooooo now assists over 95,000 diverse enterprise customers (Q2 2022: 83,000+) in solving their day-to-day challenges.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Assessing the Q2 2023 results, </w:t>
      </w:r>
      <w:r>
        <w:rPr>
          <w:rFonts w:ascii="Times New Roman" w:cs="Times New Roman" w:eastAsia="Times New Roman" w:hAnsi="Times New Roman"/>
          <w:sz w:val="18"/>
          <w:szCs w:val="18"/>
          <w:b w:val="1"/>
          <w:bCs w:val="1"/>
          <w:color w:val="auto"/>
        </w:rPr>
        <w:t>Zak Calisto, CEO and Founder</w:t>
      </w:r>
      <w:r>
        <w:rPr>
          <w:rFonts w:ascii="Times New Roman" w:cs="Times New Roman" w:eastAsia="Times New Roman" w:hAnsi="Times New Roman"/>
          <w:sz w:val="18"/>
          <w:szCs w:val="18"/>
          <w:color w:val="auto"/>
        </w:rPr>
        <w:t>, said: “The solid and expected growth in both revenue and earnings in a challenging environment confirms our value proposition and cements our decade-plus track record of strategically investing for the future while scaling, growing and generating healthy profits.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was up 30% to ZAR859 million for the quarter (Q2 2022: ZAR659 million). Revenue growth resulted in Adjusted EBITDA for the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increasing 27% to ZAR377 million (Q2 2022: ZAR298 million) and earnings per share increasing 28% to ZAR4.93 (Q2 2022: ZAR3.85).</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Strong free cash flow generation bolstered our robust and clean balance sheet, with net cash and cash equivalents at an all-time high of over ZAR1 billion at the end of Q2 2023 (Q1 2023: ZAR854 million), a significant milestone. This high-cash generation places Karooooo in a unique position in the market.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focus on product improvement, innovation and a vertically integrated business model continues to differentiate us from our peers by delivering high profitability, consistent growth and record levels of cash from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total net subscriber additions for Q2 2023 are up 36% and well above that recorded for any prior second quarter. The hard work in establishing the brand in Southeast Asia continues to gather momentum where we are acquiring enterprise customers of various sizes and industries. In spite of trading conditions in South Africa remaining sluggish, we experienced strong demand in the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with a portfolio of customers with no concentration risk and with no significant exposure to any industry.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Cartrack-only adjusted EBITDA of 51%, up from 46% in Q2 2022 is an excellent result and underscores the ability to grow revenue ahead of costs, especially in difficult market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confident to leave our outlook for growth in 2023 unchanged despite the challenging operating environment.”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Ltd. Announces Second Quarter and Half Year 2023 Unaudited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2023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Q2 2022,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1,600,013 Cartrack subscribers in total at August 31, 2022, up 14% (Q2 2022: 1,408,609)</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Cartrack subscriber additions of 57,251, up 36% (Q2 2022: 42,139)</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growth in subscribers (connected vehicles and equipment on our platform) was supported by demand from small to large enterprises wanting to digitally transform their businesses to grow, become more efficient and remain competitive.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traction we experienced in Southeast Asia in Q1 continued into Q2. Trading conditions in South Africa continued to normalize, supported by the strong demand for Cartrack’s platform. Cartrack’s total net subscriber additions for Q2 2023 exceeded 57,000, which is well above that recorded for any prior second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30% to ZAR859 million (Q2 2022: ZAR659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29% on a constant currency basis (a non-IFRS measure)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increased 17% to ZAR734 million (Q2 2022: ZAR628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increased 16% on a constant currency basis (a non-IFRS measure)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Annualized Recurring Revenue (“ARR”), (a non-IFRS measure), increased 18% to ZAR2,966 million as at August 2022 (August 2021: ZAR2,523 million).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 the period increased 26% to ZAR155 million (Q2 2022: ZAR123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increased 28% to ZAR4.93 (Q2 2022: ZAR3.85)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from operating activities increased 42% to ZAR240 million (Q2 2022: ZAR169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7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Second Quarter 2023 Financial Overview</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60" w:type="dxa"/>
            <w:vAlign w:val="bottom"/>
            <w:gridSpan w:val="10"/>
          </w:tcPr>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August 31,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Carzuka</w:t>
            </w: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gridSpan w:val="7"/>
          </w:tcPr>
          <w:p>
            <w:pPr>
              <w:jc w:val="right"/>
              <w:ind w:right="480"/>
              <w:spacing w:after="0" w:line="256" w:lineRule="exact"/>
              <w:rPr>
                <w:sz w:val="20"/>
                <w:szCs w:val="20"/>
                <w:color w:val="auto"/>
              </w:rPr>
            </w:pPr>
            <w:r>
              <w:rPr>
                <w:rFonts w:ascii="Times New Roman" w:cs="Times New Roman" w:eastAsia="Times New Roman" w:hAnsi="Times New Roman"/>
                <w:sz w:val="18"/>
                <w:szCs w:val="18"/>
                <w:b w:val="1"/>
                <w:bCs w:val="1"/>
                <w:color w:val="auto"/>
              </w:rPr>
              <w:t>Karooooo Logistics</w:t>
            </w:r>
            <w:r>
              <w:rPr>
                <w:rFonts w:ascii="Times New Roman" w:cs="Times New Roman" w:eastAsia="Times New Roman" w:hAnsi="Times New Roman"/>
                <w:sz w:val="29"/>
                <w:szCs w:val="29"/>
                <w:b w:val="1"/>
                <w:bCs w:val="1"/>
                <w:color w:val="auto"/>
                <w:vertAlign w:val="superscript"/>
              </w:rPr>
              <w:t>1</w:t>
            </w:r>
          </w:p>
        </w:tc>
        <w:tc>
          <w:tcPr>
            <w:tcW w:w="26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Karooooo Consolidated</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Figures in</w:t>
            </w: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4"/>
              </w:rPr>
              <w:t>Y-o-</w:t>
            </w:r>
          </w:p>
        </w:tc>
        <w:tc>
          <w:tcPr>
            <w:tcW w:w="3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Rand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Y</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Y-o-Y</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3"/>
              </w:rPr>
              <w:t>Y-o-Y</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Y-o-Y</w:t>
            </w:r>
          </w:p>
        </w:tc>
        <w:tc>
          <w:tcPr>
            <w:tcW w:w="0" w:type="dxa"/>
            <w:vAlign w:val="bottom"/>
          </w:tcPr>
          <w:p>
            <w:pPr>
              <w:spacing w:after="0"/>
              <w:rPr>
                <w:sz w:val="1"/>
                <w:szCs w:val="1"/>
                <w:color w:val="auto"/>
              </w:rPr>
            </w:pPr>
          </w:p>
        </w:tc>
      </w:tr>
      <w:tr>
        <w:trPr>
          <w:trHeight w:val="245"/>
        </w:trPr>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0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Subscription</w:t>
            </w: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732,750</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627,637</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1,466</w:t>
            </w:r>
          </w:p>
        </w:tc>
        <w:tc>
          <w:tcPr>
            <w:tcW w:w="4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734,216</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627,637</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1"/>
        </w:trPr>
        <w:tc>
          <w:tcPr>
            <w:tcW w:w="11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Other</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14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9"/>
                <w:szCs w:val="29"/>
                <w:color w:val="auto"/>
                <w:vertAlign w:val="superscript"/>
              </w:rPr>
              <w:t>2</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19,727</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22,437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19,727</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22,437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9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65,406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8,694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&gt;100%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65,406</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8,694</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198"/>
        </w:trPr>
        <w:tc>
          <w:tcPr>
            <w:tcW w:w="1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Delivery</w:t>
            </w:r>
          </w:p>
        </w:tc>
        <w:tc>
          <w:tcPr>
            <w:tcW w:w="9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39,933</w:t>
            </w:r>
          </w:p>
        </w:tc>
        <w:tc>
          <w:tcPr>
            <w:tcW w:w="460" w:type="dxa"/>
            <w:vAlign w:val="bottom"/>
          </w:tcPr>
          <w:p>
            <w:pPr>
              <w:spacing w:after="0"/>
              <w:rPr>
                <w:sz w:val="17"/>
                <w:szCs w:val="17"/>
                <w:color w:val="auto"/>
              </w:rPr>
            </w:pPr>
          </w:p>
        </w:tc>
        <w:tc>
          <w:tcPr>
            <w:tcW w:w="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39,933</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1"/>
        </w:trPr>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92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gridSpan w:val="2"/>
            <w:vMerge w:val="continue"/>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752,477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650,074</w:t>
            </w:r>
          </w:p>
        </w:tc>
        <w:tc>
          <w:tcPr>
            <w:tcW w:w="740" w:type="dxa"/>
            <w:vAlign w:val="bottom"/>
            <w:gridSpan w:val="2"/>
            <w:vMerge w:val="restart"/>
            <w:shd w:val="clear" w:color="auto" w:fill="CCEEFF"/>
          </w:tcPr>
          <w:p>
            <w:pPr>
              <w:jc w:val="right"/>
              <w:ind w:right="120"/>
              <w:spacing w:after="0" w:line="378" w:lineRule="exact"/>
              <w:rPr>
                <w:sz w:val="20"/>
                <w:szCs w:val="20"/>
                <w:color w:val="auto"/>
              </w:rPr>
            </w:pP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35"/>
                <w:szCs w:val="35"/>
                <w:b w:val="1"/>
                <w:bCs w:val="1"/>
                <w:color w:val="auto"/>
                <w:vertAlign w:val="subscript"/>
              </w:rPr>
              <w:t>%</w:t>
            </w:r>
          </w:p>
        </w:tc>
        <w:tc>
          <w:tcPr>
            <w:tcW w:w="920" w:type="dxa"/>
            <w:vAlign w:val="bottom"/>
            <w:gridSpan w:val="2"/>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65,406</w:t>
            </w: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8,694</w:t>
            </w:r>
          </w:p>
        </w:tc>
        <w:tc>
          <w:tcPr>
            <w:tcW w:w="800" w:type="dxa"/>
            <w:vAlign w:val="bottom"/>
            <w:gridSpan w:val="2"/>
            <w:vMerge w:val="restart"/>
            <w:shd w:val="clear" w:color="auto" w:fill="CCEEFF"/>
          </w:tcPr>
          <w:p>
            <w:pPr>
              <w:jc w:val="right"/>
              <w:ind w:right="60"/>
              <w:spacing w:after="0" w:line="378" w:lineRule="exact"/>
              <w:rPr>
                <w:sz w:val="20"/>
                <w:szCs w:val="20"/>
                <w:color w:val="auto"/>
              </w:rPr>
            </w:pPr>
            <w:r>
              <w:rPr>
                <w:rFonts w:ascii="Times New Roman" w:cs="Times New Roman" w:eastAsia="Times New Roman" w:hAnsi="Times New Roman"/>
                <w:sz w:val="18"/>
                <w:szCs w:val="18"/>
                <w:b w:val="1"/>
                <w:bCs w:val="1"/>
                <w:color w:val="auto"/>
              </w:rPr>
              <w:t>&gt;100</w:t>
            </w:r>
            <w:r>
              <w:rPr>
                <w:rFonts w:ascii="Times New Roman" w:cs="Times New Roman" w:eastAsia="Times New Roman" w:hAnsi="Times New Roman"/>
                <w:sz w:val="35"/>
                <w:szCs w:val="35"/>
                <w:b w:val="1"/>
                <w:bCs w:val="1"/>
                <w:color w:val="auto"/>
                <w:vertAlign w:val="subscript"/>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41,399</w:t>
            </w:r>
          </w:p>
        </w:tc>
        <w:tc>
          <w:tcPr>
            <w:tcW w:w="46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vMerge w:val="restart"/>
            <w:shd w:val="clear" w:color="auto" w:fill="CCEEFF"/>
          </w:tcPr>
          <w:p>
            <w:pPr>
              <w:jc w:val="right"/>
              <w:ind w:right="60"/>
              <w:spacing w:after="0" w:line="378" w:lineRule="exact"/>
              <w:rPr>
                <w:sz w:val="20"/>
                <w:szCs w:val="20"/>
                <w:color w:val="auto"/>
              </w:rPr>
            </w:pPr>
            <w:r>
              <w:rPr>
                <w:rFonts w:ascii="Times New Roman" w:cs="Times New Roman" w:eastAsia="Times New Roman" w:hAnsi="Times New Roman"/>
                <w:sz w:val="18"/>
                <w:szCs w:val="18"/>
                <w:b w:val="1"/>
                <w:bCs w:val="1"/>
                <w:color w:val="auto"/>
              </w:rPr>
              <w:t>100</w:t>
            </w:r>
            <w:r>
              <w:rPr>
                <w:rFonts w:ascii="Times New Roman" w:cs="Times New Roman" w:eastAsia="Times New Roman" w:hAnsi="Times New Roman"/>
                <w:sz w:val="35"/>
                <w:szCs w:val="35"/>
                <w:b w:val="1"/>
                <w:bCs w:val="1"/>
                <w:color w:val="auto"/>
                <w:vertAlign w:val="subscript"/>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859,282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658,768</w:t>
            </w:r>
          </w:p>
        </w:tc>
        <w:tc>
          <w:tcPr>
            <w:tcW w:w="780" w:type="dxa"/>
            <w:vAlign w:val="bottom"/>
            <w:gridSpan w:val="2"/>
            <w:vMerge w:val="restart"/>
            <w:shd w:val="clear" w:color="auto" w:fill="CCEEFF"/>
          </w:tcPr>
          <w:p>
            <w:pPr>
              <w:jc w:val="right"/>
              <w:ind w:right="40"/>
              <w:spacing w:after="0" w:line="378" w:lineRule="exact"/>
              <w:rPr>
                <w:sz w:val="20"/>
                <w:szCs w:val="20"/>
                <w:color w:val="auto"/>
              </w:rPr>
            </w:pP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25"/>
        </w:trPr>
        <w:tc>
          <w:tcPr>
            <w:tcW w:w="11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revenue</w:t>
            </w:r>
          </w:p>
        </w:tc>
        <w:tc>
          <w:tcPr>
            <w:tcW w:w="92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(200,111)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(199,461)</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(58,819)</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&gt;100%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(290,069)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(207,044)</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552,366</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450,613</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6,587</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&gt;100%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10,260</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569,213</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451,724</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1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20"/>
                <w:szCs w:val="20"/>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Segment</w:t>
            </w: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profit/(loss)</w:t>
            </w:r>
          </w:p>
        </w:tc>
        <w:tc>
          <w:tcPr>
            <w:tcW w:w="9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223,812</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181,216</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(6,198)</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4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218,128</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177,690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EBITDA (a</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non-IFRS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382,324</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301,090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(5,865)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914</w:t>
            </w:r>
          </w:p>
        </w:tc>
        <w:tc>
          <w:tcPr>
            <w:tcW w:w="460" w:type="dxa"/>
            <w:vAlign w:val="bottom"/>
          </w:tcPr>
          <w:p>
            <w:pPr>
              <w:spacing w:after="0"/>
              <w:rPr>
                <w:sz w:val="20"/>
                <w:szCs w:val="20"/>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377,373</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297,571</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4"/>
        </w:trPr>
        <w:tc>
          <w:tcPr>
            <w:tcW w:w="11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Margin (a</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non-IFRS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Karooooo acquired 70.1% of Picup in September 2021. Picup was subsequently re-named as Karooooo Logistics, given the consolidation of platforms.</w:t>
      </w:r>
    </w:p>
    <w:p>
      <w:pPr>
        <w:spacing w:after="0" w:line="236" w:lineRule="exact"/>
        <w:rPr>
          <w:rFonts w:ascii="Times New Roman" w:cs="Times New Roman" w:eastAsia="Times New Roman" w:hAnsi="Times New Roman"/>
          <w:sz w:val="17"/>
          <w:szCs w:val="17"/>
          <w:i w:val="1"/>
          <w:iCs w:val="1"/>
          <w:color w:val="auto"/>
        </w:rPr>
      </w:pPr>
    </w:p>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and relates predominantly to the sale of telematics devices to a large enterprise customer opting for a non-bundled contract. Cartrack remains focused on bundled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 and Subscription Revenue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Karooooo’s revenue increased 30% and its subscription revenue increased 17% in Q2 2023. Cartrack’s revenue and subscription revenue accounted for 88% and 99.8%, respectively, of Karooooo’s revenue and subscription revenue in Q2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 generated ZAR753 million in revenue in Q2 2023 of which ZAR733 million was subscription revenue. Cartrack has high revenue visibility, with subscription revenue making up 97% of its total revenue (Q2 2022: 97%).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planned, Carzuka and Karooooo Logistics continue to scale and bolster Karooooo’s revenue growth.</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Carzuka generated ZAR65 million in Q2 2023. Its steady expansion supports our belief in the sustainability of Carzuka’s agile, data-enhanced and highly scalable business model. Carzuka is another example of how our ethos of customer-centricity and innovation in solving unique mobility needs translates into value in practice. For Carzuka, our vast and growing cloud-based data assets, data contextualization and machine learning capabilities facilitate vehicles being bought and sold at a fair price on an efficient platform. It also offers visibility on vehicle performance and health, customer de-fleeting and customer profiling to understand market demand, enhancing lead generation. Focus on high-quality leads, robust buying parameters and adapting to market movements is validated through healthy stock turnover rates and increased demand.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Leveraging Cartrack’s technology, subscriber base, distribution network, digital marketing capabilities and ability to execute, Carzuka is expected to achieve strong growth at scale, providing buyers and sellers with a large volume and variety of affordable used vehicles.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combination with its intuitive e-commerce platform, Carzuka’s first physical showroom is strategically located in Eastgate Shopping Centre (Johannesburg). The showroom has capacity to showcase in excess of 500 vehicles, offering consumers easy access, safety and efficiency. Given Cartrack’s well-established countrywide footprint and expansive distribution network, there are plans for Carzuka to occupy currently underserviced geographies in easily accessible hubs in key cities in South Africa, such as Sandton City (greater Johannesburg – Sandton). Despite a temporary delay in this expansion initiative, Carzuka still delivered a healthy growth of 31% quarter-on-quarter.</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Karooooo Logistics (trading as Picup in South Africa) generated ZAR41 million in revenue in Q2 2023 delivering strong growth of 49% quarter on quarter and for the first time reported an operating profit for the quarter. Karooooo Logistics focuses on delivery-as-a-service “DaaS” with its own selection of third-party crowd source drivers and logistics companies with a financial model of primarily charging per delivery.</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in the process of integrating the Karooooo Logistics software into the Cartrack platform, to empower Cartrack customers to manage and enhance their own logistics capacity with ease. With the integration, Cartrack customers can augment their own fleet capacity with third-party crowd sourced drivers and logistics companies of their choice using Cartrack’s API architecture. Cartrack will charge customers for using the Karooooo Logistics stack on a subscription-based model.</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SaaS ARR (a non-IFRS measure), in ZAR, increased 18% to ZAR2,966 million at August 31, 2022, compared to ZAR2,523 million at August 31, 2021. In USD, SaaS ARR (a non-IFRS measure), has slightly increased to USD174.1 million at August 31, 2022, compared to USD173.8 million at August 31, 2021. SaaS ARR was driven by the 14% increase in subscribers, offset by a weaker ZAR. The ZAR to USD exchange rate was ZAR17.04 at the end of August 2022, compared to ZAR14.51 at the end of August 2021. Amounts in ZAR have been translated to USD using exchange rates set forth in the H.10 statistical release of the Board of Governors of the Federal Reserve System on August 31,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 Ended August 31</w:t>
            </w:r>
          </w:p>
        </w:tc>
        <w:tc>
          <w:tcPr>
            <w:tcW w:w="20" w:type="dxa"/>
            <w:vAlign w:val="bottom"/>
          </w:tcPr>
          <w:p>
            <w:pPr>
              <w:spacing w:after="0"/>
              <w:rPr>
                <w:sz w:val="24"/>
                <w:szCs w:val="24"/>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354,505</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274,534</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auto"/>
            </w:tcBorders>
          </w:tcPr>
          <w:p>
            <w:pPr>
              <w:spacing w:after="0"/>
              <w:rPr>
                <w:sz w:val="20"/>
                <w:szCs w:val="20"/>
                <w:color w:val="auto"/>
              </w:rPr>
            </w:pPr>
          </w:p>
        </w:tc>
      </w:tr>
      <w:tr>
        <w:trPr>
          <w:trHeight w:val="203"/>
        </w:trPr>
        <w:tc>
          <w:tcPr>
            <w:tcW w:w="7440" w:type="dxa"/>
            <w:vAlign w:val="bottom"/>
            <w:tcBorders>
              <w:right w:val="single" w:sz="8" w:color="auto"/>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20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331,949</w:t>
            </w:r>
          </w:p>
        </w:tc>
        <w:tc>
          <w:tcPr>
            <w:tcW w:w="132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269,897</w:t>
            </w:r>
          </w:p>
        </w:tc>
        <w:tc>
          <w:tcPr>
            <w:tcW w:w="1280" w:type="dxa"/>
            <w:vAlign w:val="bottom"/>
            <w:tcBorders>
              <w:right w:val="single" w:sz="8" w:color="auto"/>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000000"/>
          </w:tcPr>
          <w:p>
            <w:pPr>
              <w:spacing w:after="0"/>
              <w:rPr>
                <w:sz w:val="17"/>
                <w:szCs w:val="17"/>
                <w:color w:val="auto"/>
              </w:rPr>
            </w:pPr>
          </w:p>
        </w:tc>
      </w:tr>
      <w:tr>
        <w:trPr>
          <w:trHeight w:val="216"/>
        </w:trPr>
        <w:tc>
          <w:tcPr>
            <w:tcW w:w="744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Carzuka</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4,637</w:t>
            </w:r>
          </w:p>
        </w:tc>
        <w:tc>
          <w:tcPr>
            <w:tcW w:w="128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&gt;100%</w:t>
            </w:r>
          </w:p>
        </w:tc>
        <w:tc>
          <w:tcPr>
            <w:tcW w:w="20" w:type="dxa"/>
            <w:vAlign w:val="bottom"/>
            <w:shd w:val="clear" w:color="auto" w:fill="000000"/>
          </w:tcPr>
          <w:p>
            <w:pPr>
              <w:spacing w:after="0"/>
              <w:rPr>
                <w:sz w:val="18"/>
                <w:szCs w:val="18"/>
                <w:color w:val="auto"/>
              </w:rPr>
            </w:pPr>
          </w:p>
        </w:tc>
      </w:tr>
      <w:tr>
        <w:trPr>
          <w:trHeight w:val="223"/>
        </w:trPr>
        <w:tc>
          <w:tcPr>
            <w:tcW w:w="74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2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9,771</w:t>
            </w: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shd w:val="clear" w:color="auto" w:fill="000000"/>
          </w:tcPr>
          <w:p>
            <w:pPr>
              <w:spacing w:after="0"/>
              <w:rPr>
                <w:sz w:val="19"/>
                <w:szCs w:val="19"/>
                <w:color w:val="auto"/>
              </w:rPr>
            </w:pP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Karooooo’s operating expenses increased 29% to ZAR355 million in Q2 2023 (Q2 2022: ZAR275 million). We continue to build Carzuka and Karooooo Logistics for scale, with these businesses contributing ZAR13 million and ZAR10 million respectively, to the total operating expenses of the group. The remainder, ZAR332 million, is attributable to Cartrack (Q2 2022: ZAR270 million) and comprises cautious investment for growth offset by ongoing economies of scale, supporting cost containment.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sales and marketing operating expenses increased 21% to ZAR99 million in Q2 2023 (Q2 2022: ZAR82 million). We believe this investment in growth positions us well for the long-term and we expect to see the benefit in higher customer acquisition for the remainder of 2023 and beyond.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general and administration operating expenses rose 27% to ZAR166 million (Q2 2022: ZAR131 million) as we build infrastructure to meet our growth plans.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Cartrack’s R&amp;D operating expenses increased 20% to ZAR42 million (Q2 2022: ZAR35 million). Our planned investment in the improvement, enrichment and expansion of our Operations Cloud platform and internal management systems is focused on enhancing our value proposition to our customers, digitalizing their operations to give them a competitive advantage in dynamic and challenging operating environments.</w:t>
      </w:r>
    </w:p>
    <w:p>
      <w:pPr>
        <w:spacing w:after="0" w:line="17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Cartrack’s expected credit losses increased 15% to ZAR25 million (Q2 2022: ZAR22 million). This increase is below the Cartrack total revenue increase of 16%, hence credit losses as a percentage of revenue improved when compared to Q2 2022.</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The trend in Cartrack’s expenses as a relative portion of subscription revenue accord with Karooooo’s long-term financial goals set out on listing on the NASDAQ in April 2021 and reflect our accelerated investment in growth.</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 as a percentage of subscription revenue remained flat at 13% (Q2 2022: 13%)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administration expenses as a percentage of subscription revenue increased to 23% (Q2 2022: 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expenses as a percentage of subscription revenue remained flat at 6% (Q2 2022: 6%)</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 Adjusted Earnings per share and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profit increased 23% to ZAR218 million in Q2 2023 (Q2 2022: ZAR178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earnings per share increased 28% to ZAR4.93 in the second quarter of 2023 (Q2 2022: ZAR3.85).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earnings per share, a non-IFRS measure, increased 28% to ZAR4.93 in the second quarter of 2023 (Q2 2022: ZAR3.85).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strong subscription revenue growth despite the challenging operating environment, and the group’s investment in future growth, favorably offset by the realization of economies of scale and increased staff productivity, Cartrack delivered operating profit of ZAR224 million, up 24%, in the second quarter of 2023, (Q2 2022: ZAR181 million). Cartrack’s operating profit margin expanded to 30% (Q2 2022: 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Carzuka’s operating loss increased to ZAR6 million in Q2 2023 (Q2 2022: ZAR4 million). Karooooo Logistics delivered an operating profit of ZAR0.5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Q2 2023 (Q2 2022: NIL).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increased 27% to ZAR377 million (Q2 2022: ZAR298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Adjusted EBITDA (a non-IFRS measure) increased 27% to ZAR382 million (Q2 2021: ZAR301 million). In line with Karooooo’s planned investment for future growth, set out in management’s guidance range for 2023, Cartrack’s Adjusted EBITDA margin (a non-IFRS measure) was 51% for the second quarter of 2023 (Q2 2022: 46%).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Carzuka’s Adjusted EBITDA (a non-IFRS measure) decreased to a loss of ZAR6 million while investing for expansion (Q2 2022: ZAR4 million). Management is focused on organic growth with strategic capital allocation. This investment is asset light given the returns we expect once we exceed quarterly revenue of ZAR300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 Adjusted EBITDA (a non-IFRS measure) was ZAR1 million for Q2 2023 (Q2 2022: Nil).</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3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Half-Year 2023 Financial Overview</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Six Months Ended August 31,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Carzuka</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gridSpan w:val="7"/>
          </w:tcPr>
          <w:p>
            <w:pPr>
              <w:jc w:val="right"/>
              <w:ind w:right="400"/>
              <w:spacing w:after="0" w:line="256" w:lineRule="exact"/>
              <w:rPr>
                <w:sz w:val="20"/>
                <w:szCs w:val="20"/>
                <w:color w:val="auto"/>
              </w:rPr>
            </w:pPr>
            <w:r>
              <w:rPr>
                <w:rFonts w:ascii="Times New Roman" w:cs="Times New Roman" w:eastAsia="Times New Roman" w:hAnsi="Times New Roman"/>
                <w:sz w:val="18"/>
                <w:szCs w:val="18"/>
                <w:b w:val="1"/>
                <w:bCs w:val="1"/>
                <w:color w:val="auto"/>
              </w:rPr>
              <w:t>Karooooo Logistics</w:t>
            </w:r>
            <w:r>
              <w:rPr>
                <w:rFonts w:ascii="Times New Roman" w:cs="Times New Roman" w:eastAsia="Times New Roman" w:hAnsi="Times New Roman"/>
                <w:sz w:val="29"/>
                <w:szCs w:val="29"/>
                <w:b w:val="1"/>
                <w:bCs w:val="1"/>
                <w:color w:val="auto"/>
                <w:vertAlign w:val="superscript"/>
              </w:rPr>
              <w:t>1</w:t>
            </w:r>
          </w:p>
        </w:tc>
        <w:tc>
          <w:tcPr>
            <w:tcW w:w="180" w:type="dxa"/>
            <w:vAlign w:val="bottom"/>
          </w:tcPr>
          <w:p>
            <w:pPr>
              <w:spacing w:after="0"/>
              <w:rPr>
                <w:sz w:val="22"/>
                <w:szCs w:val="22"/>
                <w:color w:val="auto"/>
              </w:rPr>
            </w:pPr>
          </w:p>
        </w:tc>
        <w:tc>
          <w:tcPr>
            <w:tcW w:w="2500" w:type="dxa"/>
            <w:vAlign w:val="bottom"/>
            <w:gridSpan w:val="9"/>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Karooooo Consolidated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2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Figures in</w:t>
            </w: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4"/>
              </w:rPr>
              <w:t>Y-o-</w:t>
            </w:r>
          </w:p>
        </w:tc>
        <w:tc>
          <w:tcPr>
            <w:tcW w:w="2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4"/>
              </w:rPr>
              <w:t>Y-o-</w:t>
            </w: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Rand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1"/>
              </w:rPr>
              <w:t>Y</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3"/>
              </w:rPr>
              <w:t>Y-o-Y</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1"/>
              </w:rPr>
              <w:t>Y</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3"/>
              </w:rPr>
              <w:t>Y-o-Y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2021</w:t>
            </w:r>
          </w:p>
        </w:tc>
        <w:tc>
          <w:tcPr>
            <w:tcW w:w="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Pr>
          <w:p>
            <w:pPr>
              <w:spacing w:after="0"/>
              <w:rPr>
                <w:sz w:val="21"/>
                <w:szCs w:val="21"/>
                <w:color w:val="auto"/>
              </w:rPr>
            </w:pP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2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Subscription</w:t>
            </w: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1,440,231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1,233,503</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1,443,119</w:t>
            </w: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1,233,503</w:t>
            </w:r>
          </w:p>
        </w:tc>
        <w:tc>
          <w:tcPr>
            <w:tcW w:w="8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9"/>
                <w:szCs w:val="29"/>
                <w:color w:val="auto"/>
                <w:vertAlign w:val="superscript"/>
              </w:rPr>
              <w:t>2</w:t>
            </w: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35,964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40,195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35,964</w:t>
            </w: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40,195</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115,411</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11,263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&gt;100%</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115,411</w:t>
            </w: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11,263</w:t>
            </w:r>
          </w:p>
        </w:tc>
        <w:tc>
          <w:tcPr>
            <w:tcW w:w="8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&gt;100%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66,225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66,225</w:t>
            </w: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gridSpan w:val="2"/>
            <w:vMerge w:val="continue"/>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1,476,195</w:t>
            </w:r>
          </w:p>
        </w:tc>
        <w:tc>
          <w:tcPr>
            <w:tcW w:w="200" w:type="dxa"/>
            <w:vAlign w:val="bottom"/>
            <w:vMerge w:val="restart"/>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1,273,698</w:t>
            </w:r>
          </w:p>
        </w:tc>
        <w:tc>
          <w:tcPr>
            <w:tcW w:w="620" w:type="dxa"/>
            <w:vAlign w:val="bottom"/>
            <w:gridSpan w:val="2"/>
            <w:vMerge w:val="restart"/>
            <w:shd w:val="clear" w:color="auto" w:fill="CCEEFF"/>
          </w:tcPr>
          <w:p>
            <w:pPr>
              <w:jc w:val="right"/>
              <w:ind w:right="80"/>
              <w:spacing w:after="0" w:line="378" w:lineRule="exact"/>
              <w:rPr>
                <w:sz w:val="20"/>
                <w:szCs w:val="20"/>
                <w:color w:val="auto"/>
              </w:rPr>
            </w:pP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35"/>
                <w:szCs w:val="35"/>
                <w:b w:val="1"/>
                <w:bCs w:val="1"/>
                <w:color w:val="auto"/>
                <w:vertAlign w:val="subscript"/>
              </w:rPr>
              <w:t>%</w:t>
            </w:r>
          </w:p>
        </w:tc>
        <w:tc>
          <w:tcPr>
            <w:tcW w:w="1020" w:type="dxa"/>
            <w:vAlign w:val="bottom"/>
            <w:gridSpan w:val="2"/>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115,411</w:t>
            </w:r>
          </w:p>
        </w:tc>
        <w:tc>
          <w:tcPr>
            <w:tcW w:w="8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11,263</w:t>
            </w:r>
          </w:p>
        </w:tc>
        <w:tc>
          <w:tcPr>
            <w:tcW w:w="700" w:type="dxa"/>
            <w:vAlign w:val="bottom"/>
            <w:gridSpan w:val="2"/>
            <w:vMerge w:val="restart"/>
            <w:shd w:val="clear" w:color="auto" w:fill="CCEEFF"/>
          </w:tcPr>
          <w:p>
            <w:pPr>
              <w:jc w:val="right"/>
              <w:ind w:right="60"/>
              <w:spacing w:after="0" w:line="378" w:lineRule="exact"/>
              <w:rPr>
                <w:sz w:val="20"/>
                <w:szCs w:val="20"/>
                <w:color w:val="auto"/>
              </w:rPr>
            </w:pPr>
            <w:r>
              <w:rPr>
                <w:rFonts w:ascii="Times New Roman" w:cs="Times New Roman" w:eastAsia="Times New Roman" w:hAnsi="Times New Roman"/>
                <w:sz w:val="18"/>
                <w:szCs w:val="18"/>
                <w:b w:val="1"/>
                <w:bCs w:val="1"/>
                <w:color w:val="auto"/>
              </w:rPr>
              <w:t>&gt;100</w:t>
            </w:r>
            <w:r>
              <w:rPr>
                <w:rFonts w:ascii="Times New Roman" w:cs="Times New Roman" w:eastAsia="Times New Roman" w:hAnsi="Times New Roman"/>
                <w:sz w:val="35"/>
                <w:szCs w:val="35"/>
                <w:b w:val="1"/>
                <w:bCs w:val="1"/>
                <w:color w:val="auto"/>
                <w:vertAlign w:val="subscript"/>
              </w:rPr>
              <w:t>%</w:t>
            </w:r>
          </w:p>
        </w:tc>
        <w:tc>
          <w:tcPr>
            <w:tcW w:w="92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69,113</w:t>
            </w: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3"/>
            <w:vMerge w:val="restart"/>
            <w:shd w:val="clear" w:color="auto" w:fill="CCEEFF"/>
          </w:tcPr>
          <w:p>
            <w:pPr>
              <w:jc w:val="right"/>
              <w:ind w:right="100"/>
              <w:spacing w:after="0" w:line="378" w:lineRule="exact"/>
              <w:rPr>
                <w:sz w:val="20"/>
                <w:szCs w:val="20"/>
                <w:color w:val="auto"/>
              </w:rPr>
            </w:pPr>
            <w:r>
              <w:rPr>
                <w:rFonts w:ascii="Times New Roman" w:cs="Times New Roman" w:eastAsia="Times New Roman" w:hAnsi="Times New Roman"/>
                <w:sz w:val="18"/>
                <w:szCs w:val="18"/>
                <w:b w:val="1"/>
                <w:bCs w:val="1"/>
                <w:color w:val="auto"/>
              </w:rPr>
              <w:t>100</w:t>
            </w:r>
            <w:r>
              <w:rPr>
                <w:rFonts w:ascii="Times New Roman" w:cs="Times New Roman" w:eastAsia="Times New Roman" w:hAnsi="Times New Roman"/>
                <w:sz w:val="35"/>
                <w:szCs w:val="35"/>
                <w:b w:val="1"/>
                <w:bCs w:val="1"/>
                <w:color w:val="auto"/>
                <w:vertAlign w:val="subscript"/>
              </w:rPr>
              <w:t>%</w:t>
            </w:r>
          </w:p>
        </w:tc>
        <w:tc>
          <w:tcPr>
            <w:tcW w:w="9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1,660,719</w:t>
            </w:r>
          </w:p>
        </w:tc>
        <w:tc>
          <w:tcPr>
            <w:tcW w:w="88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1,284,961</w:t>
            </w:r>
          </w:p>
        </w:tc>
        <w:tc>
          <w:tcPr>
            <w:tcW w:w="820" w:type="dxa"/>
            <w:vAlign w:val="bottom"/>
            <w:tcBorders>
              <w:right w:val="single" w:sz="8" w:color="CCEEFF"/>
            </w:tcBorders>
            <w:gridSpan w:val="3"/>
            <w:vMerge w:val="restart"/>
            <w:shd w:val="clear" w:color="auto" w:fill="CCEEFF"/>
          </w:tcPr>
          <w:p>
            <w:pPr>
              <w:jc w:val="right"/>
              <w:ind w:right="40"/>
              <w:spacing w:after="0" w:line="378" w:lineRule="exact"/>
              <w:rPr>
                <w:sz w:val="20"/>
                <w:szCs w:val="20"/>
                <w:color w:val="auto"/>
              </w:rPr>
            </w:pPr>
            <w:r>
              <w:rPr>
                <w:rFonts w:ascii="Times New Roman" w:cs="Times New Roman" w:eastAsia="Times New Roman" w:hAnsi="Times New Roman"/>
                <w:sz w:val="18"/>
                <w:szCs w:val="18"/>
                <w:b w:val="1"/>
                <w:bCs w:val="1"/>
                <w:color w:val="auto"/>
              </w:rPr>
              <w:t>29</w:t>
            </w:r>
            <w:r>
              <w:rPr>
                <w:rFonts w:ascii="Times New Roman" w:cs="Times New Roman" w:eastAsia="Times New Roman" w:hAnsi="Times New Roman"/>
                <w:sz w:val="35"/>
                <w:szCs w:val="35"/>
                <w:b w:val="1"/>
                <w:bCs w:val="1"/>
                <w:color w:val="auto"/>
                <w:vertAlign w:val="subscript"/>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revenue</w:t>
            </w:r>
          </w:p>
        </w:tc>
        <w:tc>
          <w:tcPr>
            <w:tcW w:w="80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920" w:type="dxa"/>
            <w:vAlign w:val="bottom"/>
            <w:tcBorders>
              <w:right w:val="single" w:sz="8" w:color="CCEEFF"/>
            </w:tcBorders>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780" w:type="dxa"/>
            <w:vAlign w:val="bottom"/>
            <w:tcBorders>
              <w:right w:val="single" w:sz="8" w:color="CCEEFF"/>
            </w:tcBorders>
            <w:gridSpan w:val="3"/>
            <w:vMerge w:val="continue"/>
            <w:shd w:val="clear" w:color="auto" w:fill="CCEEFF"/>
          </w:tcPr>
          <w:p>
            <w:pPr>
              <w:spacing w:after="0"/>
              <w:rPr>
                <w:sz w:val="19"/>
                <w:szCs w:val="19"/>
                <w:color w:val="auto"/>
              </w:rPr>
            </w:pPr>
          </w:p>
        </w:tc>
        <w:tc>
          <w:tcPr>
            <w:tcW w:w="980" w:type="dxa"/>
            <w:vAlign w:val="bottom"/>
            <w:gridSpan w:val="3"/>
            <w:vMerge w:val="continue"/>
            <w:shd w:val="clear" w:color="auto" w:fill="CCEEFF"/>
          </w:tcPr>
          <w:p>
            <w:pPr>
              <w:spacing w:after="0"/>
              <w:rPr>
                <w:sz w:val="19"/>
                <w:szCs w:val="19"/>
                <w:color w:val="auto"/>
              </w:rPr>
            </w:pPr>
          </w:p>
        </w:tc>
        <w:tc>
          <w:tcPr>
            <w:tcW w:w="880" w:type="dxa"/>
            <w:vAlign w:val="bottom"/>
            <w:gridSpan w:val="4"/>
            <w:vMerge w:val="continue"/>
            <w:shd w:val="clear" w:color="auto" w:fill="CCEEFF"/>
          </w:tcPr>
          <w:p>
            <w:pPr>
              <w:spacing w:after="0"/>
              <w:rPr>
                <w:sz w:val="19"/>
                <w:szCs w:val="19"/>
                <w:color w:val="auto"/>
              </w:rPr>
            </w:pPr>
          </w:p>
        </w:tc>
        <w:tc>
          <w:tcPr>
            <w:tcW w:w="820" w:type="dxa"/>
            <w:vAlign w:val="bottom"/>
            <w:tcBorders>
              <w:right w:val="single" w:sz="8" w:color="CCEEFF"/>
            </w:tcBorders>
            <w:gridSpan w:val="3"/>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(406,765)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(379,738)</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(103,071)</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&gt;100%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(51,784)</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(561,620)</w:t>
            </w:r>
          </w:p>
        </w:tc>
        <w:tc>
          <w:tcPr>
            <w:tcW w:w="2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(389,385)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1,069,430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893,960</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12,340</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&gt;100%</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17,329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1,099,099</w:t>
            </w: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895,576</w:t>
            </w:r>
          </w:p>
        </w:tc>
        <w:tc>
          <w:tcPr>
            <w:tcW w:w="8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2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Segment</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profit/(loss)</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445,064</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352,482</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(9,867)</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435,618</w:t>
            </w: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345,814</w:t>
            </w:r>
          </w:p>
        </w:tc>
        <w:tc>
          <w:tcPr>
            <w:tcW w:w="8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2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EBITDA (a</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non-IFRS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739,293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579,361</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(9,289)</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731,117</w:t>
            </w: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572,700</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2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Margin (a</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non-IFRS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Six Months Ended August 31</w:t>
            </w: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4"/>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667,638</w:t>
            </w: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551,047</w:t>
            </w:r>
          </w:p>
        </w:tc>
        <w:tc>
          <w:tcPr>
            <w:tcW w:w="2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628,345</w:t>
            </w:r>
          </w:p>
        </w:tc>
        <w:tc>
          <w:tcPr>
            <w:tcW w:w="1400" w:type="dxa"/>
            <w:vAlign w:val="bottom"/>
            <w:gridSpan w:val="5"/>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542,763</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right w:val="single" w:sz="8" w:color="auto"/>
            </w:tcBorders>
            <w:gridSpan w:val="3"/>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Carzuka</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22,207</w:t>
            </w:r>
          </w:p>
        </w:tc>
        <w:tc>
          <w:tcPr>
            <w:tcW w:w="14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&gt;100%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17,086</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Karooooo is well positioned for growth, operating in a growing and largely underpenetrated market, with strong demand from customers across diverse industries seeking software solutions to successfully digitalize their businesses and improve their operational performance. Our mission is to be a leading on-the-ground Operations Cloud.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proven, robust and consistently profitable business model, underpinned by a strong balance sheet and healthy cash position, gives us multiple levers for expansion. Our investment in marketing and sales, coupled with the realization of economies of scale across our business segments, is expected to generate robust results in the future.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results may differ materially from Karooooo’s outlook due to prolonged pandemic impacts and exchange rate fluctuations, among other factors described under “Forward-Looking Statements” below.</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Cartrack’s revenue accounting for the majority (HY 2023: 89%) of the group’s revenue, and Carzuka and Karooooo Logistics being built for scale, the outlook below relates to Cartrack only.</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00" w:right="31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The strong performance shown in HY 2023 gives us confidence to leave our guidance unchanged. We expect Cartrack to continue growing within the following ranges for the full year 2023:</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subscribers between 1,700,000 and 1,900,000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between ZAR2.95 billion and ZAR3.1 billion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Adjusted EBITDA margin between 45% and 50%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Cash Flow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approach to capital allocation supports Karooooo’s profitability and high cash-generation. We have ample runway to accelerate our revenue growth in excess of our average historical rate and to remain profitable.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group’s Capital Allocation Committee has adopted a cash management policy whereby Karooooo’s excess cash reserves on hand will be held in US Dollars, which will be translated into ZAR for reporting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at August 31,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reported a net cash and cash equivalents balance of ZAR1 billion at the end of HY 2023 (HY 2022: ZAR664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August 31, 2022, the group had bank facilities for growth initiatives and other general corporate purposes of ZAR925 million with The Standard Bank of South Africa Limited and ZAR75 million with Mercantile Bank, a division of Capitec Bank Limited.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 non-IFRS measure)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generated a record ZAR559 million in cash from operating activities in HY 2023 (HY 2022: ZAR442 million).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result was achieved despite the group’s continued and strategic investment in customer acquisition and long-term growth. Karooooo invested ZAR296 million in Property, Plant and Equipment (“PPE”) and infrastructure in HY 2023, 9% more than the ZAR271 million invested in HY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generated Free Cash Flow (a non-IFRS measure) of ZAR263 million in HY 2023 compared to ZAR171 million in HY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 and Reserves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has 30,951,106 ordinary shares issued with a paid-up share capital of USD505,956,659 plus SGD1,000.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The ZAR0.4 billion relates to the net asset value of the 95,350,637 Cartrack minority shares bought by Karooooo.</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Geographical Overview for Cartrack for the First Half of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Cartrack’s subscription revenue in South Africa increased 16% in HY 2023, compared to HY 2022. At the end of HY 2023, we had 1,227,586 subscribers, up 12% on HY 2022. The lower-than-expected increase in subscribers was attributable to a weak Q1 FY23 due to the sudden adverse macroeconomic conditions caused by fuel increases and the floods in Durban. In our view, the impact of further economic headwinds will be offset by customer demand for our value proposition, which enables them to save costs and boost operational productivity in increasingly stressed markets. We believe we are the largest and fastest growing enterprise mobility SaaS provider on the African continent.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 Middle East and United States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segment is our second largest revenue contributor, within which Southeast Asia presents the greatest opportunity in the medium to long-term for the reasons already described. With our scalable business model, internationally recognized brand and track record as a successful technology partner to large multi-national brands, we believe our value proposition will find favor in this region, delivering sustainable income to the group.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subscribers in this segment has grown 25% to 164,791 by the end of HY 2023 (HY 2022: 131,670). This translated into 25% growth in subscription revenue (20% on a constant currency basis due to the lower Average Revenue per Subscriber per month (“ARPU”) in growing operations outside of Singapore). While cognizant that it will take time to return to pre COVID-19 levels, we are pleased with the traction shown thus far in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pace of Cartrack’s expansion into Southeast Asia (beyond Singapore) moves ahead of historical growth rates, we expect ARPU in Asia to trend closer to that in South Africa.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strategic office in the United States continues to yield many key insights that have positively contributed to Cartrack.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segment delivered robust subscription revenue growth of 14% on a constant currency basis (a non-IFRS measure) driven by subscriber growth of 16%.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expansion strategy in Europe remains encouraging, with the number of subscribers in this segment growing 16% to 136,483 subscribers across the region at the end of HY 2023 (HY 2022: 118,061). We plan to increase the pace of our investment in growth in this region.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Africa (excluding South Africa)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segment remains a positive cash generator and is strategic to Karooooo’s operations in Eastern and Southern Africa. Significant operational reorganization in Q4 2022 gained traction during this HY 2023, with encouraging customer additions. The number of subscribers grew 10% to 71,153 (HY 2022: 64,877) and billing to customers severely impacted by Covid-19 resumed, which translated into 23% growth in subscription revenue on a constant currency basis (a non-IFRS measure).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ESG Reporting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 believes that the positive impact of the technology we create encompasses a responsibility to consider the wider impact of our business on the planet. We are also committed to ensure that our approach to ESG remains real, relevant and interconnected by integrating the standards into our day-to-day business operations in the following focus areas: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protection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Carbon emissions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Starting in 2019, by utilising a proprietary dynamic scheduling tool on our system, we have been able to actively manage our own fleet to further reduce carbon emissions per customer through efficient routing and field-service management. Leveraging our own experience, we enhanced our platform with last mile delivery and field-service tools to assist our customers to improve their operations as they aim to reduce their carbon footprint. Our platform allows our customers to monitor and improve their ESG compliance status through a comprehensive set of ESG-related indicators, including CO2 emissions from their vehicle, driving behaviour reports and driver-based scoring to analyse the usage of the vehicles and fuel consumption, delivery optimisation and vehicle efficiency.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Pollution and waste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manage our waste responsibly, implementing and supporting recycling and aiming to minimize the generation of waste. We are exploring innovative ways in which to reduce waste, complying with the Waste, Electrical and Electronic Equipment Directive by collecting tracking units from around the world for repair or scrapping. We promote the safer use of materials in manufacturing products and all our products, including the battery and enclosures and comply with the European Union Restriction of Hazardous Substances (ROHS) Directive.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Green energy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new Cartrack South Africa head office building in Johannesburg, currently under construction, is an environmentally friendly, operational, open plan building designed to incorporate environmental considerations to utilise renewable energy resources (including solar panels), improve resource utilisation and reduce greenhouse gas (GHG) emissions and waste, where practicable, resulting in an energy efficient, thermally comfortable building with good natural daylight levels.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Social empowerment and 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Education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recognise that education is the key enabler to empower individuals in a skills-driven, technology-oriented landscape and have established the Cartrack Academy, an accredited training academy, that provides various opportunities for our community’s youth to become qualified, skilled and experienced through formalised programmes (ranging from 18-24 months) and workplace exposure. In addition, we offer MS Office training through the accredited ICDL centre. Upon completion of these programmes, learners are either employed at Cartrack, or are in a better position to be more marketable for employment elsewhere. Our social economic and development initiatives strive to enable school leavers and unemployed youth to get back on the right track. These programmes provide insight into CV and portfolio design, interview skills, contact centre operations, MS Office courses and emotional intelligence.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provide assistance with funding for further education and skills development of our employees.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satisfaction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Understanding where we can improve our services is an integral part of our customer-centricity. In addition to dedicated customer care contact centres, we closely monitor social media platforms and respond accordingly.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encourage our customers, and the wider public, to alert us to possible ethical issues via a Hotline and email contact address.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Empowerment through Financing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Know-the-Driver is a predictive risk management tool on the Cartrack platform that allows banks, leasing and finance houses to finance perceived high risk communities who typically have limited to no access to traditional credit. Know-the-Driver uses machine learning to predict fraud, theft and instalment default with accuracy. Know-the-Driver generates risk alerts to allow for timeous steps to mitigate.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create finance solutions to assist less privileged societies and individuals that may be excluded from financial assistance due to perceived credit risk in vehicle finance.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privacy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ensure the privacy and security of customer, supplier and employee information through appropriate policies that comply with legislation in the jurisdictions where we conduct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safety and waste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assist with the safety and security of food transportation, we provide driver safety, cold-chain monitoring, real-time visibility and streamlined compliance for any business in the food and beverage, ice or other perishable goods industry. Our telemetry devices monitor the vehicle’s reefer temperature changes and provide real time live location to prevent route deviation and unauthorized stops and allow for swift remediation. Video monitoring allows for the prevention and detection of food contamination through tampering.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easy-to-use technology ensures cargo is accounted for from dispatch to delivery, assisting with the management of sustainable waste and bio-waste disposal. Alerts will signal unauthorized stops and the opening of a cargo door outside the approved delivery zone to prevent illegal dumping and tampering with the cargo. Video footage will support and enhance available telematic data.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and security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tools for managing and measuring compliance with social responsibilities, such as community safety, employee protection and driver empowerment.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system allows for monitoring of driver behaviour such as speeding, erratic driving and harsh braking. Information from AI cameras relays information that can be utilised to monitor behaviour or provide evidence of events. Real-time behaviour alerts encourage improved driving methods. The Cartrack tracking device allows for speedy and efficient vehicle recovery in the event of theft or a carjacking incident. In South Africa, a high crime area, Cartrack’s stolen vehicle recovery rate is in excess of 90%.</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Governance practices, policies and compliance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composition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comprises 5 directors of which 3 are independent, non-executive directors. Four of the directors are either Singapore citizens or permanently resident in Singapore and 1 is non-resident. In terms of gender diversity, we have 2 male and 3 female members. The directors’ ages range from 42 to 63. In terms of skills, our directors contribute diverse functional, cultural and geographical experience and expertise.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assumes ultimate responsibility for considering, reviewing and monitoring the ESG strategy and goals on an annual basis.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Driver hours compliance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Cartrack platform provides various solutions for driver fatigue management and allows for accurate record-keeping and compliance management.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Thailand. the Department of Land Transport (DLT) implemented legislation that requires most commercial vehicles to install GPS and card readers, in order to verify driver identity and control road safety throughout the country. Cartrack’s telematic device integrates seamlessly with the DLT backend system to provide an efficient and cost-effective solution to compliance.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Europe, tachographs, which are mandatory in Europe for passenger carriers and Heavy Goods Vehicles (HGVs) to calculate driving and rest hours, are compact digital devices mounted in the driver’s cabin. Cartrack’s user-friendly platform allows access to the device memory remotely and automatically, enabling fleet operators to download the records from both the driver card and tachograph for reporting and risk management purposes.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US, the electronic logging device (ELD) rule is intended to help create a safer work environment for drivers, and make it easier and faster to accurately track, manage, and share records of duty status.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Corruption, bribery and whistleblowing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Karooooo Anti-Bribery and Corruption policy, Code of Ethics, Whistleblowing policy and employment contracts contain clear guidelines with regard to bribery, corruption, client confidentiality and acceptable behaviour towards fellow employees, customers, contractors and suppliers. Annual awareness and practical training are provided to all employees, and reinforced by individual affirmations on an annual basis to ensure awareness and understanding of these principles as well as the consequences of non-compliance. These policies also apply to third party providers. There is a contact email and Hotline for whistleblowing and reporters are assured of confidentiality.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Karooooo management will host a </w:t>
      </w:r>
      <w:r>
        <w:rPr>
          <w:rFonts w:ascii="Times New Roman" w:cs="Times New Roman" w:eastAsia="Times New Roman" w:hAnsi="Times New Roman"/>
          <w:sz w:val="17"/>
          <w:szCs w:val="17"/>
          <w:b w:val="1"/>
          <w:bCs w:val="1"/>
          <w:color w:val="auto"/>
        </w:rPr>
        <w:t>Zoom webinar on Thursday, October 13, 2022</w:t>
      </w:r>
      <w:r>
        <w:rPr>
          <w:rFonts w:ascii="Times New Roman" w:cs="Times New Roman" w:eastAsia="Times New Roman" w:hAnsi="Times New Roman"/>
          <w:sz w:val="17"/>
          <w:szCs w:val="17"/>
          <w:color w:val="auto"/>
        </w:rPr>
        <w:t xml:space="preserve"> at 08:00 a.m. Eastern Time (02:00 p.m. South African time; 08:00 p.m.</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Singaporean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are invited to join the Zoom at: https://us02web.zoom.us/j/84564249714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Webinar ID: </w:t>
      </w:r>
      <w:r>
        <w:rPr>
          <w:rFonts w:ascii="Times New Roman" w:cs="Times New Roman" w:eastAsia="Times New Roman" w:hAnsi="Times New Roman"/>
          <w:sz w:val="18"/>
          <w:szCs w:val="18"/>
          <w:b w:val="1"/>
          <w:bCs w:val="1"/>
          <w:color w:val="auto"/>
        </w:rPr>
        <w:t>845 6424 9714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IFRS Accounting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Karooooo, headquartered in Singapore, is a leading global provider of an on-the-ground operational IoT SaaS cloud that maximizes the value of transportation, operations and workflow data by providing insightful real-time data analytics to over 1,600,000 connected vehicles and equipment. Karooooo assists thousands of enterprise customers in digitally transforming their on-the-ground operations.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ectPr>
          <w:pgSz w:w="11900" w:h="16838" w:orient="portrait"/>
          <w:cols w:equalWidth="0" w:num="1">
            <w:col w:w="11240"/>
          </w:cols>
          <w:pgMar w:left="320" w:top="900"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060" w:space="540"/>
            <w:col w:w="864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p>
      <w:pPr>
        <w:spacing w:after="0" w:line="207" w:lineRule="exact"/>
        <w:rPr>
          <w:sz w:val="20"/>
          <w:szCs w:val="20"/>
          <w:color w:val="auto"/>
        </w:rPr>
      </w:pPr>
    </w:p>
    <w:p>
      <w:pPr>
        <w:sectPr>
          <w:pgSz w:w="11900" w:h="16838" w:orient="portrait"/>
          <w:cols w:equalWidth="0" w:num="2">
            <w:col w:w="1880" w:space="720"/>
            <w:col w:w="8640"/>
          </w:cols>
          <w:pgMar w:left="320" w:top="900" w:right="339"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859,282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658,768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1,660,719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1,284,961</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(290,069)</w:t>
            </w:r>
          </w:p>
        </w:tc>
        <w:tc>
          <w:tcPr>
            <w:tcW w:w="3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(207,044)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(561,620)</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(389,385)</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569,213</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451,724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1,099,099</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3,420</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(354,505)</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(274,534)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(667,638)</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(551,047)</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(107,514)</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(84,710)</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(203,473)</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(173,403)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(178,551)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(131,857)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(333,740)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(260,532)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(43,612)</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(36,308)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(85,153)</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(69,049)</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(24,828)</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(21,659)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(45,272)</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(48,063)</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218,128</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177,690</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435,618</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345,814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costs (“IPO”)</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4,763</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to derivative assets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219,698</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176,290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436,411</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(64,221)</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(53,128)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(124,595)</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(101,870)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155,477</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123,162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311,816</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231,077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152,544</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119,148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306,077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207,423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2,933</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5,739</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23,654</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59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155,477</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311,816</w:t>
            </w:r>
          </w:p>
        </w:tc>
        <w:tc>
          <w:tcPr>
            <w:tcW w:w="3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231,077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Earnings per share </w:t>
            </w:r>
            <w:r>
              <w:rPr>
                <w:rFonts w:ascii="Times New Roman" w:cs="Times New Roman" w:eastAsia="Times New Roman" w:hAnsi="Times New Roman"/>
                <w:sz w:val="18"/>
                <w:szCs w:val="18"/>
                <w:color w:val="auto"/>
              </w:rPr>
              <w:t>(a non-IFRS measure)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Adjusted Basic and diluted earnings per share (ZAR)</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non-IFRS measure)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4.93</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9.89</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RECONCILIATION OF PROFIT TO ADJUSTED PROFIT (A NON-IFRS MEASURE)</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40"/>
          </w:cols>
          <w:pgMar w:left="320" w:top="90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profit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r>
      <w:tr>
        <w:trPr>
          <w:trHeight w:val="236"/>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8"/>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17"/>
                <w:szCs w:val="17"/>
                <w:color w:val="auto"/>
              </w:rPr>
            </w:pPr>
          </w:p>
        </w:tc>
      </w:tr>
      <w:tr>
        <w:trPr>
          <w:trHeight w:val="23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155,477</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311,816</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231,077</w:t>
            </w:r>
          </w:p>
        </w:tc>
      </w:tr>
      <w:tr>
        <w:trPr>
          <w:trHeight w:val="241"/>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155,477</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123,162</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311,816</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-453390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160"/>
          </w:cols>
          <w:pgMar w:left="320" w:top="900" w:right="439" w:bottom="1440" w:gutter="0" w:footer="0" w:header="0"/>
          <w:type w:val="continuous"/>
        </w:sect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Pr>
          <w:p>
            <w:pPr>
              <w:spacing w:after="0"/>
              <w:rPr>
                <w:sz w:val="20"/>
                <w:szCs w:val="20"/>
                <w:color w:val="auto"/>
              </w:rPr>
            </w:pP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1,451,841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1,390,659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1,223,897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251,409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231,537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76,813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77,031</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61,947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198,302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186,384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19,400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19,400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other receivables and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27,964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9,722</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10,889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59,217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58,383</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47,832</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2,086,305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1,974,475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1,725,120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68,268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25,369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386,420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333,886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15,305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1,001,243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731,748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664,176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1,478,736</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1,115,126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1,035,499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3,565,041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3,089,601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2,760,619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7,142,853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7,142,853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7,142,853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Capital reserve</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(3,582,568)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(3,587,640)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(3,587,059)</w:t>
            </w:r>
          </w:p>
        </w:tc>
        <w:tc>
          <w:tcPr>
            <w:tcW w:w="0" w:type="dxa"/>
            <w:vAlign w:val="bottom"/>
          </w:tcPr>
          <w:p>
            <w:pPr>
              <w:spacing w:after="0"/>
              <w:rPr>
                <w:sz w:val="1"/>
                <w:szCs w:val="1"/>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Common control reserve</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(2,709,236)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(2,709,236)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125,890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28,776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1,289,038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1,276,523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1,019,356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parent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2,265,977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2,151,276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23,412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22,905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22,464</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2,289,389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1,889,519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43,530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71,194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84,943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62,588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64,784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77,695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116,156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108,256</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99,408</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35,760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47,063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53,341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258,034</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291,297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315,387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20,475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18,156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630,267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281,866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286,892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51,891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47,294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36,854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246,128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218,148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190,571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64,974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40,918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31,181</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warranties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1,017,618</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624,123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555,713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1,275,652</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915,420</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3,565,041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3,089,601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2,760,619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67" w:lineRule="auto"/>
        <w:tabs>
          <w:tab w:leader="none" w:pos="3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173" w:lineRule="exact"/>
        <w:rPr>
          <w:rFonts w:ascii="Times New Roman" w:cs="Times New Roman" w:eastAsia="Times New Roman" w:hAnsi="Times New Roman"/>
          <w:sz w:val="18"/>
          <w:szCs w:val="18"/>
          <w:i w:val="1"/>
          <w:iCs w:val="1"/>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240,318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168,946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559,310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441,972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utilized by investing activities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(140,873)</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(163,339)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(309,390)</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(290,369)</w:t>
            </w:r>
          </w:p>
        </w:tc>
        <w:tc>
          <w:tcPr>
            <w:tcW w:w="0" w:type="dxa"/>
            <w:vAlign w:val="bottom"/>
          </w:tcPr>
          <w:p>
            <w:pPr>
              <w:spacing w:after="0"/>
              <w:rPr>
                <w:sz w:val="1"/>
                <w:szCs w:val="1"/>
                <w:color w:val="auto"/>
              </w:rPr>
            </w:pPr>
          </w:p>
        </w:tc>
      </w:tr>
      <w:tr>
        <w:trPr>
          <w:trHeight w:val="290"/>
        </w:trPr>
        <w:tc>
          <w:tcPr>
            <w:tcW w:w="59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Net cash flows from/(utilized by) financing activities</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(15,461)</w:t>
            </w: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65,926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(51,464)</w:t>
            </w:r>
          </w:p>
        </w:tc>
        <w:tc>
          <w:tcPr>
            <w:tcW w:w="3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423,684</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and cash equivalents movements for the period</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83,984</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71,533</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198,456</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575,287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at the beginning of the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854,221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553,584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718,026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76,098</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on cash and cash equivalents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63,037</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84,760</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12,791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 at the end of the period</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1,001,242</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664,176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1,001,242</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664,176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RECONCILIATION OF FREE CASH FLOW (A NON-IFRS MEASURE)</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00"/>
          </w:cols>
          <w:pgMar w:left="320" w:top="90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800"/>
        <w:spacing w:after="0" w:line="279" w:lineRule="auto"/>
        <w:rPr>
          <w:sz w:val="20"/>
          <w:szCs w:val="20"/>
          <w:color w:val="auto"/>
        </w:rPr>
      </w:pPr>
      <w:r>
        <w:rPr>
          <w:rFonts w:ascii="Times New Roman" w:cs="Times New Roman" w:eastAsia="Times New Roman" w:hAnsi="Times New Roman"/>
          <w:sz w:val="17"/>
          <w:szCs w:val="17"/>
          <w:color w:val="auto"/>
        </w:rPr>
        <w:t>Net cash generated from operating activities Less: purchase of property, plant and equipment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0"/>
                <w:szCs w:val="20"/>
                <w:color w:val="auto"/>
              </w:rPr>
            </w:pPr>
          </w:p>
        </w:tc>
      </w:tr>
      <w:tr>
        <w:trPr>
          <w:trHeight w:val="198"/>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240,318</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168,946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559,310</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441,972</w:t>
            </w:r>
          </w:p>
        </w:tc>
        <w:tc>
          <w:tcPr>
            <w:tcW w:w="60" w:type="dxa"/>
            <w:vAlign w:val="bottom"/>
          </w:tcPr>
          <w:p>
            <w:pPr>
              <w:spacing w:after="0"/>
              <w:rPr>
                <w:sz w:val="18"/>
                <w:szCs w:val="18"/>
                <w:color w:val="auto"/>
              </w:rPr>
            </w:pPr>
          </w:p>
        </w:tc>
      </w:tr>
      <w:tr>
        <w:trPr>
          <w:trHeight w:val="248"/>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(134,293)</w:t>
            </w:r>
          </w:p>
        </w:tc>
        <w:tc>
          <w:tcPr>
            <w:tcW w:w="3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(152,364)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(296,021)</w:t>
            </w:r>
          </w:p>
        </w:tc>
        <w:tc>
          <w:tcPr>
            <w:tcW w:w="3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(270,527)</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106,025</w:t>
            </w:r>
          </w:p>
        </w:tc>
        <w:tc>
          <w:tcPr>
            <w:tcW w:w="3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263,289</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171,445</w:t>
            </w:r>
          </w:p>
        </w:tc>
        <w:tc>
          <w:tcPr>
            <w:tcW w:w="60" w:type="dxa"/>
            <w:vAlign w:val="bottom"/>
          </w:tcPr>
          <w:p>
            <w:pPr>
              <w:spacing w:after="0"/>
              <w:rPr>
                <w:sz w:val="21"/>
                <w:szCs w:val="2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20"/>
          </w:cols>
          <w:pgMar w:left="320" w:top="900" w:right="379" w:bottom="1440" w:gutter="0" w:footer="0" w:header="0"/>
          <w:type w:val="continuous"/>
        </w:sect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PROFIT FOR THE PERIOD TO ADJUSTED EBITDA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155,477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123,162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311,816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231,077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64,221</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53,128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124,595</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101,870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(1,619)</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3,193</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3,019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6,812</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to derivative assets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amortization of intangible</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159,245</w:t>
            </w:r>
          </w:p>
        </w:tc>
        <w:tc>
          <w:tcPr>
            <w:tcW w:w="3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119,881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295,499</w:t>
            </w:r>
          </w:p>
        </w:tc>
        <w:tc>
          <w:tcPr>
            <w:tcW w:w="3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226,886</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IPO costs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 non-IFRS measure)</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840" w:type="dxa"/>
            <w:vAlign w:val="bottom"/>
            <w:vMerge w:val="continue"/>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377,373</w:t>
            </w:r>
          </w:p>
        </w:tc>
        <w:tc>
          <w:tcPr>
            <w:tcW w:w="32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297,571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731,117</w:t>
            </w:r>
          </w:p>
        </w:tc>
        <w:tc>
          <w:tcPr>
            <w:tcW w:w="3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572,700</w:t>
            </w:r>
          </w:p>
        </w:tc>
        <w:tc>
          <w:tcPr>
            <w:tcW w:w="0" w:type="dxa"/>
            <w:vAlign w:val="bottom"/>
          </w:tcPr>
          <w:p>
            <w:pPr>
              <w:spacing w:after="0"/>
              <w:rPr>
                <w:sz w:val="1"/>
                <w:szCs w:val="1"/>
                <w:color w:val="auto"/>
              </w:rPr>
            </w:pPr>
          </w:p>
        </w:tc>
      </w:tr>
      <w:tr>
        <w:trPr>
          <w:trHeight w:val="21"/>
        </w:trPr>
        <w:tc>
          <w:tcPr>
            <w:tcW w:w="58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margin (a non-IFRS measure)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BASIC AND DILUTED EARNINGS AND ADJUSTED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Reconciliation between basic earnings and adjusted earnings </w:t>
            </w:r>
            <w:r>
              <w:rPr>
                <w:rFonts w:ascii="Times New Roman" w:cs="Times New Roman" w:eastAsia="Times New Roman" w:hAnsi="Times New Roman"/>
                <w:sz w:val="18"/>
                <w:szCs w:val="18"/>
                <w:color w:val="auto"/>
              </w:rPr>
              <w:t>(a non-IFRS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9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measure)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152,544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306,077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207,423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 for: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IPO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4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 on above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profit attributable to ordinary shareholders </w:t>
            </w:r>
            <w:r>
              <w:rPr>
                <w:rFonts w:ascii="Times New Roman" w:cs="Times New Roman" w:eastAsia="Times New Roman" w:hAnsi="Times New Roman"/>
                <w:sz w:val="18"/>
                <w:szCs w:val="18"/>
                <w:color w:val="auto"/>
              </w:rPr>
              <w:t>(a non-IFRS measure)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152,544</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306,077</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217,711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which the per share figures have been calculated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30,951</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30,951</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basic and diluted earnings per share </w:t>
            </w:r>
            <w:r>
              <w:rPr>
                <w:rFonts w:ascii="Times New Roman" w:cs="Times New Roman" w:eastAsia="Times New Roman" w:hAnsi="Times New Roman"/>
                <w:sz w:val="18"/>
                <w:szCs w:val="18"/>
                <w:color w:val="auto"/>
              </w:rPr>
              <w:t>(a non-IFRS measure)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BASIC AND DILUTED EARNINGS PER SHARE TO HEADLINE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Reconciliation between basic earnings to headline earnings </w:t>
            </w:r>
            <w:r>
              <w:rPr>
                <w:rFonts w:ascii="Times New Roman" w:cs="Times New Roman" w:eastAsia="Times New Roman" w:hAnsi="Times New Roman"/>
                <w:sz w:val="18"/>
                <w:szCs w:val="18"/>
                <w:color w:val="auto"/>
              </w:rPr>
              <w:t>(a non-IFRS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9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measure)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152,544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306,077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207,423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 for: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(Gain)/loss on disposal of property, plant and equipment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 on (gain)/loss on disposal of property, plant and equipment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835</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Headline earnings (a non-IFRS measure)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150,397</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118,931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303,691</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206,729</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which the per share figures have been calculated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30,951</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30,951</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headline earnings per share (a non-IFRS measure)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CONSTANT CURRENCY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and Half Year Ended August 31,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constant currency information has been determined by adjusting the current financial reporting period results to the results reported for the three months and half year ended August 31, 2021, using the average of the monthly exchange rates applicable to that period. The measurement has been performed for each of the group’s operating currencies.</w:t>
      </w:r>
    </w:p>
    <w:p>
      <w:pPr>
        <w:sectPr>
          <w:pgSz w:w="11900" w:h="16838" w:orient="portrait"/>
          <w:cols w:equalWidth="0" w:num="1">
            <w:col w:w="11240"/>
          </w:cols>
          <w:pgMar w:left="320" w:top="900"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as reported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impact of other currencies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3831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1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Y-o-Y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440" w:type="dxa"/>
            <w:vAlign w:val="bottom"/>
            <w:gridSpan w:val="3"/>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734,216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627,637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5"/>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(7,059)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50"/>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727,157</w:t>
            </w:r>
          </w:p>
        </w:tc>
        <w:tc>
          <w:tcPr>
            <w:tcW w:w="2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627,637</w:t>
            </w:r>
          </w:p>
        </w:tc>
        <w:tc>
          <w:tcPr>
            <w:tcW w:w="2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6600" w:space="720"/>
            <w:col w:w="392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TOTAL REVENUE</w:t>
      </w:r>
    </w:p>
    <w:p>
      <w:pPr>
        <w:sectPr>
          <w:pgSz w:w="11900" w:h="16838" w:orient="portrait"/>
          <w:cols w:equalWidth="0" w:num="1">
            <w:col w:w="11240"/>
          </w:cols>
          <w:pgMar w:left="320" w:top="9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as reported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impact of other currencies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as reported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impact of other currencies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as reported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impact of other currencies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3831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16"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Y-o-Y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440" w:type="dxa"/>
            <w:vAlign w:val="bottom"/>
            <w:gridSpan w:val="3"/>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859,282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658,768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5"/>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(7,464)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50"/>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851,818</w:t>
            </w:r>
          </w:p>
        </w:tc>
        <w:tc>
          <w:tcPr>
            <w:tcW w:w="2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658,768</w:t>
            </w:r>
          </w:p>
        </w:tc>
        <w:tc>
          <w:tcPr>
            <w:tcW w:w="2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Six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3831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16"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Y-o-Y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440" w:type="dxa"/>
            <w:vAlign w:val="bottom"/>
            <w:gridSpan w:val="3"/>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1,443,119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1,233,503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5"/>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(5,091)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50"/>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1,438,028</w:t>
            </w:r>
          </w:p>
        </w:tc>
        <w:tc>
          <w:tcPr>
            <w:tcW w:w="2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1,233,503</w:t>
            </w:r>
          </w:p>
        </w:tc>
        <w:tc>
          <w:tcPr>
            <w:tcW w:w="2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Six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3831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16"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Y-o-Y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440" w:type="dxa"/>
            <w:vAlign w:val="bottom"/>
            <w:gridSpan w:val="3"/>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1,660,719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1,284,961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5"/>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(5,276)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50"/>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1,655,443</w:t>
            </w:r>
          </w:p>
        </w:tc>
        <w:tc>
          <w:tcPr>
            <w:tcW w:w="2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1,284,961</w:t>
            </w:r>
          </w:p>
        </w:tc>
        <w:tc>
          <w:tcPr>
            <w:tcW w:w="2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900" w:right="339" w:bottom="1440" w:gutter="0" w:footer="0" w:header="0"/>
          <w:type w:val="continuous"/>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Profit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profit (a non-IFRS measure), is defined as, profit after tax defined by IFRS excluding the impact of non-recurring operational expenses relating to IPO costs of ZAR36 million expensed (ZAR26 million in the fourth quarter of 2021 and ZAR10 million in the first quarter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djusted Earnings per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earnings per share, (a non-IFRS measure) is defined as, earnings per share defined by IFRS excluding the impact of non-recurring operational expenses relating to IPO costs of ZAR36 million expensed (ZAR26 million in the fourth quarter of 2021 and ZAR10 million in the first quarter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 non-IFRS measure) as profit less finance income, plus finance costs, taxation, depreciation and amortization, plus once-off IPO costs.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Recurring Revenue (SaaS ARR)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Subscriber per month (ARPU)</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 xml:space="preserve">Cartrack Holdings </w:t>
      </w:r>
      <w:r>
        <w:rPr>
          <w:rFonts w:ascii="Times New Roman" w:cs="Times New Roman" w:eastAsia="Times New Roman" w:hAnsi="Times New Roman"/>
          <w:sz w:val="18"/>
          <w:szCs w:val="18"/>
          <w:color w:val="auto"/>
        </w:rPr>
        <w:t>(“Cartrack”)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 in accordance with IFRS.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 of liquidity and the ability of the group to turn revenues into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Picup Technologies (Pty) Ltd </w:t>
      </w:r>
      <w:r>
        <w:rPr>
          <w:rFonts w:ascii="Times New Roman" w:cs="Times New Roman" w:eastAsia="Times New Roman" w:hAnsi="Times New Roman"/>
          <w:sz w:val="18"/>
          <w:szCs w:val="18"/>
          <w:color w:val="auto"/>
        </w:rPr>
        <w:t>(“Picup”)</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strategically acquired 70.1% of Picup in September 2021 and Picup was subsequently re-branded and re-named as Karooooo Logistics, given the consolidation of platforms.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of 40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revenue growth and operating margin for a period of 12-months sum to greater than 40.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economics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non-IFRS financial measures that are used as reference of Cartrack’s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Lifetime value (LTV of a Customer) of customer relationships to customer acquisition costs (CAC)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Lifetime value (LTV of a Subscriber), cost of acquiring a subscriber (CAS) and </w:t>
      </w:r>
      <w:r>
        <w:rPr>
          <w:rFonts w:ascii="Times New Roman" w:cs="Times New Roman" w:eastAsia="Times New Roman" w:hAnsi="Times New Roman"/>
          <w:sz w:val="18"/>
          <w:szCs w:val="18"/>
          <w:color w:val="auto"/>
        </w:rPr>
        <w:t>cost of servicing a subscriber (CSS)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estimate our long 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announcement. In addition, even if our results of operations, financial condition and liquidity, the development of the industry in which we operate and the effect of acquisitions on us are consistent with the forward-looking statements contained in this announcement, those results or developments may not be indicative of results or developments in subsequent periods.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the Annual Report on Form 20-F filed on June 09,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similarly-titled measures used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31" w:lineRule="auto"/>
        <w:rPr>
          <w:sz w:val="20"/>
          <w:szCs w:val="20"/>
          <w:color w:val="auto"/>
        </w:rPr>
      </w:pPr>
      <w:r>
        <w:rPr>
          <w:rFonts w:ascii="Times New Roman" w:cs="Times New Roman" w:eastAsia="Times New Roman" w:hAnsi="Times New Roman"/>
          <w:sz w:val="18"/>
          <w:szCs w:val="18"/>
          <w:color w:val="auto"/>
        </w:rPr>
        <w:t>our business operations. Solely for convenience, trademarks and trade names referred to in this announcement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2022-10-12T15:24:31Z</dcterms:created>
  <dcterms:modified xsi:type="dcterms:W3CDTF">2022-10-12T15:24:31Z</dcterms:modified>
</cp:coreProperties>
</file>