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619760</wp:posOffset>
            </wp:positionH>
            <wp:positionV relativeFrom="page">
              <wp:posOffset>226060</wp:posOffset>
            </wp:positionV>
            <wp:extent cx="67208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0840" cy="26035"/>
                    </a:xfrm>
                    <a:prstGeom prst="rect">
                      <a:avLst/>
                    </a:prstGeom>
                    <a:noFill/>
                  </pic:spPr>
                </pic:pic>
              </a:graphicData>
            </a:graphic>
          </wp:anchor>
        </w:drawing>
        <w:drawing>
          <wp:anchor simplePos="0" relativeHeight="251657728" behindDoc="1" locked="0" layoutInCell="0" allowOverlap="1">
            <wp:simplePos x="0" y="0"/>
            <wp:positionH relativeFrom="page">
              <wp:posOffset>619760</wp:posOffset>
            </wp:positionH>
            <wp:positionV relativeFrom="page">
              <wp:posOffset>260350</wp:posOffset>
            </wp:positionV>
            <wp:extent cx="6720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084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384"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August,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2814955</wp:posOffset>
            </wp:positionH>
            <wp:positionV relativeFrom="paragraph">
              <wp:posOffset>81280</wp:posOffset>
            </wp:positionV>
            <wp:extent cx="151257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2570" cy="29845"/>
                    </a:xfrm>
                    <a:prstGeom prst="rect">
                      <a:avLst/>
                    </a:prstGeom>
                    <a:noFill/>
                  </pic:spPr>
                </pic:pic>
              </a:graphicData>
            </a:graphic>
          </wp:anchor>
        </w:drawing>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001-40300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KAROOOOO LTD.</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 Anson Road #12-14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Plaza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Singapore 079903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940"/>
        <w:spacing w:after="0"/>
        <w:tabs>
          <w:tab w:leader="none" w:pos="5120" w:val="left"/>
          <w:tab w:leader="none" w:pos="69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14605</wp:posOffset>
            </wp:positionV>
            <wp:extent cx="574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23495</wp:posOffset>
            </wp:positionV>
            <wp:extent cx="565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747395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80" w:type="dxa"/>
        <w:tblCellMar>
          <w:top w:w="0" w:type="dxa"/>
          <w:left w:w="0" w:type="dxa"/>
          <w:bottom w:w="0" w:type="dxa"/>
          <w:right w:w="0" w:type="dxa"/>
        </w:tblCellMar>
      </w:tblPr>
      <w:tr>
        <w:trPr>
          <w:trHeight w:val="220"/>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Karooooo Ltd.</w:t>
            </w:r>
          </w:p>
        </w:tc>
        <w:tc>
          <w:tcPr>
            <w:tcW w:w="5760" w:type="dxa"/>
            <w:vAlign w:val="bottom"/>
          </w:tcPr>
          <w:p>
            <w:pPr>
              <w:spacing w:after="0"/>
              <w:rPr>
                <w:sz w:val="19"/>
                <w:szCs w:val="19"/>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6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Isaias (Zak) Jose Calisto</w:t>
            </w:r>
          </w:p>
        </w:tc>
      </w:tr>
      <w:tr>
        <w:trPr>
          <w:trHeight w:val="195"/>
        </w:trPr>
        <w:tc>
          <w:tcPr>
            <w:tcW w:w="66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760" w:type="dxa"/>
            <w:vAlign w:val="bottom"/>
          </w:tcPr>
          <w:p>
            <w:pPr>
              <w:ind w:left="260"/>
              <w:spacing w:after="0" w:line="195" w:lineRule="exact"/>
              <w:rPr>
                <w:sz w:val="20"/>
                <w:szCs w:val="20"/>
                <w:color w:val="auto"/>
              </w:rPr>
            </w:pPr>
            <w:r>
              <w:rPr>
                <w:rFonts w:ascii="Arial" w:cs="Arial" w:eastAsia="Arial" w:hAnsi="Arial"/>
                <w:sz w:val="18"/>
                <w:szCs w:val="18"/>
                <w:color w:val="auto"/>
              </w:rPr>
              <w:t>Isaias (Zak) Jose Calisto</w:t>
            </w:r>
          </w:p>
        </w:tc>
      </w:tr>
      <w:tr>
        <w:trPr>
          <w:trHeight w:val="230"/>
        </w:trPr>
        <w:tc>
          <w:tcPr>
            <w:tcW w:w="6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760" w:type="dxa"/>
            <w:vAlign w:val="bottom"/>
          </w:tcPr>
          <w:p>
            <w:pPr>
              <w:ind w:left="2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26, 2021</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1010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Results of the Annual General Meeting of Karooooo Ltd. held on August 26, 2021</w:t>
              </w:r>
            </w:hyperlink>
          </w:p>
        </w:tc>
      </w:tr>
      <w:tr>
        <w:trPr>
          <w:trHeight w:val="59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40" w:type="dxa"/>
            <w:vAlign w:val="bottom"/>
            <w:tcBorders>
              <w:top w:val="single" w:sz="8" w:color="0000EE"/>
              <w:bottom w:val="single" w:sz="8" w:color="auto"/>
            </w:tcBorders>
          </w:tcPr>
          <w:p>
            <w:pPr>
              <w:jc w:val="right"/>
              <w:ind w:right="1326"/>
              <w:spacing w:after="0"/>
              <w:rPr>
                <w:sz w:val="20"/>
                <w:szCs w:val="20"/>
                <w:color w:val="auto"/>
              </w:rPr>
            </w:pPr>
            <w:r>
              <w:rPr>
                <w:rFonts w:ascii="Arial" w:cs="Arial" w:eastAsia="Arial" w:hAnsi="Arial"/>
                <w:sz w:val="22"/>
                <w:szCs w:val="22"/>
                <w:color w:val="auto"/>
              </w:rPr>
              <w:t>2</w:t>
            </w: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u w:val="single" w:color="auto"/>
          <w:color w:val="auto"/>
        </w:rPr>
        <w:t>Exhibit 99.1</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ANNUAL GENERAL MEETING OF KAROOOOO LTD. HELD ON AUGUST 26, 2021 (the “AGM”)</w:t>
      </w:r>
    </w:p>
    <w:p>
      <w:pPr>
        <w:spacing w:after="0" w:line="39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30,951,106 ordinary shares in issue as at the date of the AGM. In accordance with the constitution of the Company, two members present or represented at the AGM, constitutes a quorum. We confirm that a quorum was present.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Shareholders voted on all the resolutions relating to the ordinary business and all the resolutions relating to the special business as set out in the notice of the AGM, dated July 26, 2021. All resolutions were duly passed.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Each ordinary share carries one vote. Details of all votes validly cast at the AGM are set out below:</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Resolution number and details</w:t>
            </w:r>
          </w:p>
        </w:tc>
        <w:tc>
          <w:tcPr>
            <w:tcW w:w="840" w:type="dxa"/>
            <w:vAlign w:val="bottom"/>
            <w:tcBorders>
              <w:top w:val="single" w:sz="8" w:color="auto"/>
            </w:tcBorders>
          </w:tcPr>
          <w:p>
            <w:pPr>
              <w:spacing w:after="0" w:line="252" w:lineRule="exact"/>
              <w:rPr>
                <w:sz w:val="20"/>
                <w:szCs w:val="20"/>
                <w:color w:val="auto"/>
              </w:rPr>
            </w:pPr>
            <w:r>
              <w:rPr>
                <w:rFonts w:ascii="Arial" w:cs="Arial" w:eastAsia="Arial" w:hAnsi="Arial"/>
                <w:sz w:val="29"/>
                <w:szCs w:val="29"/>
                <w:b w:val="1"/>
                <w:bCs w:val="1"/>
                <w:color w:val="auto"/>
                <w:vertAlign w:val="subscript"/>
              </w:rPr>
              <w:t>For</w:t>
            </w:r>
            <w:r>
              <w:rPr>
                <w:rFonts w:ascii="Arial" w:cs="Arial" w:eastAsia="Arial" w:hAnsi="Arial"/>
                <w:sz w:val="13"/>
                <w:szCs w:val="13"/>
                <w:b w:val="1"/>
                <w:bCs w:val="1"/>
                <w:color w:val="auto"/>
              </w:rPr>
              <w:t xml:space="preserve"> (1)</w:t>
            </w:r>
          </w:p>
        </w:tc>
        <w:tc>
          <w:tcPr>
            <w:tcW w:w="1180" w:type="dxa"/>
            <w:vAlign w:val="bottom"/>
            <w:tcBorders>
              <w:top w:val="single" w:sz="8" w:color="auto"/>
              <w:right w:val="single" w:sz="8" w:color="auto"/>
            </w:tcBorders>
          </w:tcPr>
          <w:p>
            <w:pPr>
              <w:spacing w:after="0"/>
              <w:rPr>
                <w:sz w:val="21"/>
                <w:szCs w:val="21"/>
                <w:color w:val="auto"/>
              </w:rPr>
            </w:pPr>
          </w:p>
        </w:tc>
        <w:tc>
          <w:tcPr>
            <w:tcW w:w="1400" w:type="dxa"/>
            <w:vAlign w:val="bottom"/>
            <w:tcBorders>
              <w:top w:val="single" w:sz="8" w:color="auto"/>
            </w:tcBorders>
          </w:tcPr>
          <w:p>
            <w:pPr>
              <w:spacing w:after="0" w:line="252" w:lineRule="exact"/>
              <w:rPr>
                <w:sz w:val="20"/>
                <w:szCs w:val="20"/>
                <w:color w:val="auto"/>
              </w:rPr>
            </w:pPr>
            <w:r>
              <w:rPr>
                <w:rFonts w:ascii="Arial" w:cs="Arial" w:eastAsia="Arial" w:hAnsi="Arial"/>
                <w:sz w:val="18"/>
                <w:szCs w:val="18"/>
                <w:b w:val="1"/>
                <w:bCs w:val="1"/>
                <w:color w:val="auto"/>
              </w:rPr>
              <w:t>Against</w:t>
            </w:r>
            <w:r>
              <w:rPr>
                <w:rFonts w:ascii="Arial" w:cs="Arial" w:eastAsia="Arial" w:hAnsi="Arial"/>
                <w:sz w:val="29"/>
                <w:szCs w:val="29"/>
                <w:b w:val="1"/>
                <w:bCs w:val="1"/>
                <w:color w:val="auto"/>
                <w:vertAlign w:val="superscript"/>
              </w:rPr>
              <w:t>(1)</w:t>
            </w:r>
          </w:p>
        </w:tc>
        <w:tc>
          <w:tcPr>
            <w:tcW w:w="64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tcBorders>
          </w:tcPr>
          <w:p>
            <w:pPr>
              <w:spacing w:after="0" w:line="252" w:lineRule="exact"/>
              <w:rPr>
                <w:sz w:val="20"/>
                <w:szCs w:val="20"/>
                <w:color w:val="auto"/>
              </w:rPr>
            </w:pPr>
            <w:r>
              <w:rPr>
                <w:rFonts w:ascii="Arial" w:cs="Arial" w:eastAsia="Arial" w:hAnsi="Arial"/>
                <w:sz w:val="18"/>
                <w:szCs w:val="18"/>
                <w:b w:val="1"/>
                <w:bCs w:val="1"/>
                <w:color w:val="auto"/>
              </w:rPr>
              <w:t>Abstentions</w:t>
            </w:r>
            <w:r>
              <w:rPr>
                <w:rFonts w:ascii="Arial" w:cs="Arial" w:eastAsia="Arial" w:hAnsi="Arial"/>
                <w:sz w:val="29"/>
                <w:szCs w:val="29"/>
                <w:b w:val="1"/>
                <w:bCs w:val="1"/>
                <w:color w:val="auto"/>
                <w:vertAlign w:val="superscript"/>
              </w:rPr>
              <w:t>(1)</w:t>
            </w:r>
          </w:p>
        </w:tc>
        <w:tc>
          <w:tcPr>
            <w:tcW w:w="540" w:type="dxa"/>
            <w:vAlign w:val="bottom"/>
            <w:tcBorders>
              <w:top w:val="single" w:sz="8" w:color="auto"/>
              <w:right w:val="single" w:sz="8" w:color="auto"/>
            </w:tcBorders>
          </w:tcPr>
          <w:p>
            <w:pPr>
              <w:spacing w:after="0"/>
              <w:rPr>
                <w:sz w:val="21"/>
                <w:szCs w:val="21"/>
                <w:color w:val="auto"/>
              </w:rPr>
            </w:pPr>
          </w:p>
        </w:tc>
        <w:tc>
          <w:tcPr>
            <w:tcW w:w="1780" w:type="dxa"/>
            <w:vAlign w:val="bottom"/>
            <w:tcBorders>
              <w:top w:val="single" w:sz="8" w:color="auto"/>
              <w:right w:val="single" w:sz="8" w:color="auto"/>
            </w:tcBorders>
          </w:tcPr>
          <w:p>
            <w:pPr>
              <w:jc w:val="right"/>
              <w:ind w:right="290"/>
              <w:spacing w:after="0" w:line="252" w:lineRule="exact"/>
              <w:rPr>
                <w:sz w:val="20"/>
                <w:szCs w:val="20"/>
                <w:color w:val="auto"/>
              </w:rPr>
            </w:pPr>
            <w:r>
              <w:rPr>
                <w:rFonts w:ascii="Arial" w:cs="Arial" w:eastAsia="Arial" w:hAnsi="Arial"/>
                <w:sz w:val="18"/>
                <w:szCs w:val="18"/>
                <w:b w:val="1"/>
                <w:bCs w:val="1"/>
                <w:color w:val="auto"/>
                <w:w w:val="86"/>
              </w:rPr>
              <w:t>Shares Voted %</w:t>
            </w:r>
            <w:r>
              <w:rPr>
                <w:rFonts w:ascii="Arial" w:cs="Arial" w:eastAsia="Arial" w:hAnsi="Arial"/>
                <w:sz w:val="29"/>
                <w:szCs w:val="29"/>
                <w:b w:val="1"/>
                <w:bCs w:val="1"/>
                <w:color w:val="auto"/>
                <w:w w:val="86"/>
                <w:vertAlign w:val="superscript"/>
              </w:rPr>
              <w:t>(2)</w:t>
            </w:r>
          </w:p>
        </w:tc>
        <w:tc>
          <w:tcPr>
            <w:tcW w:w="0" w:type="dxa"/>
            <w:vAlign w:val="bottom"/>
          </w:tcPr>
          <w:p>
            <w:pPr>
              <w:spacing w:after="0"/>
              <w:rPr>
                <w:sz w:val="1"/>
                <w:szCs w:val="1"/>
                <w:color w:val="auto"/>
              </w:rPr>
            </w:pPr>
          </w:p>
        </w:tc>
      </w:tr>
      <w:tr>
        <w:trPr>
          <w:trHeight w:val="99"/>
        </w:trPr>
        <w:tc>
          <w:tcPr>
            <w:tcW w:w="340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Number of shares</w:t>
            </w: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w w:val="90"/>
              </w:rPr>
              <w:t>Number of shares</w:t>
            </w:r>
          </w:p>
        </w:tc>
        <w:tc>
          <w:tcPr>
            <w:tcW w:w="640" w:type="dxa"/>
            <w:vAlign w:val="bottom"/>
            <w:tcBorders>
              <w:right w:val="single" w:sz="8" w:color="auto"/>
            </w:tcBorders>
          </w:tcPr>
          <w:p>
            <w:pPr>
              <w:spacing w:after="0"/>
              <w:rPr>
                <w:sz w:val="8"/>
                <w:szCs w:val="8"/>
                <w:color w:val="auto"/>
              </w:rPr>
            </w:pPr>
          </w:p>
        </w:tc>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w w:val="94"/>
              </w:rPr>
              <w:t>Number of shares</w:t>
            </w:r>
          </w:p>
        </w:tc>
        <w:tc>
          <w:tcPr>
            <w:tcW w:w="5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4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Routine Business</w:t>
            </w:r>
          </w:p>
        </w:tc>
        <w:tc>
          <w:tcPr>
            <w:tcW w:w="2020" w:type="dxa"/>
            <w:vAlign w:val="bottom"/>
            <w:tcBorders>
              <w:right w:val="single" w:sz="8" w:color="auto"/>
            </w:tcBorders>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460" w:type="dxa"/>
            <w:vAlign w:val="bottom"/>
            <w:vMerge w:val="continue"/>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400" w:type="dxa"/>
            <w:vAlign w:val="bottom"/>
            <w:tcBorders>
              <w:left w:val="single" w:sz="8" w:color="auto"/>
              <w:right w:val="single" w:sz="8" w:color="auto"/>
            </w:tcBorders>
            <w:vMerge w:val="continue"/>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auto"/>
            </w:tcBorders>
          </w:tcPr>
          <w:p>
            <w:pPr>
              <w:spacing w:after="0"/>
              <w:rPr>
                <w:sz w:val="11"/>
                <w:szCs w:val="11"/>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right w:val="single" w:sz="8" w:color="auto"/>
            </w:tcBorders>
          </w:tcPr>
          <w:p>
            <w:pPr>
              <w:spacing w:after="0"/>
              <w:rPr>
                <w:sz w:val="11"/>
                <w:szCs w:val="11"/>
                <w:color w:val="auto"/>
              </w:rPr>
            </w:pPr>
          </w:p>
        </w:tc>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400" w:type="dxa"/>
            <w:vAlign w:val="bottom"/>
            <w:tcBorders>
              <w:left w:val="single" w:sz="8" w:color="auto"/>
              <w:bottom w:val="single" w:sz="8" w:color="auto"/>
              <w:right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40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vMerge w:val="continue"/>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4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1.  To receive and adopt the Directors’</w:t>
            </w:r>
          </w:p>
        </w:tc>
        <w:tc>
          <w:tcPr>
            <w:tcW w:w="840" w:type="dxa"/>
            <w:vAlign w:val="bottom"/>
          </w:tcPr>
          <w:p>
            <w:pPr>
              <w:spacing w:after="0"/>
              <w:rPr>
                <w:sz w:val="16"/>
                <w:szCs w:val="16"/>
                <w:color w:val="auto"/>
              </w:rPr>
            </w:pPr>
          </w:p>
        </w:tc>
        <w:tc>
          <w:tcPr>
            <w:tcW w:w="11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26,427,296</w:t>
            </w:r>
          </w:p>
        </w:tc>
        <w:tc>
          <w:tcPr>
            <w:tcW w:w="1400" w:type="dxa"/>
            <w:vAlign w:val="bottom"/>
          </w:tcPr>
          <w:p>
            <w:pPr>
              <w:spacing w:after="0"/>
              <w:rPr>
                <w:sz w:val="16"/>
                <w:szCs w:val="16"/>
                <w:color w:val="auto"/>
              </w:rPr>
            </w:pPr>
          </w:p>
        </w:tc>
        <w:tc>
          <w:tcPr>
            <w:tcW w:w="6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707</w:t>
            </w:r>
          </w:p>
        </w:tc>
        <w:tc>
          <w:tcPr>
            <w:tcW w:w="1460" w:type="dxa"/>
            <w:vAlign w:val="bottom"/>
          </w:tcPr>
          <w:p>
            <w:pPr>
              <w:spacing w:after="0"/>
              <w:rPr>
                <w:sz w:val="16"/>
                <w:szCs w:val="16"/>
                <w:color w:val="auto"/>
              </w:rPr>
            </w:pPr>
          </w:p>
        </w:tc>
        <w:tc>
          <w:tcPr>
            <w:tcW w:w="5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2,466</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7"/>
              </w:rPr>
              <w:t>Statement, the Auditors’ Report and the</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Audited Financial Statements of the</w:t>
            </w:r>
          </w:p>
        </w:tc>
        <w:tc>
          <w:tcPr>
            <w:tcW w:w="84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140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60" w:type="dxa"/>
            <w:vAlign w:val="bottom"/>
          </w:tcPr>
          <w:p>
            <w:pPr>
              <w:spacing w:after="0"/>
              <w:rPr>
                <w:sz w:val="18"/>
                <w:szCs w:val="18"/>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Company for the financial year ended</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February 28, 2021.</w:t>
            </w: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2.  To re-appoint Mr. Tzin Min Andrew</w:t>
            </w:r>
          </w:p>
        </w:tc>
        <w:tc>
          <w:tcPr>
            <w:tcW w:w="840" w:type="dxa"/>
            <w:vAlign w:val="bottom"/>
          </w:tcPr>
          <w:p>
            <w:pPr>
              <w:spacing w:after="0"/>
              <w:rPr>
                <w:sz w:val="16"/>
                <w:szCs w:val="16"/>
                <w:color w:val="auto"/>
              </w:rPr>
            </w:pPr>
          </w:p>
        </w:tc>
        <w:tc>
          <w:tcPr>
            <w:tcW w:w="11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26,427,196</w:t>
            </w:r>
          </w:p>
        </w:tc>
        <w:tc>
          <w:tcPr>
            <w:tcW w:w="1400" w:type="dxa"/>
            <w:vAlign w:val="bottom"/>
          </w:tcPr>
          <w:p>
            <w:pPr>
              <w:spacing w:after="0"/>
              <w:rPr>
                <w:sz w:val="16"/>
                <w:szCs w:val="16"/>
                <w:color w:val="auto"/>
              </w:rPr>
            </w:pPr>
          </w:p>
        </w:tc>
        <w:tc>
          <w:tcPr>
            <w:tcW w:w="6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907</w:t>
            </w:r>
          </w:p>
        </w:tc>
        <w:tc>
          <w:tcPr>
            <w:tcW w:w="1460" w:type="dxa"/>
            <w:vAlign w:val="bottom"/>
          </w:tcPr>
          <w:p>
            <w:pPr>
              <w:spacing w:after="0"/>
              <w:rPr>
                <w:sz w:val="16"/>
                <w:szCs w:val="16"/>
                <w:color w:val="auto"/>
              </w:rPr>
            </w:pPr>
          </w:p>
        </w:tc>
        <w:tc>
          <w:tcPr>
            <w:tcW w:w="5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2,366</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2"/>
              </w:rPr>
              <w:t>Leong, who retires by rotation pursuant to</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3"/>
              </w:rPr>
              <w:t>Regulations 88 and 89 of the Constitution</w:t>
            </w:r>
          </w:p>
        </w:tc>
        <w:tc>
          <w:tcPr>
            <w:tcW w:w="84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140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60" w:type="dxa"/>
            <w:vAlign w:val="bottom"/>
          </w:tcPr>
          <w:p>
            <w:pPr>
              <w:spacing w:after="0"/>
              <w:rPr>
                <w:sz w:val="18"/>
                <w:szCs w:val="18"/>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of the Company, as a Director of the</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Company.</w:t>
            </w: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3.  To re-appoint Mrs. Kim White, who</w:t>
            </w:r>
          </w:p>
        </w:tc>
        <w:tc>
          <w:tcPr>
            <w:tcW w:w="840" w:type="dxa"/>
            <w:vAlign w:val="bottom"/>
          </w:tcPr>
          <w:p>
            <w:pPr>
              <w:spacing w:after="0"/>
              <w:rPr>
                <w:sz w:val="16"/>
                <w:szCs w:val="16"/>
                <w:color w:val="auto"/>
              </w:rPr>
            </w:pPr>
          </w:p>
        </w:tc>
        <w:tc>
          <w:tcPr>
            <w:tcW w:w="11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26,427,191</w:t>
            </w:r>
          </w:p>
        </w:tc>
        <w:tc>
          <w:tcPr>
            <w:tcW w:w="1400" w:type="dxa"/>
            <w:vAlign w:val="bottom"/>
          </w:tcPr>
          <w:p>
            <w:pPr>
              <w:spacing w:after="0"/>
              <w:rPr>
                <w:sz w:val="16"/>
                <w:szCs w:val="16"/>
                <w:color w:val="auto"/>
              </w:rPr>
            </w:pPr>
          </w:p>
        </w:tc>
        <w:tc>
          <w:tcPr>
            <w:tcW w:w="6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912</w:t>
            </w:r>
          </w:p>
        </w:tc>
        <w:tc>
          <w:tcPr>
            <w:tcW w:w="1460" w:type="dxa"/>
            <w:vAlign w:val="bottom"/>
          </w:tcPr>
          <w:p>
            <w:pPr>
              <w:spacing w:after="0"/>
              <w:rPr>
                <w:sz w:val="16"/>
                <w:szCs w:val="16"/>
                <w:color w:val="auto"/>
              </w:rPr>
            </w:pPr>
          </w:p>
        </w:tc>
        <w:tc>
          <w:tcPr>
            <w:tcW w:w="5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2,366</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8"/>
              </w:rPr>
              <w:t>retires pursuant to Regulation 92 of the</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0"/>
              </w:rPr>
              <w:t>Constitution of the Company, as a Director</w:t>
            </w:r>
          </w:p>
        </w:tc>
        <w:tc>
          <w:tcPr>
            <w:tcW w:w="84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140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60" w:type="dxa"/>
            <w:vAlign w:val="bottom"/>
          </w:tcPr>
          <w:p>
            <w:pPr>
              <w:spacing w:after="0"/>
              <w:rPr>
                <w:sz w:val="18"/>
                <w:szCs w:val="18"/>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30"/>
        </w:trPr>
        <w:tc>
          <w:tcPr>
            <w:tcW w:w="34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of the Company.</w:t>
            </w: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7"/>
              </w:rPr>
              <w:t>4.  To re-appoint Ms Siew Koon Lim (Ong),</w:t>
            </w:r>
          </w:p>
        </w:tc>
        <w:tc>
          <w:tcPr>
            <w:tcW w:w="840" w:type="dxa"/>
            <w:vAlign w:val="bottom"/>
          </w:tcPr>
          <w:p>
            <w:pPr>
              <w:spacing w:after="0"/>
              <w:rPr>
                <w:sz w:val="16"/>
                <w:szCs w:val="16"/>
                <w:color w:val="auto"/>
              </w:rPr>
            </w:pPr>
          </w:p>
        </w:tc>
        <w:tc>
          <w:tcPr>
            <w:tcW w:w="11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26,427,191</w:t>
            </w:r>
          </w:p>
        </w:tc>
        <w:tc>
          <w:tcPr>
            <w:tcW w:w="1400" w:type="dxa"/>
            <w:vAlign w:val="bottom"/>
          </w:tcPr>
          <w:p>
            <w:pPr>
              <w:spacing w:after="0"/>
              <w:rPr>
                <w:sz w:val="16"/>
                <w:szCs w:val="16"/>
                <w:color w:val="auto"/>
              </w:rPr>
            </w:pPr>
          </w:p>
        </w:tc>
        <w:tc>
          <w:tcPr>
            <w:tcW w:w="6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912</w:t>
            </w:r>
          </w:p>
        </w:tc>
        <w:tc>
          <w:tcPr>
            <w:tcW w:w="1460" w:type="dxa"/>
            <w:vAlign w:val="bottom"/>
          </w:tcPr>
          <w:p>
            <w:pPr>
              <w:spacing w:after="0"/>
              <w:rPr>
                <w:sz w:val="16"/>
                <w:szCs w:val="16"/>
                <w:color w:val="auto"/>
              </w:rPr>
            </w:pPr>
          </w:p>
        </w:tc>
        <w:tc>
          <w:tcPr>
            <w:tcW w:w="5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2,366</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6"/>
              </w:rPr>
              <w:t>who retires pursuant to Regulation 92 of</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the Constitution of the Company, as a</w:t>
            </w:r>
          </w:p>
        </w:tc>
        <w:tc>
          <w:tcPr>
            <w:tcW w:w="84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140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60" w:type="dxa"/>
            <w:vAlign w:val="bottom"/>
          </w:tcPr>
          <w:p>
            <w:pPr>
              <w:spacing w:after="0"/>
              <w:rPr>
                <w:sz w:val="18"/>
                <w:szCs w:val="18"/>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30"/>
        </w:trPr>
        <w:tc>
          <w:tcPr>
            <w:tcW w:w="34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Director of the Company.</w:t>
            </w: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5.  To approve the remuneration of Non-</w:t>
            </w:r>
          </w:p>
        </w:tc>
        <w:tc>
          <w:tcPr>
            <w:tcW w:w="840" w:type="dxa"/>
            <w:vAlign w:val="bottom"/>
          </w:tcPr>
          <w:p>
            <w:pPr>
              <w:spacing w:after="0"/>
              <w:rPr>
                <w:sz w:val="16"/>
                <w:szCs w:val="16"/>
                <w:color w:val="auto"/>
              </w:rPr>
            </w:pPr>
          </w:p>
        </w:tc>
        <w:tc>
          <w:tcPr>
            <w:tcW w:w="11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26,426,906</w:t>
            </w:r>
          </w:p>
        </w:tc>
        <w:tc>
          <w:tcPr>
            <w:tcW w:w="1400" w:type="dxa"/>
            <w:vAlign w:val="bottom"/>
          </w:tcPr>
          <w:p>
            <w:pPr>
              <w:spacing w:after="0"/>
              <w:rPr>
                <w:sz w:val="16"/>
                <w:szCs w:val="16"/>
                <w:color w:val="auto"/>
              </w:rPr>
            </w:pPr>
          </w:p>
        </w:tc>
        <w:tc>
          <w:tcPr>
            <w:tcW w:w="6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997</w:t>
            </w:r>
          </w:p>
        </w:tc>
        <w:tc>
          <w:tcPr>
            <w:tcW w:w="1460" w:type="dxa"/>
            <w:vAlign w:val="bottom"/>
          </w:tcPr>
          <w:p>
            <w:pPr>
              <w:spacing w:after="0"/>
              <w:rPr>
                <w:sz w:val="16"/>
                <w:szCs w:val="16"/>
                <w:color w:val="auto"/>
              </w:rPr>
            </w:pPr>
          </w:p>
        </w:tc>
        <w:tc>
          <w:tcPr>
            <w:tcW w:w="5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2,566</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4"/>
              </w:rPr>
              <w:t>executive Directors of the Company from</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time to time during the year ending</w:t>
            </w:r>
          </w:p>
        </w:tc>
        <w:tc>
          <w:tcPr>
            <w:tcW w:w="84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140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60" w:type="dxa"/>
            <w:vAlign w:val="bottom"/>
          </w:tcPr>
          <w:p>
            <w:pPr>
              <w:spacing w:after="0"/>
              <w:rPr>
                <w:sz w:val="18"/>
                <w:szCs w:val="18"/>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2"/>
              </w:rPr>
              <w:t>February 28, 2022 in accordance with the</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following annual fee rates as may be</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5"/>
              </w:rPr>
              <w:t>relevant to each Non-executive Director:</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(i) Chairman’s/Lead Independent</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Directors’ fee of SGD60,150; (ii)</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Director’s fee of SGD40,100; (iii) Audit</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1"/>
              </w:rPr>
              <w:t>Committee Chairman’s fee of SGD30,000;</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2"/>
              </w:rPr>
              <w:t>(iv) Compensation Committee Chairman’s</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8"/>
              </w:rPr>
              <w:t>fee of SGD16,500; (v) Audit Committee</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member’s fee of SGD20,000; and (vi)</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0"/>
              </w:rPr>
              <w:t>Compensation Committee member’s fee of</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SGD11,000.</w:t>
            </w: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5"/>
              </w:rPr>
              <w:t>6.  To re-appoint KPMG LLP as the auditors</w:t>
            </w:r>
          </w:p>
        </w:tc>
        <w:tc>
          <w:tcPr>
            <w:tcW w:w="840" w:type="dxa"/>
            <w:vAlign w:val="bottom"/>
          </w:tcPr>
          <w:p>
            <w:pPr>
              <w:spacing w:after="0"/>
              <w:rPr>
                <w:sz w:val="16"/>
                <w:szCs w:val="16"/>
                <w:color w:val="auto"/>
              </w:rPr>
            </w:pPr>
          </w:p>
        </w:tc>
        <w:tc>
          <w:tcPr>
            <w:tcW w:w="11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26,427,123</w:t>
            </w:r>
          </w:p>
        </w:tc>
        <w:tc>
          <w:tcPr>
            <w:tcW w:w="1400" w:type="dxa"/>
            <w:vAlign w:val="bottom"/>
          </w:tcPr>
          <w:p>
            <w:pPr>
              <w:spacing w:after="0"/>
              <w:rPr>
                <w:sz w:val="16"/>
                <w:szCs w:val="16"/>
                <w:color w:val="auto"/>
              </w:rPr>
            </w:pPr>
          </w:p>
        </w:tc>
        <w:tc>
          <w:tcPr>
            <w:tcW w:w="6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882</w:t>
            </w:r>
          </w:p>
        </w:tc>
        <w:tc>
          <w:tcPr>
            <w:tcW w:w="1460" w:type="dxa"/>
            <w:vAlign w:val="bottom"/>
          </w:tcPr>
          <w:p>
            <w:pPr>
              <w:spacing w:after="0"/>
              <w:rPr>
                <w:sz w:val="16"/>
                <w:szCs w:val="16"/>
                <w:color w:val="auto"/>
              </w:rPr>
            </w:pPr>
          </w:p>
        </w:tc>
        <w:tc>
          <w:tcPr>
            <w:tcW w:w="5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2,464</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of the Company for the financial year</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0"/>
              </w:rPr>
              <w:t>ending February 28, 2022 and to empower</w:t>
            </w:r>
          </w:p>
        </w:tc>
        <w:tc>
          <w:tcPr>
            <w:tcW w:w="84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140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60" w:type="dxa"/>
            <w:vAlign w:val="bottom"/>
          </w:tcPr>
          <w:p>
            <w:pPr>
              <w:spacing w:after="0"/>
              <w:rPr>
                <w:sz w:val="18"/>
                <w:szCs w:val="18"/>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the Directors to fix the auditors’</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4"/>
              </w:rPr>
              <w:t>remuneration in their absolute discretion.</w:t>
            </w: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Special business</w:t>
            </w:r>
          </w:p>
        </w:tc>
        <w:tc>
          <w:tcPr>
            <w:tcW w:w="8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w w:val="90"/>
              </w:rPr>
              <w:t>7.  To authorize the Directors to purchase or</w:t>
            </w:r>
          </w:p>
        </w:tc>
        <w:tc>
          <w:tcPr>
            <w:tcW w:w="840" w:type="dxa"/>
            <w:vAlign w:val="bottom"/>
          </w:tcPr>
          <w:p>
            <w:pPr>
              <w:spacing w:after="0"/>
              <w:rPr>
                <w:sz w:val="16"/>
                <w:szCs w:val="16"/>
                <w:color w:val="auto"/>
              </w:rPr>
            </w:pPr>
          </w:p>
        </w:tc>
        <w:tc>
          <w:tcPr>
            <w:tcW w:w="11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26,376,543</w:t>
            </w:r>
          </w:p>
        </w:tc>
        <w:tc>
          <w:tcPr>
            <w:tcW w:w="1400" w:type="dxa"/>
            <w:vAlign w:val="bottom"/>
          </w:tcPr>
          <w:p>
            <w:pPr>
              <w:spacing w:after="0"/>
              <w:rPr>
                <w:sz w:val="16"/>
                <w:szCs w:val="16"/>
                <w:color w:val="auto"/>
              </w:rPr>
            </w:pPr>
          </w:p>
        </w:tc>
        <w:tc>
          <w:tcPr>
            <w:tcW w:w="6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51,448</w:t>
            </w:r>
          </w:p>
        </w:tc>
        <w:tc>
          <w:tcPr>
            <w:tcW w:w="1460" w:type="dxa"/>
            <w:vAlign w:val="bottom"/>
          </w:tcPr>
          <w:p>
            <w:pPr>
              <w:spacing w:after="0"/>
              <w:rPr>
                <w:sz w:val="16"/>
                <w:szCs w:val="16"/>
                <w:color w:val="auto"/>
              </w:rPr>
            </w:pPr>
          </w:p>
        </w:tc>
        <w:tc>
          <w:tcPr>
            <w:tcW w:w="5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2,478</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w w:val="90"/>
              </w:rPr>
              <w:t>otherwise acquire issued ordinary shares</w:t>
            </w:r>
          </w:p>
        </w:tc>
        <w:tc>
          <w:tcPr>
            <w:tcW w:w="8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in the capital of the Company.</w:t>
            </w: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99.80</w:t>
            </w:r>
          </w:p>
        </w:tc>
        <w:tc>
          <w:tcPr>
            <w:tcW w:w="14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46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195"/>
        </w:trPr>
        <w:tc>
          <w:tcPr>
            <w:tcW w:w="34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w w:val="95"/>
              </w:rPr>
              <w:t>8.  To authorize the Directors to issue and</w:t>
            </w:r>
          </w:p>
        </w:tc>
        <w:tc>
          <w:tcPr>
            <w:tcW w:w="840" w:type="dxa"/>
            <w:vAlign w:val="bottom"/>
          </w:tcPr>
          <w:p>
            <w:pPr>
              <w:spacing w:after="0"/>
              <w:rPr>
                <w:sz w:val="16"/>
                <w:szCs w:val="16"/>
                <w:color w:val="auto"/>
              </w:rPr>
            </w:pPr>
          </w:p>
        </w:tc>
        <w:tc>
          <w:tcPr>
            <w:tcW w:w="11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26,086,707</w:t>
            </w:r>
          </w:p>
        </w:tc>
        <w:tc>
          <w:tcPr>
            <w:tcW w:w="1400" w:type="dxa"/>
            <w:vAlign w:val="bottom"/>
          </w:tcPr>
          <w:p>
            <w:pPr>
              <w:spacing w:after="0"/>
              <w:rPr>
                <w:sz w:val="16"/>
                <w:szCs w:val="16"/>
                <w:color w:val="auto"/>
              </w:rPr>
            </w:pPr>
          </w:p>
        </w:tc>
        <w:tc>
          <w:tcPr>
            <w:tcW w:w="6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341,396</w:t>
            </w:r>
          </w:p>
        </w:tc>
        <w:tc>
          <w:tcPr>
            <w:tcW w:w="1460" w:type="dxa"/>
            <w:vAlign w:val="bottom"/>
          </w:tcPr>
          <w:p>
            <w:pPr>
              <w:spacing w:after="0"/>
              <w:rPr>
                <w:sz w:val="16"/>
                <w:szCs w:val="16"/>
                <w:color w:val="auto"/>
              </w:rPr>
            </w:pPr>
          </w:p>
        </w:tc>
        <w:tc>
          <w:tcPr>
            <w:tcW w:w="5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2,366</w:t>
            </w: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allot shares.</w:t>
            </w:r>
          </w:p>
        </w:tc>
        <w:tc>
          <w:tcPr>
            <w:tcW w:w="840" w:type="dxa"/>
            <w:vAlign w:val="bottom"/>
          </w:tcPr>
          <w:p>
            <w:pPr>
              <w:spacing w:after="0"/>
              <w:rPr>
                <w:sz w:val="20"/>
                <w:szCs w:val="20"/>
                <w:color w:val="auto"/>
              </w:rPr>
            </w:pPr>
          </w:p>
        </w:tc>
        <w:tc>
          <w:tcPr>
            <w:tcW w:w="1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98.70</w:t>
            </w:r>
          </w:p>
        </w:tc>
        <w:tc>
          <w:tcPr>
            <w:tcW w:w="1400" w:type="dxa"/>
            <w:vAlign w:val="bottom"/>
          </w:tcPr>
          <w:p>
            <w:pPr>
              <w:spacing w:after="0"/>
              <w:rPr>
                <w:sz w:val="20"/>
                <w:szCs w:val="20"/>
                <w:color w:val="auto"/>
              </w:rPr>
            </w:pPr>
          </w:p>
        </w:tc>
        <w:tc>
          <w:tcPr>
            <w:tcW w:w="6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1.29</w:t>
            </w:r>
          </w:p>
        </w:tc>
        <w:tc>
          <w:tcPr>
            <w:tcW w:w="1460" w:type="dxa"/>
            <w:vAlign w:val="bottom"/>
          </w:tcPr>
          <w:p>
            <w:pPr>
              <w:spacing w:after="0"/>
              <w:rPr>
                <w:sz w:val="20"/>
                <w:szCs w:val="20"/>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0.01</w:t>
            </w:r>
          </w:p>
        </w:tc>
        <w:tc>
          <w:tcPr>
            <w:tcW w:w="1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Borders>
              <w:right w:val="single" w:sz="8" w:color="auto"/>
            </w:tcBorders>
            <w:vMerge w:val="continue"/>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17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3" w:lineRule="exact"/>
        <w:rPr>
          <w:sz w:val="20"/>
          <w:szCs w:val="20"/>
          <w:color w:val="auto"/>
        </w:rPr>
      </w:pPr>
    </w:p>
    <w:p>
      <w:pPr>
        <w:ind w:left="460" w:hanging="304"/>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calculation of the percentage of votes cast in favour of, or against, the resolution includes abstained votes.</w:t>
      </w:r>
    </w:p>
    <w:p>
      <w:pPr>
        <w:spacing w:after="0" w:line="235" w:lineRule="exact"/>
        <w:rPr>
          <w:rFonts w:ascii="Arial" w:cs="Arial" w:eastAsia="Arial" w:hAnsi="Arial"/>
          <w:sz w:val="17"/>
          <w:szCs w:val="17"/>
          <w:color w:val="auto"/>
        </w:rPr>
      </w:pPr>
    </w:p>
    <w:p>
      <w:pPr>
        <w:ind w:left="460" w:hanging="304"/>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Shares Voted is calculated as all the votes cast for, against, or abstained as applicable, divided by the total eligible votes.</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2021-08-26T09:04:03Z</dcterms:created>
  <dcterms:modified xsi:type="dcterms:W3CDTF">2021-08-26T09:04:03Z</dcterms:modified>
</cp:coreProperties>
</file>