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0001858403</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Karooooo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001-40300</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6"/>
              </w:rPr>
              <w:t>1 Harbourfront Avenue, Keppel Bay Tower,</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#14-07,</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SINGAPORE</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098632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65-6255-4151</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Isaias Jose Calisto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DBS Bank Limited</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12 Marina Boulevard,</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Ordinary</w:t>
      </w:r>
      <w:r>
        <w:rPr>
          <w:sz w:val="20"/>
          <w:szCs w:val="20"/>
          <w:color w:val="auto"/>
        </w:rPr>
        <w:tab/>
      </w:r>
      <w:r>
        <w:rPr>
          <w:rFonts w:ascii="Times New Roman" w:cs="Times New Roman" w:eastAsia="Times New Roman" w:hAnsi="Times New Roman"/>
          <w:sz w:val="22"/>
          <w:szCs w:val="22"/>
          <w:color w:val="auto"/>
        </w:rPr>
        <w:t>Marina Bay Financia</w:t>
      </w:r>
    </w:p>
    <w:p>
      <w:pPr>
        <w:ind w:left="2500"/>
        <w:spacing w:after="0" w:line="231" w:lineRule="auto"/>
        <w:rPr>
          <w:sz w:val="20"/>
          <w:szCs w:val="20"/>
          <w:color w:val="auto"/>
        </w:rPr>
      </w:pPr>
      <w:r>
        <w:rPr>
          <w:rFonts w:ascii="Times New Roman" w:cs="Times New Roman" w:eastAsia="Times New Roman" w:hAnsi="Times New Roman"/>
          <w:sz w:val="22"/>
          <w:szCs w:val="22"/>
          <w:color w:val="auto"/>
        </w:rPr>
        <w:t>Centre, Tower 3,  U0</w:t>
      </w:r>
    </w:p>
    <w:p>
      <w:pPr>
        <w:ind w:left="2500"/>
        <w:spacing w:after="0"/>
        <w:rPr>
          <w:sz w:val="20"/>
          <w:szCs w:val="20"/>
          <w:color w:val="auto"/>
        </w:rPr>
      </w:pPr>
      <w:r>
        <w:rPr>
          <w:rFonts w:ascii="Times New Roman" w:cs="Times New Roman" w:eastAsia="Times New Roman" w:hAnsi="Times New Roman"/>
          <w:sz w:val="22"/>
          <w:szCs w:val="22"/>
          <w:color w:val="auto"/>
        </w:rPr>
        <w:t>098632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3"/>
              </w:rPr>
              <w:t>308811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10808385.00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30893300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22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tabs>
          <w:tab w:leader="none" w:pos="1240" w:val="left"/>
          <w:tab w:leader="none" w:pos="2820" w:val="left"/>
          <w:tab w:leader="none" w:pos="4260" w:val="left"/>
          <w:tab w:leader="none" w:pos="4860" w:val="left"/>
          <w:tab w:leader="none" w:pos="5800" w:val="left"/>
          <w:tab w:leader="none" w:pos="7020" w:val="left"/>
          <w:tab w:leader="none" w:pos="830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1240"/>
        <w:spacing w:after="0"/>
        <w:tabs>
          <w:tab w:leader="none" w:pos="2960" w:val="left"/>
          <w:tab w:leader="none" w:pos="4360" w:val="left"/>
          <w:tab w:leader="none" w:pos="4720" w:val="left"/>
          <w:tab w:leader="none" w:pos="582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2">
            <w:col w:w="980" w:space="580"/>
            <w:col w:w="9680"/>
          </w:cols>
          <w:pgMar w:left="320" w:top="10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Subscription for</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shares oursuant to</w:t>
      </w:r>
    </w:p>
    <w:p>
      <w:pPr>
        <w:ind w:left="1040"/>
        <w:spacing w:after="0" w:line="230" w:lineRule="auto"/>
        <w:rPr>
          <w:sz w:val="20"/>
          <w:szCs w:val="20"/>
          <w:color w:val="auto"/>
        </w:rPr>
      </w:pPr>
      <w:r>
        <w:rPr>
          <w:rFonts w:ascii="Times New Roman" w:cs="Times New Roman" w:eastAsia="Times New Roman" w:hAnsi="Times New Roman"/>
          <w:sz w:val="22"/>
          <w:szCs w:val="22"/>
          <w:color w:val="auto"/>
        </w:rPr>
        <w:t>incorporation of</w:t>
      </w:r>
    </w:p>
    <w:p>
      <w:pPr>
        <w:spacing w:after="0" w:line="1" w:lineRule="exact"/>
        <w:rPr>
          <w:sz w:val="20"/>
          <w:szCs w:val="20"/>
          <w:color w:val="auto"/>
        </w:rPr>
      </w:pPr>
    </w:p>
    <w:p>
      <w:pPr>
        <w:ind w:left="1040" w:right="60" w:hanging="1038"/>
        <w:spacing w:after="0" w:line="181" w:lineRule="auto"/>
        <w:rPr>
          <w:sz w:val="20"/>
          <w:szCs w:val="20"/>
          <w:color w:val="auto"/>
        </w:rPr>
      </w:pPr>
      <w:r>
        <w:rPr>
          <w:rFonts w:ascii="Times New Roman" w:cs="Times New Roman" w:eastAsia="Times New Roman" w:hAnsi="Times New Roman"/>
          <w:sz w:val="37"/>
          <w:szCs w:val="37"/>
          <w:color w:val="auto"/>
          <w:vertAlign w:val="subscript"/>
        </w:rPr>
        <w:t>05/19/2018</w:t>
      </w:r>
      <w:r>
        <w:rPr>
          <w:rFonts w:ascii="Times New Roman" w:cs="Times New Roman" w:eastAsia="Times New Roman" w:hAnsi="Times New Roman"/>
          <w:sz w:val="19"/>
          <w:szCs w:val="19"/>
          <w:color w:val="auto"/>
        </w:rPr>
        <w:t xml:space="preserve"> the Issuer on May 19, 2018. Sole</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shareholder</w:t>
      </w:r>
    </w:p>
    <w:p>
      <w:pPr>
        <w:ind w:left="1040"/>
        <w:spacing w:after="0" w:line="231" w:lineRule="auto"/>
        <w:rPr>
          <w:sz w:val="20"/>
          <w:szCs w:val="20"/>
          <w:color w:val="auto"/>
        </w:rPr>
      </w:pPr>
      <w:r>
        <w:rPr>
          <w:rFonts w:ascii="Times New Roman" w:cs="Times New Roman" w:eastAsia="Times New Roman" w:hAnsi="Times New Roman"/>
          <w:sz w:val="22"/>
          <w:szCs w:val="22"/>
          <w:color w:val="auto"/>
        </w:rPr>
        <w:t>owning 100% of</w:t>
      </w:r>
    </w:p>
    <w:p>
      <w:pPr>
        <w:ind w:left="1040"/>
        <w:spacing w:after="0"/>
        <w:rPr>
          <w:sz w:val="20"/>
          <w:szCs w:val="20"/>
          <w:color w:val="auto"/>
        </w:rPr>
      </w:pPr>
      <w:r>
        <w:rPr>
          <w:rFonts w:ascii="Times New Roman" w:cs="Times New Roman" w:eastAsia="Times New Roman" w:hAnsi="Times New Roman"/>
          <w:sz w:val="22"/>
          <w:szCs w:val="22"/>
          <w:color w:val="auto"/>
        </w:rPr>
        <w:t>the issued shares.</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Acquired pursuant</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to the convesrion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of a share holder</w:t>
      </w:r>
    </w:p>
    <w:p>
      <w:pPr>
        <w:ind w:left="1040"/>
        <w:spacing w:after="0" w:line="231" w:lineRule="auto"/>
        <w:rPr>
          <w:sz w:val="20"/>
          <w:szCs w:val="20"/>
          <w:color w:val="auto"/>
        </w:rPr>
      </w:pPr>
      <w:r>
        <w:rPr>
          <w:rFonts w:ascii="Times New Roman" w:cs="Times New Roman" w:eastAsia="Times New Roman" w:hAnsi="Times New Roman"/>
          <w:sz w:val="22"/>
          <w:szCs w:val="22"/>
          <w:color w:val="auto"/>
        </w:rPr>
        <w:t>loan from IJ</w:t>
      </w:r>
    </w:p>
    <w:p>
      <w:pPr>
        <w:ind w:left="1040"/>
        <w:spacing w:after="0" w:line="230" w:lineRule="auto"/>
        <w:rPr>
          <w:sz w:val="20"/>
          <w:szCs w:val="20"/>
          <w:color w:val="auto"/>
        </w:rPr>
      </w:pPr>
      <w:r>
        <w:rPr>
          <w:rFonts w:ascii="Times New Roman" w:cs="Times New Roman" w:eastAsia="Times New Roman" w:hAnsi="Times New Roman"/>
          <w:sz w:val="22"/>
          <w:szCs w:val="22"/>
          <w:color w:val="auto"/>
        </w:rPr>
        <w:t>Calisto to the</w:t>
      </w:r>
    </w:p>
    <w:p>
      <w:pPr>
        <w:spacing w:after="0" w:line="1" w:lineRule="exact"/>
        <w:rPr>
          <w:sz w:val="20"/>
          <w:szCs w:val="20"/>
          <w:color w:val="auto"/>
        </w:rPr>
      </w:pPr>
    </w:p>
    <w:p>
      <w:pPr>
        <w:ind w:left="1040" w:right="380" w:hanging="1038"/>
        <w:spacing w:after="0" w:line="181" w:lineRule="auto"/>
        <w:rPr>
          <w:sz w:val="20"/>
          <w:szCs w:val="20"/>
          <w:color w:val="auto"/>
        </w:rPr>
      </w:pPr>
      <w:r>
        <w:rPr>
          <w:rFonts w:ascii="Times New Roman" w:cs="Times New Roman" w:eastAsia="Times New Roman" w:hAnsi="Times New Roman"/>
          <w:sz w:val="19"/>
          <w:szCs w:val="19"/>
          <w:color w:val="auto"/>
        </w:rPr>
        <w:t xml:space="preserve">11/18/2020 </w:t>
      </w:r>
      <w:r>
        <w:rPr>
          <w:rFonts w:ascii="Times New Roman" w:cs="Times New Roman" w:eastAsia="Times New Roman" w:hAnsi="Times New Roman"/>
          <w:sz w:val="37"/>
          <w:szCs w:val="37"/>
          <w:color w:val="auto"/>
          <w:vertAlign w:val="superscript"/>
        </w:rPr>
        <w:t>Issuer on</w:t>
      </w:r>
      <w:r>
        <w:rPr>
          <w:rFonts w:ascii="Times New Roman" w:cs="Times New Roman" w:eastAsia="Times New Roman" w:hAnsi="Times New Roman"/>
          <w:sz w:val="19"/>
          <w:szCs w:val="19"/>
          <w:color w:val="auto"/>
        </w:rPr>
        <w:t xml:space="preserve"> November 18,</w:t>
      </w:r>
    </w:p>
    <w:p>
      <w:pPr>
        <w:ind w:left="1040"/>
        <w:spacing w:after="0" w:line="230" w:lineRule="auto"/>
        <w:rPr>
          <w:sz w:val="20"/>
          <w:szCs w:val="20"/>
          <w:color w:val="auto"/>
        </w:rPr>
      </w:pPr>
      <w:r>
        <w:rPr>
          <w:rFonts w:ascii="Times New Roman" w:cs="Times New Roman" w:eastAsia="Times New Roman" w:hAnsi="Times New Roman"/>
          <w:sz w:val="22"/>
          <w:szCs w:val="22"/>
          <w:color w:val="auto"/>
        </w:rPr>
        <w:t>2021. Remained</w:t>
      </w:r>
    </w:p>
    <w:p>
      <w:pPr>
        <w:ind w:left="1040"/>
        <w:spacing w:after="0" w:line="231" w:lineRule="auto"/>
        <w:rPr>
          <w:sz w:val="20"/>
          <w:szCs w:val="20"/>
          <w:color w:val="auto"/>
        </w:rPr>
      </w:pPr>
      <w:r>
        <w:rPr>
          <w:rFonts w:ascii="Times New Roman" w:cs="Times New Roman" w:eastAsia="Times New Roman" w:hAnsi="Times New Roman"/>
          <w:sz w:val="22"/>
          <w:szCs w:val="22"/>
          <w:color w:val="auto"/>
        </w:rPr>
        <w:t>the sole</w:t>
      </w:r>
    </w:p>
    <w:p>
      <w:pPr>
        <w:ind w:left="1040"/>
        <w:spacing w:after="0" w:line="230" w:lineRule="auto"/>
        <w:rPr>
          <w:sz w:val="20"/>
          <w:szCs w:val="20"/>
          <w:color w:val="auto"/>
        </w:rPr>
      </w:pPr>
      <w:r>
        <w:rPr>
          <w:rFonts w:ascii="Times New Roman" w:cs="Times New Roman" w:eastAsia="Times New Roman" w:hAnsi="Times New Roman"/>
          <w:sz w:val="22"/>
          <w:szCs w:val="22"/>
          <w:color w:val="auto"/>
        </w:rPr>
        <w:t>shareholder,</w:t>
      </w:r>
    </w:p>
    <w:p>
      <w:pPr>
        <w:ind w:left="1040"/>
        <w:spacing w:after="0" w:line="231" w:lineRule="auto"/>
        <w:rPr>
          <w:sz w:val="20"/>
          <w:szCs w:val="20"/>
          <w:color w:val="auto"/>
        </w:rPr>
      </w:pPr>
      <w:r>
        <w:rPr>
          <w:rFonts w:ascii="Times New Roman" w:cs="Times New Roman" w:eastAsia="Times New Roman" w:hAnsi="Times New Roman"/>
          <w:sz w:val="22"/>
          <w:szCs w:val="22"/>
          <w:color w:val="auto"/>
        </w:rPr>
        <w:t>owning 100% of</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the issued shares.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04/21/2021 See Note 1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-133985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964565</wp:posOffset>
            </wp:positionH>
            <wp:positionV relativeFrom="paragraph">
              <wp:posOffset>-133985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22"/>
          <w:szCs w:val="22"/>
          <w:color w:val="auto"/>
        </w:rPr>
        <w:t xml:space="preserve">Issuer, pursuant to a scheme of arrangement and subsequent </w:t>
      </w:r>
      <w:r>
        <w:rPr>
          <w:sz w:val="1"/>
          <w:szCs w:val="1"/>
          <w:color w:val="auto"/>
        </w:rPr>
        <w:drawing>
          <wp:inline distT="0" distB="0" distL="0" distR="0">
            <wp:extent cx="128270"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Reinvestment Offer by the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8"/>
        </w:trPr>
        <w:tc>
          <w:tcPr>
            <w:tcW w:w="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0"/>
              </w:rPr>
              <w:t>1000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05/19/2018</w:t>
            </w:r>
          </w:p>
        </w:tc>
        <w:tc>
          <w:tcPr>
            <w:tcW w:w="13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Initial issue of</w:t>
            </w:r>
          </w:p>
        </w:tc>
      </w:tr>
      <w:tr>
        <w:trPr>
          <w:trHeight w:val="28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6"/>
              </w:rPr>
              <w:t>founder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1"/>
          <w:szCs w:val="21"/>
          <w:color w:val="auto"/>
        </w:rPr>
        <w:t>See "Nature of</w:t>
      </w:r>
    </w:p>
    <w:p>
      <w:pPr>
        <w:spacing w:after="0" w:line="26" w:lineRule="exact"/>
        <w:rPr>
          <w:sz w:val="20"/>
          <w:szCs w:val="20"/>
          <w:color w:val="auto"/>
        </w:rPr>
      </w:pPr>
    </w:p>
    <w:p>
      <w:pPr>
        <w:ind w:left="1300" w:right="660" w:hanging="2334"/>
        <w:spacing w:after="0" w:line="237" w:lineRule="auto"/>
        <w:tabs>
          <w:tab w:leader="none" w:pos="1280" w:val="left"/>
        </w:tabs>
        <w:rPr>
          <w:sz w:val="20"/>
          <w:szCs w:val="20"/>
          <w:color w:val="auto"/>
        </w:rPr>
      </w:pPr>
      <w:r>
        <w:rPr>
          <w:rFonts w:ascii="Times New Roman" w:cs="Times New Roman" w:eastAsia="Times New Roman" w:hAnsi="Times New Roman"/>
          <w:sz w:val="22"/>
          <w:szCs w:val="22"/>
          <w:color w:val="auto"/>
        </w:rPr>
        <w:t>20331894</w:t>
      </w:r>
      <w:r>
        <w:rPr>
          <w:sz w:val="20"/>
          <w:szCs w:val="20"/>
          <w:color w:val="auto"/>
        </w:rPr>
        <w:tab/>
      </w:r>
      <w:r>
        <w:rPr>
          <w:rFonts w:ascii="Times New Roman" w:cs="Times New Roman" w:eastAsia="Times New Roman" w:hAnsi="Times New Roman"/>
          <w:sz w:val="22"/>
          <w:szCs w:val="22"/>
          <w:color w:val="auto"/>
        </w:rPr>
        <w:t>11/18/2020 acquisition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See Note 1 on</w:t>
      </w:r>
    </w:p>
    <w:p>
      <w:pPr>
        <w:spacing w:after="0" w:line="14" w:lineRule="exact"/>
        <w:rPr>
          <w:sz w:val="20"/>
          <w:szCs w:val="20"/>
          <w:color w:val="auto"/>
        </w:rPr>
      </w:pPr>
    </w:p>
    <w:p>
      <w:pPr>
        <w:ind w:left="1300" w:right="680" w:hanging="2334"/>
        <w:spacing w:after="0" w:line="181" w:lineRule="auto"/>
        <w:tabs>
          <w:tab w:leader="none" w:pos="1280" w:val="left"/>
        </w:tabs>
        <w:rPr>
          <w:sz w:val="20"/>
          <w:szCs w:val="20"/>
          <w:color w:val="auto"/>
        </w:rPr>
      </w:pPr>
      <w:r>
        <w:rPr>
          <w:rFonts w:ascii="Times New Roman" w:cs="Times New Roman" w:eastAsia="Times New Roman" w:hAnsi="Times New Roman"/>
          <w:sz w:val="22"/>
          <w:szCs w:val="22"/>
          <w:color w:val="auto"/>
        </w:rPr>
        <w:t>86400</w:t>
      </w:r>
      <w:r>
        <w:rPr>
          <w:sz w:val="20"/>
          <w:szCs w:val="20"/>
          <w:color w:val="auto"/>
        </w:rPr>
        <w:tab/>
      </w:r>
      <w:r>
        <w:rPr>
          <w:rFonts w:ascii="Times New Roman" w:cs="Times New Roman" w:eastAsia="Times New Roman" w:hAnsi="Times New Roman"/>
          <w:sz w:val="19"/>
          <w:szCs w:val="19"/>
          <w:color w:val="auto"/>
        </w:rPr>
        <w:t xml:space="preserve">04/21/2021 </w:t>
      </w:r>
      <w:r>
        <w:rPr>
          <w:rFonts w:ascii="Times New Roman" w:cs="Times New Roman" w:eastAsia="Times New Roman" w:hAnsi="Times New Roman"/>
          <w:sz w:val="37"/>
          <w:szCs w:val="37"/>
          <w:color w:val="auto"/>
          <w:vertAlign w:val="superscript"/>
        </w:rPr>
        <w:t>"Nature of</w:t>
      </w:r>
      <w:r>
        <w:rPr>
          <w:rFonts w:ascii="Times New Roman" w:cs="Times New Roman" w:eastAsia="Times New Roman" w:hAnsi="Times New Roman"/>
          <w:sz w:val="19"/>
          <w:szCs w:val="19"/>
          <w:color w:val="auto"/>
        </w:rPr>
        <w:t xml:space="preserve"> Acquisition</w:t>
      </w:r>
    </w:p>
    <w:p>
      <w:pPr>
        <w:ind w:left="2340"/>
        <w:spacing w:after="0"/>
        <w:rPr>
          <w:sz w:val="20"/>
          <w:szCs w:val="20"/>
          <w:color w:val="auto"/>
        </w:rPr>
      </w:pPr>
      <w:r>
        <w:rPr>
          <w:rFonts w:ascii="Times New Roman" w:cs="Times New Roman" w:eastAsia="Times New Roman" w:hAnsi="Times New Roman"/>
          <w:sz w:val="22"/>
          <w:szCs w:val="22"/>
          <w:color w:val="auto"/>
        </w:rPr>
        <w:t>Transaction"</w:t>
      </w:r>
    </w:p>
    <w:p>
      <w:pPr>
        <w:spacing w:after="0" w:line="347" w:lineRule="exact"/>
        <w:rPr>
          <w:sz w:val="20"/>
          <w:szCs w:val="20"/>
          <w:color w:val="auto"/>
        </w:rPr>
      </w:pPr>
    </w:p>
    <w:p>
      <w:pPr>
        <w:sectPr>
          <w:pgSz w:w="11900" w:h="16838" w:orient="portrait"/>
          <w:cols w:equalWidth="0" w:num="4">
            <w:col w:w="820" w:space="680"/>
            <w:col w:w="2640" w:space="100"/>
            <w:col w:w="2260" w:space="720"/>
            <w:col w:w="4020"/>
          </w:cols>
          <w:pgMar w:left="320" w:top="108" w:right="339" w:bottom="0" w:gutter="0" w:footer="0" w:header="0"/>
          <w:type w:val="continuous"/>
        </w:sectPr>
      </w:pPr>
    </w:p>
    <w:p>
      <w:pPr>
        <w:spacing w:after="0" w:line="267"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240"/>
        <w:spacing w:after="0" w:line="249" w:lineRule="auto"/>
        <w:rPr>
          <w:sz w:val="20"/>
          <w:szCs w:val="20"/>
          <w:color w:val="auto"/>
        </w:rPr>
      </w:pPr>
      <w:r>
        <w:rPr>
          <w:rFonts w:ascii="Times New Roman" w:cs="Times New Roman" w:eastAsia="Times New Roman" w:hAnsi="Times New Roman"/>
          <w:sz w:val="21"/>
          <w:szCs w:val="21"/>
          <w:color w:val="auto"/>
        </w:rPr>
        <w:t>There have been no sales of securities by Mr Calisto during the past three months Note 1: The Ordinary Shares were acquired pursuant to a scheme of arrangement under the South African Companies Act ("Scheme"), whereby the Issuer, as the majority shareholder of Cartrack Holdings Limited, acquired for cash all of the outstanding ordinary</w:t>
      </w:r>
    </w:p>
    <w:p>
      <w:pPr>
        <w:spacing w:after="0" w:line="1" w:lineRule="exact"/>
        <w:rPr>
          <w:sz w:val="20"/>
          <w:szCs w:val="20"/>
          <w:color w:val="auto"/>
        </w:rPr>
      </w:pPr>
    </w:p>
    <w:p>
      <w:pPr>
        <w:jc w:val="both"/>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shares held by the minority shareholders at a price equal to ZAR42.00 per share ("Scheme Consideration"), and as a result, Cartrack became a wholly-owned subsidiary of the Issuer. Certain eligible minority shareholders of Cartrack</w:t>
      </w:r>
    </w:p>
    <w:p>
      <w:pPr>
        <w:ind w:left="940" w:right="320"/>
        <w:spacing w:after="0" w:line="235" w:lineRule="auto"/>
        <w:rPr>
          <w:sz w:val="20"/>
          <w:szCs w:val="20"/>
          <w:color w:val="auto"/>
        </w:rPr>
      </w:pPr>
      <w:r>
        <w:rPr>
          <w:rFonts w:ascii="Times New Roman" w:cs="Times New Roman" w:eastAsia="Times New Roman" w:hAnsi="Times New Roman"/>
          <w:sz w:val="22"/>
          <w:szCs w:val="22"/>
          <w:color w:val="auto"/>
        </w:rPr>
        <w:t>electted to use all or part of their Scheme Consideration to subscribe for Ordinary Shares of the Issuer ("the Reinvestment"). Isaias Jose Calisto, used his Scheme Consideration to participate in the Reinvestment and acquired 86,400 Ordinary Shares from the Issuer on April 21, 2021.</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08/12/2024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 Isaias Jose Calisto</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2024-08-12T10:51:38Z</dcterms:created>
  <dcterms:modified xsi:type="dcterms:W3CDTF">2024-08-12T10:51:38Z</dcterms:modified>
</cp:coreProperties>
</file>