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27,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27, 2022 - Karooooo Ltd. Announces First Quarter 2023 Unaudited Financial Results</w:t>
            </w:r>
          </w:p>
        </w:tc>
      </w:tr>
      <w:tr>
        <w:trPr>
          <w:trHeight w:val="736"/>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940" w:type="dxa"/>
            <w:vAlign w:val="bottom"/>
            <w:tcBorders>
              <w:top w:val="single" w:sz="8" w:color="0000EE"/>
              <w:bottom w:val="single" w:sz="8" w:color="auto"/>
            </w:tcBorders>
          </w:tcPr>
          <w:p>
            <w:pPr>
              <w:jc w:val="right"/>
              <w:ind w:right="3306"/>
              <w:spacing w:after="0"/>
              <w:rPr>
                <w:sz w:val="20"/>
                <w:szCs w:val="20"/>
                <w:color w:val="auto"/>
              </w:rPr>
            </w:pPr>
            <w:r>
              <w:rPr>
                <w:rFonts w:ascii="Times New Roman" w:cs="Times New Roman" w:eastAsia="Times New Roman" w:hAnsi="Times New Roman"/>
                <w:sz w:val="22"/>
                <w:szCs w:val="22"/>
                <w:color w:val="auto"/>
              </w:rPr>
              <w:t>2</w:t>
            </w:r>
          </w:p>
        </w:tc>
        <w:tc>
          <w:tcPr>
            <w:tcW w:w="2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SINGAPORE (July 27, 2022) Karooooo Limited (“Karooooo”) reported solid results for the first quarter ended May 31, 2022 (“Q1 2023”), giving management confidence to leave the outlook for the 2023 financial year (“2023”) unchanged.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which owns 100% of Cartrack, 100% of Carzuka and 70.1% of Karooooo Logistics (Picup, recently re-named as Karooooo Logistics, given the consolidation of platforms), is a leading provider of insightful real-time data analytics and business intelligence. Karooooo maximizes the value of data through its Internet of Things (“IoT”) SaaS cloud, with an offering that extends beyond connected vehicles and equipment to assisting more than 90,000 diverse enterprise customers (Q1 2022: 76,000+) to digitally transform their on-the-ground operations. This includes systems integration fleet administration, field worker management, video-based safety, risk mitigation, delivery management and ESG compliance and reporting.</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Assessing the Q1 2023 results, </w:t>
      </w:r>
      <w:r>
        <w:rPr>
          <w:rFonts w:ascii="Times New Roman" w:cs="Times New Roman" w:eastAsia="Times New Roman" w:hAnsi="Times New Roman"/>
          <w:sz w:val="18"/>
          <w:szCs w:val="18"/>
          <w:b w:val="1"/>
          <w:bCs w:val="1"/>
          <w:color w:val="auto"/>
        </w:rPr>
        <w:t>Zak Calisto, CEO and Founder</w:t>
      </w:r>
      <w:r>
        <w:rPr>
          <w:rFonts w:ascii="Times New Roman" w:cs="Times New Roman" w:eastAsia="Times New Roman" w:hAnsi="Times New Roman"/>
          <w:sz w:val="18"/>
          <w:szCs w:val="18"/>
          <w:color w:val="auto"/>
        </w:rPr>
        <w:t>, said: “With record earnings and cash generation from operating activities, this is a pleasingly solid start to our 2023 financial year. It confirms our robust business model and extends our decade-plus track record of execution and ability to scale operations in variable market conditions.”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Despite global economic headwinds, specifically higher energy and raw material prices and electronic component shortages, we maintained the momentum in our top-line growth. Total revenue was up 28% to ZAR801 million (Q1 2022: ZAR626 million). Revenue growth coupled with ongoing operating efficiencies resulted in profit for the period increasing 44% to ZAR156 million (Q1 2022: ZAR108 million) and earnings per share 42% to ZAR4.96 million (Q1 2022: ZAR3.49)</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Strong free cash flow generation bolstered our robust cash position, notwithstanding our investment in future growth. A net</w:t>
      </w:r>
    </w:p>
    <w:p>
      <w:pPr>
        <w:spacing w:after="0" w:line="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cash and cash equivalents balance of ZAR854 million at the end of Q1 2023 (Q4 2022: ZAR718 million; Q1 2022: ZAR554 million) supported an interim dividend of 60 U.S. cents per ordinary share, declared on April 27,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traction in our Southeast Asia operations was particularly encouraging. As COVID-19 disruptions eased, we accelerated the investment in our operations in this region. Among other highlights, Coca-Cola selected Cartrack as their technology partner in the Philippines to strengthen their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we believe we have multiple levers for expansion and are well positioned to capitalize on a large and growing market opportunity. Our ability to create compelling value from the billions of data points we collect continues to improve, differentiating our offering to enterprise customers. Underpinned by our evolving end-to-end all-inclusive IoT platform, vertically integrated business model, established infrastructure, expanding distribution network and ability to execute, we believe that we have proved that we can scale our customer base in varying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8" w:lineRule="exact"/>
        <w:rPr>
          <w:sz w:val="20"/>
          <w:szCs w:val="20"/>
          <w:color w:val="auto"/>
        </w:rPr>
      </w:pPr>
    </w:p>
    <w:p>
      <w:pPr>
        <w:jc w:val="both"/>
        <w:ind w:left="340" w:hanging="332"/>
        <w:spacing w:after="0" w:line="211"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Adjusted earnings per share (a non-IFRS measure) increased 27% to ZAR4.96 in the first quarter of 2023 (Q1 2022: ZAR3.90). The difference between profit and adjusted profit in the prior period (the first quarter of 2022) is attributable to ZAR10 million once-off IPO costs that are not tax deductible, which were expensed in the first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Karooooo Ltd. Announces First Quarter 2023 Unaudited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2023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Q1 2022,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1,542,772 subscribers in total at May 31, 2022, up 13% (Q1 2022: 1,366,470)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subscriber additions of 16,800 (Q1 2022: 60,470)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Demand from small to large enterprises, wanting to digitally transform their businesses to remain competitive, supported the growth in subscribers (connected vehicles and equipment on our platform). The traction we experienced in Southeast Asia accounted for most net subscriber additions in this segment.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sudden significant increases in inflation in many markets globally and flooding in the KwaZulu Natal province from April 2022 initially dampened sales in South Africa with customers exercising more caution amidst looming inflationary pressures. This also translated into higher than normal customer payment defaults. These conditions held our South African subscriber base at similar levels to the previous quarter (Q4 2022). However, trading conditions in South Africa appear to have normalized quickly given the strong demand for Cartrack’s platform and Cartrack’s total net subscriber additions for June 2022 exceeding 18,000, which is above that recorded for the full first quarter of 2023 (March 2022 to May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value we offer our customers in saving costs and increasing operational productivity, we are confident to leave our outlook for subscriber growth in 2023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28% to ZAR801 million (Q1 2022: ZAR626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28% on a constant currency basis (a non-IFRS measure)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17% to ZAR709 million (Q1 2022: ZAR606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17% on a constant currency basis (a non-IFRS measure)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Annualized Recurring Revenue (“ARR”), (a non-IFRS measure), increased 14% to ZAR2,851 million as at May 2022 (May 2021: ZAR2,491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 the period increased 44% to ZAR156 million (Q1 2022: ZAR108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increased 42% to ZAR4.96 (Q1 2022: ZAR3.49)</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operating activities increased 17% to ZAR319 million (Q1 2022: ZAR273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2023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May 31,</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Cartrack</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Carzuka</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7"/>
          </w:tcPr>
          <w:p>
            <w:pPr>
              <w:jc w:val="center"/>
              <w:ind w:right="188"/>
              <w:spacing w:after="0" w:line="189" w:lineRule="exact"/>
              <w:rPr>
                <w:sz w:val="20"/>
                <w:szCs w:val="20"/>
                <w:color w:val="auto"/>
              </w:rPr>
            </w:pPr>
            <w:r>
              <w:rPr>
                <w:rFonts w:ascii="Times New Roman" w:cs="Times New Roman" w:eastAsia="Times New Roman" w:hAnsi="Times New Roman"/>
                <w:sz w:val="13"/>
                <w:szCs w:val="13"/>
                <w:b w:val="1"/>
                <w:bCs w:val="1"/>
                <w:color w:val="auto"/>
              </w:rPr>
              <w:t>Karooooo Logistics</w:t>
            </w:r>
            <w:r>
              <w:rPr>
                <w:rFonts w:ascii="Times New Roman" w:cs="Times New Roman" w:eastAsia="Times New Roman" w:hAnsi="Times New Roman"/>
                <w:sz w:val="21"/>
                <w:szCs w:val="21"/>
                <w:b w:val="1"/>
                <w:bCs w:val="1"/>
                <w:color w:val="auto"/>
                <w:vertAlign w:val="superscript"/>
              </w:rPr>
              <w:t>1</w:t>
            </w:r>
          </w:p>
        </w:tc>
        <w:tc>
          <w:tcPr>
            <w:tcW w:w="2440" w:type="dxa"/>
            <w:vAlign w:val="bottom"/>
            <w:gridSpan w:val="6"/>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0" w:type="dxa"/>
            <w:vAlign w:val="bottom"/>
          </w:tcPr>
          <w:p>
            <w:pPr>
              <w:spacing w:after="0"/>
              <w:rPr>
                <w:sz w:val="1"/>
                <w:szCs w:val="1"/>
                <w:color w:val="auto"/>
              </w:rPr>
            </w:pPr>
          </w:p>
        </w:tc>
      </w:tr>
      <w:tr>
        <w:trPr>
          <w:trHeight w:val="124"/>
        </w:trPr>
        <w:tc>
          <w:tcPr>
            <w:tcW w:w="1680" w:type="dxa"/>
            <w:vAlign w:val="bottom"/>
            <w:gridSpan w:val="2"/>
            <w:vMerge w:val="continue"/>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0"/>
                <w:szCs w:val="10"/>
                <w:color w:val="auto"/>
              </w:rPr>
            </w:pPr>
          </w:p>
        </w:tc>
        <w:tc>
          <w:tcPr>
            <w:tcW w:w="5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707,481</w:t>
            </w: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605,866</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w:t>
            </w:r>
          </w:p>
        </w:tc>
        <w:tc>
          <w:tcPr>
            <w:tcW w:w="2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708,903</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605,866</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16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16,237</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17,758</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16,237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17,758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9"/>
        </w:trPr>
        <w:tc>
          <w:tcPr>
            <w:tcW w:w="1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8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50,005</w:t>
            </w: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2,569</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&gt;100%</w:t>
            </w:r>
          </w:p>
        </w:tc>
        <w:tc>
          <w:tcPr>
            <w:tcW w:w="8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50,005</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2,569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&gt;100%</w:t>
            </w:r>
          </w:p>
        </w:tc>
        <w:tc>
          <w:tcPr>
            <w:tcW w:w="0" w:type="dxa"/>
            <w:vAlign w:val="bottom"/>
          </w:tcPr>
          <w:p>
            <w:pPr>
              <w:spacing w:after="0"/>
              <w:rPr>
                <w:sz w:val="1"/>
                <w:szCs w:val="1"/>
                <w:color w:val="auto"/>
              </w:rPr>
            </w:pPr>
          </w:p>
        </w:tc>
      </w:tr>
      <w:tr>
        <w:trPr>
          <w:trHeight w:val="162"/>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26,292</w:t>
            </w:r>
          </w:p>
        </w:tc>
        <w:tc>
          <w:tcPr>
            <w:tcW w:w="380" w:type="dxa"/>
            <w:vAlign w:val="bottom"/>
          </w:tcPr>
          <w:p>
            <w:pPr>
              <w:spacing w:after="0"/>
              <w:rPr>
                <w:sz w:val="14"/>
                <w:szCs w:val="14"/>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26,292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7"/>
        </w:trPr>
        <w:tc>
          <w:tcPr>
            <w:tcW w:w="1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6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line="20" w:lineRule="exact"/>
              <w:rPr>
                <w:sz w:val="1"/>
                <w:szCs w:val="1"/>
                <w:color w:val="auto"/>
              </w:rPr>
            </w:pPr>
          </w:p>
        </w:tc>
      </w:tr>
      <w:tr>
        <w:trPr>
          <w:trHeight w:val="183"/>
        </w:trPr>
        <w:tc>
          <w:tcPr>
            <w:tcW w:w="168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723,718</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623,624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260" w:type="dxa"/>
            <w:vAlign w:val="bottom"/>
            <w:vMerge w:val="continue"/>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50,005</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2,569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&gt;100</w:t>
            </w:r>
          </w:p>
        </w:tc>
        <w:tc>
          <w:tcPr>
            <w:tcW w:w="24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27,714</w:t>
            </w:r>
          </w:p>
        </w:tc>
        <w:tc>
          <w:tcPr>
            <w:tcW w:w="3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260" w:type="dxa"/>
            <w:vAlign w:val="bottom"/>
            <w:vMerge w:val="continue"/>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801,437</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626,193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680" w:type="dxa"/>
            <w:vAlign w:val="bottom"/>
            <w:gridSpan w:val="2"/>
            <w:vMerge w:val="continue"/>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(206,654)</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(180,277)</w:t>
            </w:r>
          </w:p>
        </w:tc>
        <w:tc>
          <w:tcPr>
            <w:tcW w:w="220" w:type="dxa"/>
            <w:vAlign w:val="bottom"/>
          </w:tcPr>
          <w:p>
            <w:pPr>
              <w:spacing w:after="0"/>
              <w:rPr>
                <w:sz w:val="12"/>
                <w:szCs w:val="12"/>
                <w:color w:val="auto"/>
              </w:rPr>
            </w:pPr>
          </w:p>
        </w:tc>
        <w:tc>
          <w:tcPr>
            <w:tcW w:w="7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(44,252)</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w:t>
            </w:r>
          </w:p>
        </w:tc>
        <w:tc>
          <w:tcPr>
            <w:tcW w:w="28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&gt;100%</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(20,645)</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(271,551)</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(182,341)</w:t>
            </w:r>
          </w:p>
        </w:tc>
        <w:tc>
          <w:tcPr>
            <w:tcW w:w="2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517,064</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443,347</w:t>
            </w:r>
          </w:p>
        </w:tc>
        <w:tc>
          <w:tcPr>
            <w:tcW w:w="7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2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5,753</w:t>
            </w: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7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&gt;100%</w:t>
            </w:r>
          </w:p>
        </w:tc>
        <w:tc>
          <w:tcPr>
            <w:tcW w:w="84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7,069</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529,886</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443,852</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 Margin</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380" w:type="dxa"/>
            <w:vAlign w:val="bottom"/>
          </w:tcPr>
          <w:p>
            <w:pPr>
              <w:spacing w:after="0"/>
              <w:rPr>
                <w:sz w:val="12"/>
                <w:szCs w:val="12"/>
                <w:color w:val="auto"/>
              </w:rPr>
            </w:pPr>
          </w:p>
        </w:tc>
        <w:tc>
          <w:tcPr>
            <w:tcW w:w="3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Segment operating</w:t>
            </w:r>
          </w:p>
        </w:tc>
        <w:tc>
          <w:tcPr>
            <w:tcW w:w="8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221,252</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171,266</w:t>
            </w:r>
          </w:p>
        </w:tc>
        <w:tc>
          <w:tcPr>
            <w:tcW w:w="76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82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(3,669)</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(3,142)</w:t>
            </w:r>
          </w:p>
        </w:tc>
        <w:tc>
          <w:tcPr>
            <w:tcW w:w="7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(93)</w:t>
            </w:r>
          </w:p>
        </w:tc>
        <w:tc>
          <w:tcPr>
            <w:tcW w:w="3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217,490</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168,124</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3"/>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profit/(loss)</w:t>
            </w: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20" w:type="dxa"/>
            <w:vAlign w:val="bottom"/>
            <w:tcBorders>
              <w:right w:val="single" w:sz="8" w:color="CCEEFF"/>
            </w:tcBorders>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6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(a</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356,969</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278,271</w:t>
            </w:r>
          </w:p>
        </w:tc>
        <w:tc>
          <w:tcPr>
            <w:tcW w:w="7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(3,424)</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(3,142)</w:t>
            </w: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199</w:t>
            </w:r>
          </w:p>
        </w:tc>
        <w:tc>
          <w:tcPr>
            <w:tcW w:w="380" w:type="dxa"/>
            <w:vAlign w:val="bottom"/>
          </w:tcPr>
          <w:p>
            <w:pPr>
              <w:spacing w:after="0"/>
              <w:rPr>
                <w:sz w:val="10"/>
                <w:szCs w:val="10"/>
                <w:color w:val="auto"/>
              </w:rPr>
            </w:pPr>
          </w:p>
        </w:tc>
        <w:tc>
          <w:tcPr>
            <w:tcW w:w="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353,744</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275,129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3"/>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non-IFRS measure)</w:t>
            </w: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6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6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Margin (a non-IFRS</w:t>
            </w:r>
          </w:p>
        </w:tc>
        <w:tc>
          <w:tcPr>
            <w:tcW w:w="8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w:t>
            </w: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Karooooo acquired 70.1% of Picup in September 2021. Picup was subsequently re-branded and re-named as Karooooo Logistics, given the consolidation of platforms.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Karooooo’s revenue increased 28% and its subscription revenue increased 17% in Q1 2023. Cartrack’s revenue and subscription revenue accounted for 90.3% and 99.8%, respectively, of Karooooo’s revenue and subscription revenue in Q1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 generated ZAR724 million in revenue in Q1 2023 of which ZAR707 million was subscription revenue. Cartrack has high revenue visibility, with subscription revenue making up 98% of its total revenue (Q1 2022: 97%).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contributions from Carzuka and Karooooo Logistics also bolstered Karooooo’s revenue growth.</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Carzuka generated ZAR50 million in Q1 2023. The expansion it has shown supports our belief in the scalability and sustainability of Carzuka’s business model and its growth trajectory. We contextualize billions of data points daily, enabling us to truly understand the needs of our customers. Over time we have become aware of much-needed related services from our large data pool. Carzuka is an example of how our ethos of customer-centricity and innovation in solving unique mobility needs, translates in practice. For Carzuka, our vast and growing cloud-based data assets, data contextualization and machine learning capabilities will help ensure vehicles are bought and sold at a fair price. It also offers visibility on vehicle performance and health, customer de-fleeting and customer profiling to understand market demand, which enhances lead generation.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Carzuka will leverage Cartrack’s technology, subscriber base, distribution network, digital marketing capabilities and ability to execute. We expect it to achieve strong growth at scale, providing buyers and sellers with a large volume and variety of affordable, high quality used vehicles. In combination with its intuitive e-commerce platform, Carzuka opened its first physical showroom, strategically located in Eastgate Shopping Centre (Johannesburg). The showroom has the capacity to showcase more than 500 vehicles. Conveniently located, it offers consumers easy access, safety and efficiency. Given Cartrack’s well-established countrywide footprint and expansive distribution network, there are plans for Carzuka to occupy similar spaces strategically located in easily accessible and central hubs in main cities in South Africa.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Karooooo Logistics generated ZAR28 million in revenue in Q1 2023. Since the acquisition of Karooooo Logistics, we have rapidly increased its national presence across sectors, including clients such as Dis-Chem, Pick n Pay’s ASAP, Clicks, Waltons and UCook as more large enterprises understand the value we offer. Karooooo Logistics addresses the challenges of on-the-ground distribution for large enterprises requiring systems integrations, payment gateways, third-party long-haul services and crowd-sourced drivers in order to scale and meet their operational needs.</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ZAR, SaaS ARR (a non-IFRS measure), increased 14% to ZAR2,851 million at May 31, 2022, compared to ZAR2,491 million at May 31, 2021. In USD, SaaS ARR (a non-IFRS measure), increased 1% to USD182.9 million at May 31, 2022, compared to USD181.2 million at May 31, 2021. SaaS ARR was driven by the 13% increase in subscribers, offset by a weaker ZAR. The ZAR to USD exchange rate was ZAR15.59 at the end of May 2022, compared to ZAR13.75 at the end of May 2021. Amounts in ZAR have been translated to USD using exchange rates set forth in the H.10 statistical release of the Board of Governors of the Federal Reserve System on May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20" w:type="dxa"/>
            <w:vAlign w:val="bottom"/>
          </w:tcPr>
          <w:p>
            <w:pPr>
              <w:spacing w:after="0"/>
              <w:rPr>
                <w:sz w:val="24"/>
                <w:szCs w:val="24"/>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5"/>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9"/>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313,133</w:t>
            </w:r>
          </w:p>
        </w:tc>
        <w:tc>
          <w:tcPr>
            <w:tcW w:w="220" w:type="dxa"/>
            <w:vAlign w:val="bottom"/>
            <w:tcBorders>
              <w:top w:val="single" w:sz="8" w:color="CCEEFF"/>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276,513</w:t>
            </w:r>
          </w:p>
        </w:tc>
        <w:tc>
          <w:tcPr>
            <w:tcW w:w="220" w:type="dxa"/>
            <w:vAlign w:val="bottom"/>
            <w:tcBorders>
              <w:top w:val="single" w:sz="8" w:color="CCEEFF"/>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auto"/>
            </w:tcBorders>
          </w:tcPr>
          <w:p>
            <w:pPr>
              <w:spacing w:after="0"/>
              <w:rPr>
                <w:sz w:val="21"/>
                <w:szCs w:val="21"/>
                <w:color w:val="auto"/>
              </w:rPr>
            </w:pPr>
          </w:p>
        </w:tc>
      </w:tr>
      <w:tr>
        <w:trPr>
          <w:trHeight w:val="203"/>
        </w:trPr>
        <w:tc>
          <w:tcPr>
            <w:tcW w:w="7440" w:type="dxa"/>
            <w:vAlign w:val="bottom"/>
            <w:tcBorders>
              <w:right w:val="single" w:sz="8" w:color="auto"/>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20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296,396</w:t>
            </w:r>
          </w:p>
        </w:tc>
        <w:tc>
          <w:tcPr>
            <w:tcW w:w="132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272,866</w:t>
            </w:r>
          </w:p>
        </w:tc>
        <w:tc>
          <w:tcPr>
            <w:tcW w:w="1280" w:type="dxa"/>
            <w:vAlign w:val="bottom"/>
            <w:tcBorders>
              <w:right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7"/>
                <w:szCs w:val="17"/>
                <w:color w:val="auto"/>
              </w:rPr>
            </w:pPr>
          </w:p>
        </w:tc>
      </w:tr>
      <w:tr>
        <w:trPr>
          <w:trHeight w:val="216"/>
        </w:trPr>
        <w:tc>
          <w:tcPr>
            <w:tcW w:w="7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3,647</w:t>
            </w:r>
          </w:p>
        </w:tc>
        <w:tc>
          <w:tcPr>
            <w:tcW w:w="128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20" w:type="dxa"/>
            <w:vAlign w:val="bottom"/>
            <w:shd w:val="clear" w:color="auto" w:fill="000000"/>
          </w:tcPr>
          <w:p>
            <w:pPr>
              <w:spacing w:after="0"/>
              <w:rPr>
                <w:sz w:val="18"/>
                <w:szCs w:val="18"/>
                <w:color w:val="auto"/>
              </w:rPr>
            </w:pPr>
          </w:p>
        </w:tc>
      </w:tr>
      <w:tr>
        <w:trPr>
          <w:trHeight w:val="223"/>
        </w:trPr>
        <w:tc>
          <w:tcPr>
            <w:tcW w:w="74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2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7,315</w:t>
            </w: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&gt;100%</w:t>
            </w: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Karooooo’s operating expenses increased 13% to ZAR313 million in Q1 2023 (Q1 2022: ZAR277 million). We continue to build Carzuka and Karooooo Logistics for scale, with these businesses contributing ZAR9 million and ZAR7 million respectively, to the total operating expenses of the group. The remainder, ZAR296 million, is attributable to Cartrack (Q1 2022: ZAR273 million) and comprises cautious investment for growth offset by ongoing economies of scale, supporting cost containment.</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continue to invest in enhancing Karooooo’s vertically integrated sales and marketing capabilities to drive customer acquisition. For Cartrack, this go-to-market strategy commenced in 2020 with the ramp up in investment peaking in Q1 2022 and then leveling out in the second half of the 2022 financial year. From the high base set in Q1 2022, sales and marketing operating expenses increased 5% to ZAR91 million in Q1 2023 (Q1 2022: ZAR87 million). Sales and marketing operating expenses in Q1 2023 were up 18% and 20% respectively compared to Q3 and Q4 of 2022. We believe this investment in growth positions us well for the long-term and we expect to see the benefit in higher customer acquisition into 2023 and beyond.</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Cartrack’s general and administration operating expenses rose 14% to ZAR146 million (Q1 2022: ZAR128 million). Scale benefits and higher staff productivity due to ongoing investment in internal systems, offset by accelerated investment in Southeast Asia, supported this result. Given that the region’s populous and fast-growing economies are considerably underpenetrated, and as economic activity recovers from COVID-19 disruptions, our view is that Southeast Asia presents the greatest opportunity in the medium to long-term. This has accelerated the rebuilding of our operations for scale and execution in this region.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Cartrack’s R&amp;D operating expenses increased 23% to ZAR39 million (Q1 2022: ZAR31 million). Our planned investment in the improvement, enrichment and expansion of our connected cloud platform and internal management systems is focused on enhancing our value proposition to our customers, digitalizing their operations to give them a competitive advantage in dynamic and challenging operating environments.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The trend in Cartrack’s expenses as a relative portion of subscription revenue accord with Karooooo’s long-term financial goals set out on listing on the NASDAQ in April, 2021 and reflect our accelerated investment in growth.</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 as a percentage of subscription revenue decreased to 12.9% (Q1 2022: 14.4%)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administration expenses as a percentage of subscription revenue decreased to 20.7% (Q1 2022: 21.1%)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expenses as a percentage of subscription revenue increased to 5.5% (Q1 2022: 5.2%)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Building scale in Carzuka and Karooooo Logistics is similarly a function of our investment in future growth, which incurred operating expenses of ZAR9 million and ZAR7 million respectively during the quarter (Q1 2022: ZAR4 million and nil respectively). The business models of Carzuka and Karooooo Logistics have delivered promising results, which we believe indicate scalability and a good growth trajectory in the future. Karooooo’s strong cash generative business model and ability to leverage the untapped network effects of the Cartrack platform will support their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Adjusted Earnings per share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increased 29% to ZAR217 million in Q1 2023 (Q1 2022: ZAR168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earnings per share increased 42% to ZAR4.96 in the first quarter of 2023 (Q1 2022: ZAR3.49).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Karooooo’s adjusted earnings per share, a non-IFRS measure, increased 27% to ZAR4.96 in the first quarter of 2023 (Q1 2022: ZAR3.90). The difference between profit and adjusted profit in the prior period (the first quarter of 2022) is attributable to ZAR10 million once-off IPO costs that are not tax deductible which were expensed in the first quarter of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strong subscription revenue growth despite the challenging operating environment, and the group’s investment in future growth, favorably offset by the realization of economies of scale and increased staff productivity, Cartrack delivered operating profit of ZAR221 million, up 29%, in the first quarter of 2023, (Q1 2022: ZAR171 million). Cartrack’s operating profit margin expanded to 31% (Q1 2022: 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Carzuka incurred an operating loss of ZAR4 million in Q1 2023 (Q1 2022: ZAR3 million). Karooooo Logistics incurred an operating loss of ZAR93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 in Q1 2023 (Q1 2022: Nil).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increased 29% to ZAR354 million (Q1 2022: ZAR275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Adjusted EBITDA (a non-IFRS measure) increased 28% to ZAR357 million (Q1 2021: ZAR278 million). In line with Karooooo’s planned investment for future growth, set out in management’s guidance range for 2023, Cartrack’s Adjusted EBITDA margin (a non-IFRS measure) was 49% for the first quarter of 2023 (Q1 2022: 45%).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Carzuka incurred a loss before interest, tax, depreciation and amortization of ZAR3 million (Q1 2022: ZAR3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Adjusted EBITDA (a non-IFRS measure) was ZAR199 thousand for Q1 2023 (Q1 2022: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Karooooo is well positioned for growth. We operate in a growing and largely underpenetrated market, with strong demand from customers seeking software solutions to successfully digitalize their businesses and improve their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proven, robust and consistently profitable business model, underpinned by a strong balance sheet and cash position, gives us multiple levers for expansion. Our investment in marketing and sales, coupled with the realization of economies of scale across our business segments, is expected to generate robust results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prolonged pandemic impacts and exchange rate fluctuations, among other factors described under “Forward-Looking Statements” below.</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Given Cartrack’s revenue accounts for the majority (Q1 2023: 90.3%) of the group’s revenue, and Carzuka and Karooooo Logistics are both businesses being built for scale, the outlook below relates to Cartrack only.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strong performance shown in Q1 2023 gives us confidence to leave our guidance unchanged. We expect Cartrack to continue growing within the following ranges for 2023:</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subscribers between 1,700,000 and 1,900,000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between ZAR2.95 billion and ZAR3.1 billion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Adjusted EBITDA margin between 45% and 50%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approach to capital allocation supports Karooooo’s profitability and high cash-generation. We have ample runway to accelerate our revenue growth in excess of our average historical rate and to remain profitable.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Capital Allocation Committee has adopted a cash management policy whereby Karooooo’s excess cash reserves on hand will be held in US Dollars, which will be translated into ZAR for reporting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at May 31, 2022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Karooooo reported a net cash and cash equivalents balance of ZAR854 million at the end of Q1 2023 (Q1 2022: ZAR554 million). As reported in our results announcement for the year ended February 28, 2022, given our profitability, inherently cash-generative business model and our strong balance sheet, the board declared an interim dividend of 60 U.S. cents per ordinary share on April 27, 2022 which shall be payable entirely out of the Karooooo’s profits. This dividend will be paid on September 12, 2022 to shareholders on record and is supported by our strong cash performance in Q1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May 31, 2022, the group had bank facilities for growth initiatives and other general corporate purposes of ZAR925 million with The Standard Bank of South Africa Limited and ZAR75 million with Mercantile Bank, a division of Capitec Bank Limited.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After paying this dividend, we believe the group has sufficient cash and cash equivalents to invest in accelerated growth in 2023. Should additional investment for growth be required in the 2024 financial year and beyond, we would consider optimizing our capital structure by utilizing our available funding 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generated ZAR319 million in cash from operating activities in Q1 2023 (Q1 2022: ZAR273 million), a record since inception.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result was achieved despite the group’s continued and strategic investment in customer acquisition and long-term growth. Karooooo invested ZAR162 million in Property, Plant and Equipment (“PPE”) and infrastructure in the first quarter of 2023, 37% more than the ZAR118 million invested in the first quarter of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generated Free Cash Flow (a non-IFRS measure) of ZAR157 million in the first quarter of 2023 compared to ZAR155 million in the first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has 30,951,106 ordinary shares issued with a paid-up share capital of USD505,956,659 plus SGD1,000.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The ZAR0.4 billion relates to the net asset value of the 95,350,637 Cartrack minority shares bought by Karooooo.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Dividend Policy and Dividend Declaration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is headquartered and incorporated in Singapore where dividends are tax exempt.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 (unchanged)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future determination to pay cash dividends will be at the discretion of the board of directors and will depend on many factors, including general and economic conditions, financial condition and operating results, available cash and current and anticipated cash needs, capital requirements, contractual, legal, tax and regulatory restrictions, including restrictive covenants contained in our financing agreements, the ability of the group’s subsidiaries to distribute funds to Karooooo and such other factors as the board of directors may deem relevant.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stated dividend policy above, an interim dividend of 60 U.S. cents per ordinary share, pertaining to the first quarter of Karooooo’s 2023 financial year, will be paid on September 12, 2022 to shareholders on record as at the close of business on September 02, 2022. Although Karooooo’s reporting currency is ZAR, its statutory filings in Singapore are reported in USD, as a result of which dividends are declared in USD. The details with respect to the dividends declared for holders of our ordinary shares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280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JSE</w:t>
            </w: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Declaration date</w:t>
            </w:r>
          </w:p>
        </w:tc>
        <w:tc>
          <w:tcPr>
            <w:tcW w:w="3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Wednesday, April 27, 2022</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Thursday, April 28, 2022</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of currency conversion and confirmation of record date</w:t>
            </w:r>
          </w:p>
        </w:tc>
        <w:tc>
          <w:tcPr>
            <w:tcW w:w="3780" w:type="dxa"/>
            <w:vAlign w:val="bottom"/>
            <w:gridSpan w:val="3"/>
          </w:tcPr>
          <w:p>
            <w:pPr>
              <w:ind w:left="300"/>
              <w:spacing w:after="0" w:line="198" w:lineRule="exact"/>
              <w:rPr>
                <w:sz w:val="20"/>
                <w:szCs w:val="20"/>
                <w:color w:val="auto"/>
              </w:rPr>
            </w:pPr>
            <w:r>
              <w:rPr>
                <w:rFonts w:ascii="Times New Roman" w:cs="Times New Roman" w:eastAsia="Times New Roman" w:hAnsi="Times New Roman"/>
                <w:sz w:val="18"/>
                <w:szCs w:val="18"/>
                <w:color w:val="auto"/>
              </w:rPr>
              <w:t>Thursday, August 18, 2022</w:t>
            </w: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Friday, August 19, 2022</w:t>
            </w: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announcement</w:t>
            </w:r>
          </w:p>
        </w:tc>
        <w:tc>
          <w:tcPr>
            <w:tcW w:w="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date to trade cum dividend</w:t>
            </w:r>
          </w:p>
        </w:tc>
        <w:tc>
          <w:tcPr>
            <w:tcW w:w="3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Wednesday, August 31, 2022</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Tuesday, August 30, 2022</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Shares commence trading Ex-dividend</w:t>
            </w:r>
          </w:p>
        </w:tc>
        <w:tc>
          <w:tcPr>
            <w:tcW w:w="3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Thursday, September 01, 2022</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Wednesday, August 31, 2022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3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Friday, September 02, 2022</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Friday, September 02, 2022</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3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Monday, September 12, 2022</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Monday, September 12, 2022</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registered on the South African section of the share register will not be allowed to dematerialize or rematerialize their shareholdings between Wednesday, August 31, 2022 and Friday, September 02, 2022, both dates inclusive, and transfers between the NASDAQ and South African register will not be permitted between Friday, August 19, 2022 and Friday, September 02, 2022, both days inclusive.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tax considerations applicable to South African shareholders will be included in the currency conversion and confirmation of record date announcement, expected to be published on Friday, August 19,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 for the First Quarter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Cartrack’s subscription revenue in South Africa increased 17% in Q1 2023, compared to Q1 2022. At the end of Q1 2023, we had 1,184,000 subscribers, up 11% on Q1 2022. The lower-than-expected increase was attributable to the weak macroeconomic environment in South Africa and the KwaZulu Natal floods described above. In our view, the impact of further economic headwinds will be offset by customer demand for our value proposition, which enables them to save costs and boost operational productivity in difficult markets. We believe we are the largest and fastest growing enterprise mobility SaaS provider on the African continent.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Middle East and United States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segment is our second largest revenue contributor, within which Southeast Asia presents the greatest opportunity in the medium to long-term for the reasons already described. With our scalable business model, internationally recognized brand and track record as a successful technology partner to large multi-national brands, we believe our value proposition will find favor in this region, delivering sustainable income to the group.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COVID-19 imposed operating disruptions in Asia beginning to ease, Cartrack was able to begin scaling operations in this region. This included talent attraction and brand strengthening, which translated into commercial customer wins in Southeast Asia. The number of subscribers in this segment has grown 25% to 156,322 by the end of Q1 2023 (Q1 2022: 124,617). This translated into 19% growth in subscription revenue (18% on a constant currency basis given minimal currency impact during the quarter). While cognizant that it will take around a year to return to pre COVID-19 levels, we are pleased with the traction shown in Q1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pace of Cartrack’s expansion into Southeast Asia (beyond Singapore) moves ahead of historical growth rates, we expect Average Revenue per Subscriber per month (“ARPU”) in Asia to trend closer to that in South Africa.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strategic office in the United States continues to yield many key insights that have positively contributed to the group.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segment delivered robust subscription revenue growth of 14% on a constant currency basis (a non-IFRS measure) driven by subscriber growth of 15%.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expansion strategy in Europe remains encouraging, with 132,544 subscribers across the region at the end of Q1 2023 (Q1 2022: 114,767). We plan to increase the pace of our investment in growth in this region in 2023. This will entail reordering teams and growing our presence to position us for expansion into new European markets in six to twelve months’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segment remains a positive cash generator and is strategic to Karooooo’s operations in Eastern and Southern Africa. Significant operational reorganization in Q4 2022 gained traction in Q1 2023, with encouraging customer additions. The number of subscribers grew 11% to 69,906 (Q1 2022: 63,081), which translated into 23% growth in subscription revenue on a constant currency basis (a non-IFRS measure).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Looking ahead, we expect that new partnerships with OEMs will support growth in this geography. These partnerships are a springboard for future collaboration, given our commitment to continually enhance the distinctive value proposition we offer our customers across Africa and the rest of the world. These partnerships include Toyota-Connect and Hino-Connect, which give owners (for all new models) access to an integrated suite of innovative mobility solutions through Cartrack’s on-the-ground operations cloud. Toyota-Connect and Hino-Connect deliver transformative benefits to enterprise customers, encompassing system integration and connectivity, customer service and delivery management, fleet safety and administration, risk mitigation and eco efficiency.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Karooooo management will host a </w:t>
      </w:r>
      <w:r>
        <w:rPr>
          <w:rFonts w:ascii="Times New Roman" w:cs="Times New Roman" w:eastAsia="Times New Roman" w:hAnsi="Times New Roman"/>
          <w:sz w:val="18"/>
          <w:szCs w:val="18"/>
          <w:b w:val="1"/>
          <w:bCs w:val="1"/>
          <w:color w:val="auto"/>
        </w:rPr>
        <w:t>Zoom webinar on Thursday, July 28, 2022</w:t>
      </w:r>
      <w:r>
        <w:rPr>
          <w:rFonts w:ascii="Times New Roman" w:cs="Times New Roman" w:eastAsia="Times New Roman" w:hAnsi="Times New Roman"/>
          <w:sz w:val="18"/>
          <w:szCs w:val="18"/>
          <w:color w:val="auto"/>
        </w:rPr>
        <w:t xml:space="preserve"> at 08:00 a.m. Eastern Time (02:00 p.m. South African time; 08:00 p.m.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https://us02web.zoom.us/j/89199117604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891 9911 7604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1,575,000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900"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1880" w:space="720"/>
            <w:col w:w="8640"/>
          </w:cols>
          <w:pgMar w:left="320" w:top="900" w:right="3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(Rand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801,437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626,193</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(271,551)</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(182,341)</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529,886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4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(313,133)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(276,513)</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31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(95,959)</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(88,693)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4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(155,189)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(128,675)</w:t>
            </w: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(41,541)</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(32,741)</w:t>
            </w:r>
          </w:p>
        </w:tc>
        <w:tc>
          <w:tcPr>
            <w:tcW w:w="0" w:type="dxa"/>
            <w:vAlign w:val="bottom"/>
          </w:tcPr>
          <w:p>
            <w:pPr>
              <w:spacing w:after="0"/>
              <w:rPr>
                <w:sz w:val="1"/>
                <w:szCs w:val="1"/>
                <w:color w:val="auto"/>
              </w:rPr>
            </w:pPr>
          </w:p>
        </w:tc>
      </w:tr>
      <w:tr>
        <w:trPr>
          <w:trHeight w:val="24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4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(20,444)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(26,404)</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31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217,490</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168,124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costs (“IPO”)</w:t>
            </w:r>
          </w:p>
        </w:tc>
        <w:tc>
          <w:tcPr>
            <w:tcW w:w="4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4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(3,619)</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31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216,713</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3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(60,374)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(48,742)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3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0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156,339</w:t>
            </w: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107,915</w:t>
            </w:r>
          </w:p>
        </w:tc>
        <w:tc>
          <w:tcPr>
            <w:tcW w:w="0" w:type="dxa"/>
            <w:vAlign w:val="bottom"/>
          </w:tcPr>
          <w:p>
            <w:pPr>
              <w:spacing w:after="0"/>
              <w:rPr>
                <w:sz w:val="1"/>
                <w:szCs w:val="1"/>
                <w:color w:val="auto"/>
              </w:rPr>
            </w:pPr>
          </w:p>
        </w:tc>
      </w:tr>
      <w:tr>
        <w:trPr>
          <w:trHeight w:val="216"/>
        </w:trPr>
        <w:tc>
          <w:tcPr>
            <w:tcW w:w="550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4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153,533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88,275</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19,640</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156,339</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4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Earnings per share </w:t>
            </w:r>
            <w:r>
              <w:rPr>
                <w:rFonts w:ascii="Times New Roman" w:cs="Times New Roman" w:eastAsia="Times New Roman" w:hAnsi="Times New Roman"/>
                <w:sz w:val="18"/>
                <w:szCs w:val="18"/>
                <w:color w:val="auto"/>
              </w:rPr>
              <w:t>(a non-IFRS measure)</w:t>
            </w:r>
          </w:p>
        </w:tc>
        <w:tc>
          <w:tcPr>
            <w:tcW w:w="3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Basic and diluted earnings per share (ZAR) (a non-IFRS measure)</w:t>
            </w:r>
          </w:p>
        </w:tc>
        <w:tc>
          <w:tcPr>
            <w:tcW w:w="4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655"/>
        </w:trPr>
        <w:tc>
          <w:tcPr>
            <w:tcW w:w="55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RECONCILIATION OF PROFIT TO ADJUSTED PROFIT (A NON-IFRS MEASURE)</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(Rand Thousands)</w:t>
      </w:r>
    </w:p>
    <w:p>
      <w:pPr>
        <w:spacing w:after="0" w:line="31"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156,339</w:t>
      </w:r>
      <w:r>
        <w:rPr>
          <w:sz w:val="20"/>
          <w:szCs w:val="20"/>
          <w:color w:val="auto"/>
        </w:rPr>
        <w:tab/>
      </w:r>
      <w:r>
        <w:rPr>
          <w:rFonts w:ascii="Times New Roman" w:cs="Times New Roman" w:eastAsia="Times New Roman" w:hAnsi="Times New Roman"/>
          <w:sz w:val="18"/>
          <w:szCs w:val="18"/>
          <w:color w:val="auto"/>
        </w:rPr>
        <w:t>107,915</w:t>
      </w:r>
    </w:p>
    <w:p>
      <w:pPr>
        <w:spacing w:after="0" w:line="9" w:lineRule="exact"/>
        <w:rPr>
          <w:sz w:val="20"/>
          <w:szCs w:val="20"/>
          <w:color w:val="auto"/>
        </w:rPr>
      </w:pPr>
    </w:p>
    <w:p>
      <w:pPr>
        <w:ind w:left="1580" w:hanging="891"/>
        <w:spacing w:after="0"/>
        <w:tabs>
          <w:tab w:leader="none" w:pos="1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10,288</w:t>
      </w:r>
    </w:p>
    <w:p>
      <w:pPr>
        <w:spacing w:after="0" w:line="58"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156,339</w:t>
      </w:r>
      <w:r>
        <w:rPr>
          <w:rFonts w:ascii="Times New Roman" w:cs="Times New Roman" w:eastAsia="Times New Roman" w:hAnsi="Times New Roman"/>
          <w:sz w:val="17"/>
          <w:szCs w:val="17"/>
          <w:color w:val="auto"/>
        </w:rPr>
        <w:t>118,203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080"/>
          </w:cols>
          <w:pgMar w:left="320" w:top="900" w:right="439" w:bottom="1440" w:gutter="0" w:footer="0" w:header="0"/>
          <w:type w:val="continuous"/>
        </w:sect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1,446,310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1,390,659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1,164,674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238,128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231,537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75,186</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77,031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57,389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190,124</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186,384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127,694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19,400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9,333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9,722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1,359</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60,242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58,383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44,191</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2,040,082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49,629</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25,369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330,704</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333,886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7,532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15,305</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15,305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854,222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731,748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553,584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1,257,392</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1,115,126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882,231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3,297,474</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3,089,601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2,520,615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7,142,853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7,142,853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Capital reserve</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(3,587,640)</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(3,587,640)</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(3,587,059)</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50,880</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(44,212)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1,430,056</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1,276,523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900,205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2,326,913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26,558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22,905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18,057</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2,353,471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46,694</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71,194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69,963</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64,784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69,914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107,836</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108,256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73,921</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57,242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47,063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39,020</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281,735</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291,297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192,525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19,812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18,156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275,682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281,866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297,646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1,608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2,134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51,262</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47,294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36,677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228,823</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218,148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83,932</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40,918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67,039</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1,148</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662,268</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624,123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607,482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944,003</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915,420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3,297,474</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3,089,601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2,520,615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left="340" w:hanging="332"/>
        <w:spacing w:after="0" w:line="267" w:lineRule="auto"/>
        <w:tabs>
          <w:tab w:leader="none" w:pos="3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05"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312" w:gutter="0" w:footer="0" w:header="0"/>
        </w:sectPr>
      </w:pPr>
    </w:p>
    <w:bookmarkStart w:id="15" w:name="page16"/>
    <w:bookmarkEnd w:id="15"/>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8"/>
          <w:szCs w:val="18"/>
          <w:color w:val="auto"/>
        </w:rPr>
        <w:t>Net cash flows (utilized by)/from financing activities</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and cash equivalents movements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7"/>
          <w:szCs w:val="17"/>
          <w:b w:val="1"/>
          <w:bCs w:val="1"/>
          <w:color w:val="auto"/>
        </w:rPr>
        <w:t>RECONCILIATION OF FREE CASH FLOW (A NON-IFRS MEASURE)</w:t>
      </w:r>
    </w:p>
    <w:p>
      <w:pPr>
        <w:spacing w:after="0" w:line="21"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purchase of property, plant and equipment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(Rand Thousands)</w:t>
      </w:r>
    </w:p>
    <w:p>
      <w:pPr>
        <w:spacing w:after="0" w:line="31"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318,992</w:t>
      </w:r>
      <w:r>
        <w:rPr>
          <w:sz w:val="20"/>
          <w:szCs w:val="20"/>
          <w:color w:val="auto"/>
        </w:rPr>
        <w:tab/>
      </w:r>
      <w:r>
        <w:rPr>
          <w:rFonts w:ascii="Times New Roman" w:cs="Times New Roman" w:eastAsia="Times New Roman" w:hAnsi="Times New Roman"/>
          <w:sz w:val="18"/>
          <w:szCs w:val="18"/>
          <w:color w:val="auto"/>
        </w:rPr>
        <w:t>273,026</w:t>
      </w:r>
    </w:p>
    <w:p>
      <w:pPr>
        <w:spacing w:after="0" w:line="9" w:lineRule="exact"/>
        <w:rPr>
          <w:sz w:val="20"/>
          <w:szCs w:val="20"/>
          <w:color w:val="auto"/>
        </w:rPr>
      </w:pPr>
    </w:p>
    <w:p>
      <w:pPr>
        <w:ind w:left="100"/>
        <w:spacing w:after="0"/>
        <w:tabs>
          <w:tab w:leader="none" w:pos="1400" w:val="left"/>
        </w:tabs>
        <w:rPr>
          <w:sz w:val="20"/>
          <w:szCs w:val="20"/>
          <w:color w:val="auto"/>
        </w:rPr>
      </w:pPr>
      <w:r>
        <w:rPr>
          <w:rFonts w:ascii="Times New Roman" w:cs="Times New Roman" w:eastAsia="Times New Roman" w:hAnsi="Times New Roman"/>
          <w:sz w:val="18"/>
          <w:szCs w:val="18"/>
          <w:color w:val="auto"/>
        </w:rPr>
        <w:t>(168,517)</w:t>
      </w:r>
      <w:r>
        <w:rPr>
          <w:sz w:val="20"/>
          <w:szCs w:val="20"/>
          <w:color w:val="auto"/>
        </w:rPr>
        <w:tab/>
      </w:r>
      <w:r>
        <w:rPr>
          <w:rFonts w:ascii="Times New Roman" w:cs="Times New Roman" w:eastAsia="Times New Roman" w:hAnsi="Times New Roman"/>
          <w:sz w:val="18"/>
          <w:szCs w:val="18"/>
          <w:color w:val="auto"/>
        </w:rPr>
        <w:t>(127,030)</w:t>
      </w:r>
    </w:p>
    <w:p>
      <w:pPr>
        <w:spacing w:after="0" w:line="31" w:lineRule="exact"/>
        <w:rPr>
          <w:sz w:val="20"/>
          <w:szCs w:val="20"/>
          <w:color w:val="auto"/>
        </w:rPr>
      </w:pPr>
    </w:p>
    <w:p>
      <w:pPr>
        <w:ind w:left="200"/>
        <w:spacing w:after="0"/>
        <w:tabs>
          <w:tab w:leader="none" w:pos="1460" w:val="left"/>
        </w:tabs>
        <w:rPr>
          <w:sz w:val="20"/>
          <w:szCs w:val="20"/>
          <w:color w:val="auto"/>
        </w:rPr>
      </w:pPr>
      <w:r>
        <w:rPr>
          <w:rFonts w:ascii="Times New Roman" w:cs="Times New Roman" w:eastAsia="Times New Roman" w:hAnsi="Times New Roman"/>
          <w:sz w:val="18"/>
          <w:szCs w:val="18"/>
          <w:color w:val="auto"/>
        </w:rPr>
        <w:t>(36,003)</w:t>
      </w:r>
      <w:r>
        <w:rPr>
          <w:sz w:val="20"/>
          <w:szCs w:val="20"/>
          <w:color w:val="auto"/>
        </w:rPr>
        <w:tab/>
      </w:r>
      <w:r>
        <w:rPr>
          <w:rFonts w:ascii="Times New Roman" w:cs="Times New Roman" w:eastAsia="Times New Roman" w:hAnsi="Times New Roman"/>
          <w:sz w:val="18"/>
          <w:szCs w:val="18"/>
          <w:color w:val="auto"/>
        </w:rPr>
        <w:t>357,758</w:t>
      </w:r>
    </w:p>
    <w:p>
      <w:pPr>
        <w:spacing w:after="0" w:line="50"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18"/>
          <w:szCs w:val="18"/>
          <w:color w:val="auto"/>
        </w:rPr>
        <w:t>114,472</w:t>
      </w:r>
      <w:r>
        <w:rPr>
          <w:sz w:val="20"/>
          <w:szCs w:val="20"/>
          <w:color w:val="auto"/>
        </w:rPr>
        <w:tab/>
      </w:r>
      <w:r>
        <w:rPr>
          <w:rFonts w:ascii="Times New Roman" w:cs="Times New Roman" w:eastAsia="Times New Roman" w:hAnsi="Times New Roman"/>
          <w:sz w:val="18"/>
          <w:szCs w:val="18"/>
          <w:color w:val="auto"/>
        </w:rPr>
        <w:t>503,754</w:t>
      </w:r>
    </w:p>
    <w:p>
      <w:pPr>
        <w:spacing w:after="0" w:line="27"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8"/>
          <w:szCs w:val="18"/>
          <w:color w:val="auto"/>
        </w:rPr>
        <w:t>718,026</w:t>
      </w:r>
      <w:r>
        <w:rPr>
          <w:sz w:val="20"/>
          <w:szCs w:val="20"/>
          <w:color w:val="auto"/>
        </w:rPr>
        <w:tab/>
      </w:r>
      <w:r>
        <w:rPr>
          <w:rFonts w:ascii="Times New Roman" w:cs="Times New Roman" w:eastAsia="Times New Roman" w:hAnsi="Times New Roman"/>
          <w:sz w:val="18"/>
          <w:szCs w:val="18"/>
          <w:color w:val="auto"/>
        </w:rPr>
        <w:t>76,098</w:t>
      </w:r>
    </w:p>
    <w:p>
      <w:pPr>
        <w:spacing w:after="0" w:line="9" w:lineRule="exact"/>
        <w:rPr>
          <w:sz w:val="20"/>
          <w:szCs w:val="20"/>
          <w:color w:val="auto"/>
        </w:rPr>
      </w:pPr>
    </w:p>
    <w:p>
      <w:pPr>
        <w:jc w:val="both"/>
        <w:ind w:left="260"/>
        <w:spacing w:after="0"/>
        <w:tabs>
          <w:tab w:leader="none" w:pos="1500" w:val="left"/>
        </w:tabs>
        <w:rPr>
          <w:sz w:val="20"/>
          <w:szCs w:val="20"/>
          <w:color w:val="auto"/>
        </w:rPr>
      </w:pPr>
      <w:r>
        <w:rPr>
          <w:rFonts w:ascii="Times New Roman" w:cs="Times New Roman" w:eastAsia="Times New Roman" w:hAnsi="Times New Roman"/>
          <w:sz w:val="18"/>
          <w:szCs w:val="18"/>
          <w:color w:val="auto"/>
        </w:rPr>
        <w:t>21,723</w:t>
      </w:r>
      <w:r>
        <w:rPr>
          <w:sz w:val="20"/>
          <w:szCs w:val="20"/>
          <w:color w:val="auto"/>
        </w:rPr>
        <w:tab/>
      </w:r>
      <w:r>
        <w:rPr>
          <w:rFonts w:ascii="Times New Roman" w:cs="Times New Roman" w:eastAsia="Times New Roman" w:hAnsi="Times New Roman"/>
          <w:sz w:val="18"/>
          <w:szCs w:val="18"/>
          <w:color w:val="auto"/>
        </w:rPr>
        <w:t>(26,268)</w:t>
      </w:r>
    </w:p>
    <w:p>
      <w:pPr>
        <w:spacing w:after="0" w:line="58"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854,221</w:t>
      </w:r>
      <w:r>
        <w:rPr>
          <w:sz w:val="20"/>
          <w:szCs w:val="20"/>
          <w:color w:val="auto"/>
        </w:rPr>
        <w:tab/>
      </w:r>
      <w:r>
        <w:rPr>
          <w:rFonts w:ascii="Times New Roman" w:cs="Times New Roman" w:eastAsia="Times New Roman" w:hAnsi="Times New Roman"/>
          <w:sz w:val="18"/>
          <w:szCs w:val="18"/>
          <w:color w:val="auto"/>
        </w:rPr>
        <w:t>553,584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(Rand Thousands)</w:t>
      </w:r>
    </w:p>
    <w:p>
      <w:pPr>
        <w:spacing w:after="0" w:line="31"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318,992</w:t>
      </w:r>
      <w:r>
        <w:rPr>
          <w:sz w:val="20"/>
          <w:szCs w:val="20"/>
          <w:color w:val="auto"/>
        </w:rPr>
        <w:tab/>
      </w:r>
      <w:r>
        <w:rPr>
          <w:rFonts w:ascii="Times New Roman" w:cs="Times New Roman" w:eastAsia="Times New Roman" w:hAnsi="Times New Roman"/>
          <w:sz w:val="18"/>
          <w:szCs w:val="18"/>
          <w:color w:val="auto"/>
        </w:rPr>
        <w:t>273,026</w:t>
      </w:r>
    </w:p>
    <w:p>
      <w:pPr>
        <w:spacing w:after="0" w:line="9" w:lineRule="exact"/>
        <w:rPr>
          <w:sz w:val="20"/>
          <w:szCs w:val="20"/>
          <w:color w:val="auto"/>
        </w:rPr>
      </w:pPr>
    </w:p>
    <w:p>
      <w:pPr>
        <w:ind w:left="100"/>
        <w:spacing w:after="0"/>
        <w:tabs>
          <w:tab w:leader="none" w:pos="1420" w:val="left"/>
        </w:tabs>
        <w:rPr>
          <w:sz w:val="20"/>
          <w:szCs w:val="20"/>
          <w:color w:val="auto"/>
        </w:rPr>
      </w:pPr>
      <w:r>
        <w:rPr>
          <w:rFonts w:ascii="Times New Roman" w:cs="Times New Roman" w:eastAsia="Times New Roman" w:hAnsi="Times New Roman"/>
          <w:sz w:val="18"/>
          <w:szCs w:val="18"/>
          <w:color w:val="auto"/>
        </w:rPr>
        <w:t>(161,728)</w:t>
      </w:r>
      <w:r>
        <w:rPr>
          <w:sz w:val="20"/>
          <w:szCs w:val="20"/>
          <w:color w:val="auto"/>
        </w:rPr>
        <w:tab/>
      </w:r>
      <w:r>
        <w:rPr>
          <w:rFonts w:ascii="Times New Roman" w:cs="Times New Roman" w:eastAsia="Times New Roman" w:hAnsi="Times New Roman"/>
          <w:sz w:val="17"/>
          <w:szCs w:val="17"/>
          <w:color w:val="auto"/>
        </w:rPr>
        <w:t>(118,163)</w:t>
      </w:r>
    </w:p>
    <w:p>
      <w:pPr>
        <w:spacing w:after="0" w:line="58"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157,264</w:t>
      </w:r>
      <w:r>
        <w:rPr>
          <w:sz w:val="20"/>
          <w:szCs w:val="20"/>
          <w:color w:val="auto"/>
        </w:rPr>
        <w:tab/>
      </w:r>
      <w:r>
        <w:rPr>
          <w:rFonts w:ascii="Times New Roman" w:cs="Times New Roman" w:eastAsia="Times New Roman" w:hAnsi="Times New Roman"/>
          <w:sz w:val="18"/>
          <w:szCs w:val="18"/>
          <w:color w:val="auto"/>
        </w:rPr>
        <w:t>154,863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580"/>
            <w:col w:w="2180"/>
          </w:cols>
          <w:pgMar w:left="320" w:top="900" w:right="339" w:bottom="1440" w:gutter="0" w:footer="0" w:header="0"/>
        </w:sectPr>
      </w:pP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4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156,339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107,915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60,374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48,742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136,254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107,005</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IPO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353,744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275,129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RECONCILIATION OF BASIC AND DILUTED EARNINGS AND ADJUSTED EARNINGS PER SHARE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NON-IFRS MEASURE)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Reconciliation between basic earnings and adjusted earnings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IPO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profit attributable to ordinary shareholders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7"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 which the per share figures have been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basic and diluted earnings per share </w:t>
      </w:r>
      <w:r>
        <w:rPr>
          <w:rFonts w:ascii="Times New Roman" w:cs="Times New Roman" w:eastAsia="Times New Roman" w:hAnsi="Times New Roman"/>
          <w:sz w:val="18"/>
          <w:szCs w:val="18"/>
          <w:color w:val="auto"/>
        </w:rPr>
        <w:t>(a non-IFRS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CONSTANT CURRENCY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(Rand Thousands)</w:t>
      </w:r>
    </w:p>
    <w:p>
      <w:pPr>
        <w:spacing w:after="0" w:line="229" w:lineRule="exact"/>
        <w:rPr>
          <w:sz w:val="20"/>
          <w:szCs w:val="20"/>
          <w:color w:val="auto"/>
        </w:rPr>
      </w:pPr>
    </w:p>
    <w:p>
      <w:pPr>
        <w:ind w:left="160"/>
        <w:spacing w:after="0"/>
        <w:tabs>
          <w:tab w:leader="none" w:pos="1560" w:val="left"/>
        </w:tabs>
        <w:rPr>
          <w:sz w:val="20"/>
          <w:szCs w:val="20"/>
          <w:color w:val="auto"/>
        </w:rPr>
      </w:pPr>
      <w:r>
        <w:rPr>
          <w:rFonts w:ascii="Times New Roman" w:cs="Times New Roman" w:eastAsia="Times New Roman" w:hAnsi="Times New Roman"/>
          <w:sz w:val="18"/>
          <w:szCs w:val="18"/>
          <w:color w:val="auto"/>
        </w:rPr>
        <w:t>153,533</w:t>
      </w:r>
      <w:r>
        <w:rPr>
          <w:sz w:val="20"/>
          <w:szCs w:val="20"/>
          <w:color w:val="auto"/>
        </w:rPr>
        <w:tab/>
      </w:r>
      <w:r>
        <w:rPr>
          <w:rFonts w:ascii="Times New Roman" w:cs="Times New Roman" w:eastAsia="Times New Roman" w:hAnsi="Times New Roman"/>
          <w:sz w:val="18"/>
          <w:szCs w:val="18"/>
          <w:color w:val="auto"/>
        </w:rPr>
        <w:t>88,275</w:t>
      </w:r>
    </w:p>
    <w:p>
      <w:pPr>
        <w:spacing w:after="0" w:line="239" w:lineRule="exact"/>
        <w:rPr>
          <w:sz w:val="20"/>
          <w:szCs w:val="20"/>
          <w:color w:val="auto"/>
        </w:rPr>
      </w:pPr>
    </w:p>
    <w:p>
      <w:pPr>
        <w:ind w:left="1580" w:hanging="891"/>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10,288</w:t>
      </w:r>
    </w:p>
    <w:p>
      <w:pPr>
        <w:spacing w:after="0" w:line="63"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153,53398,563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15601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260"/>
        <w:spacing w:after="0"/>
        <w:tabs>
          <w:tab w:leader="none" w:pos="1560" w:val="left"/>
        </w:tabs>
        <w:rPr>
          <w:sz w:val="20"/>
          <w:szCs w:val="20"/>
          <w:color w:val="auto"/>
        </w:rPr>
      </w:pPr>
      <w:r>
        <w:rPr>
          <w:rFonts w:ascii="Times New Roman" w:cs="Times New Roman" w:eastAsia="Times New Roman" w:hAnsi="Times New Roman"/>
          <w:sz w:val="18"/>
          <w:szCs w:val="18"/>
          <w:color w:val="auto"/>
        </w:rPr>
        <w:t>30,951</w:t>
      </w:r>
      <w:r>
        <w:rPr>
          <w:sz w:val="20"/>
          <w:szCs w:val="20"/>
          <w:color w:val="auto"/>
        </w:rPr>
        <w:tab/>
      </w:r>
      <w:r>
        <w:rPr>
          <w:rFonts w:ascii="Times New Roman" w:cs="Times New Roman" w:eastAsia="Times New Roman" w:hAnsi="Times New Roman"/>
          <w:sz w:val="18"/>
          <w:szCs w:val="18"/>
          <w:color w:val="auto"/>
        </w:rPr>
        <w:t>25,305</w:t>
      </w:r>
    </w:p>
    <w:p>
      <w:pPr>
        <w:spacing w:after="0" w:line="225" w:lineRule="exact"/>
        <w:rPr>
          <w:sz w:val="20"/>
          <w:szCs w:val="20"/>
          <w:color w:val="auto"/>
        </w:rPr>
      </w:pPr>
    </w:p>
    <w:p>
      <w:pPr>
        <w:jc w:val="right"/>
        <w:ind w:right="100"/>
        <w:spacing w:after="0"/>
        <w:tabs>
          <w:tab w:leader="none" w:pos="300" w:val="left"/>
        </w:tabs>
        <w:rPr>
          <w:sz w:val="20"/>
          <w:szCs w:val="20"/>
          <w:color w:val="auto"/>
        </w:rPr>
      </w:pPr>
      <w:r>
        <w:rPr>
          <w:rFonts w:ascii="Times New Roman" w:cs="Times New Roman" w:eastAsia="Times New Roman" w:hAnsi="Times New Roman"/>
          <w:sz w:val="18"/>
          <w:szCs w:val="18"/>
          <w:color w:val="auto"/>
        </w:rPr>
        <w:t>4.96</w:t>
      </w:r>
      <w:r>
        <w:rPr>
          <w:sz w:val="20"/>
          <w:szCs w:val="20"/>
          <w:color w:val="auto"/>
        </w:rPr>
        <w:tab/>
      </w:r>
      <w:r>
        <w:rPr>
          <w:rFonts w:ascii="Times New Roman" w:cs="Times New Roman" w:eastAsia="Times New Roman" w:hAnsi="Times New Roman"/>
          <w:sz w:val="18"/>
          <w:szCs w:val="18"/>
          <w:color w:val="auto"/>
        </w:rPr>
        <w:t>3.49</w:t>
      </w:r>
    </w:p>
    <w:p>
      <w:pPr>
        <w:spacing w:after="0" w:line="225" w:lineRule="exact"/>
        <w:rPr>
          <w:sz w:val="20"/>
          <w:szCs w:val="20"/>
          <w:color w:val="auto"/>
        </w:rPr>
      </w:pPr>
    </w:p>
    <w:p>
      <w:pPr>
        <w:jc w:val="right"/>
        <w:ind w:right="100"/>
        <w:spacing w:after="0"/>
        <w:tabs>
          <w:tab w:leader="none" w:pos="300" w:val="left"/>
        </w:tabs>
        <w:rPr>
          <w:sz w:val="20"/>
          <w:szCs w:val="20"/>
          <w:color w:val="auto"/>
        </w:rPr>
      </w:pPr>
      <w:r>
        <w:rPr>
          <w:rFonts w:ascii="Times New Roman" w:cs="Times New Roman" w:eastAsia="Times New Roman" w:hAnsi="Times New Roman"/>
          <w:sz w:val="18"/>
          <w:szCs w:val="18"/>
          <w:color w:val="auto"/>
        </w:rPr>
        <w:t>4.96</w:t>
      </w:r>
      <w:r>
        <w:rPr>
          <w:sz w:val="20"/>
          <w:szCs w:val="20"/>
          <w:color w:val="auto"/>
        </w:rPr>
        <w:tab/>
      </w:r>
      <w:r>
        <w:rPr>
          <w:rFonts w:ascii="Times New Roman" w:cs="Times New Roman" w:eastAsia="Times New Roman" w:hAnsi="Times New Roman"/>
          <w:sz w:val="18"/>
          <w:szCs w:val="18"/>
          <w:color w:val="auto"/>
        </w:rPr>
        <w:t>3.90</w:t>
      </w:r>
    </w:p>
    <w:p>
      <w:pPr>
        <w:spacing w:after="0" w:line="627" w:lineRule="exact"/>
        <w:rPr>
          <w:sz w:val="20"/>
          <w:szCs w:val="20"/>
          <w:color w:val="auto"/>
        </w:rPr>
      </w:pPr>
    </w:p>
    <w:p>
      <w:pPr>
        <w:sectPr>
          <w:pgSz w:w="11900" w:h="16838" w:orient="portrait"/>
          <w:cols w:equalWidth="0" w:num="2">
            <w:col w:w="8540" w:space="520"/>
            <w:col w:w="2180"/>
          </w:cols>
          <w:pgMar w:left="320" w:top="900"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31,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ended May 31, 2021, using the average of the monthly exchange rates applicable to that period. The measurement has been performed for each of the Group’s operating currencies.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May 31,</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708,903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605,866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710,871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605,866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392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May 31,</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on-Quarter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801,437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626,193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803,625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626,193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profit (a non-IFRS measure), is defined as, profit after tax defined by IFRS excluding the impact of non-recurring operational expenses relating to IPO costs of ZAR36 million expensed (ZAR26 million in the fourth quarter of 2021 and ZAR10 million in the first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non-recurring operational expenses relating to IPO costs of ZAR36 million expensed (ZAR26 million in the fourth quarter of 2021 and ZAR10 million in the first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once-off IPO costs.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Picup Technologies (Pty) Ltd </w:t>
      </w:r>
      <w:r>
        <w:rPr>
          <w:rFonts w:ascii="Times New Roman" w:cs="Times New Roman" w:eastAsia="Times New Roman" w:hAnsi="Times New Roman"/>
          <w:sz w:val="18"/>
          <w:szCs w:val="18"/>
          <w:color w:val="auto"/>
        </w:rPr>
        <w:t>(“Picup”)</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strategically acquired 70.1% of Picup in September 2021 and Picup was subsequently re-branded and re-named as Karooooo Logistics, given the consolidation of platforms.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40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operating margin for a period of 12-months sum to greater than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our long 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09,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2022-07-27T16:01:34Z</dcterms:created>
  <dcterms:modified xsi:type="dcterms:W3CDTF">2022-07-27T16:01:34Z</dcterms:modified>
</cp:coreProperties>
</file>