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8094-6k_karooooo.htm"/>
      <w:bookmarkStart w:id="1" w:name="ksea02980946k_karooooo"/>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Harbourfront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Keppel Bay Tower #14-07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098632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+65 6255 4151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87"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545"/>
        <w:gridCol w:w="2270"/>
      </w:tblGrid>
      <w:tr>
        <w:trPr/>
        <w:tc>
          <w:tcPr>
            <w:tcW w:w="75" w:type="dxa"/>
            <w:tcBorders/>
            <w:vAlign w:val="center"/>
          </w:tcPr>
          <w:p>
            <w:pPr>
              <w:pStyle w:val="TableContents"/>
              <w:bidi w:val="0"/>
              <w:spacing w:before="0" w:after="283"/>
              <w:jc w:val="left"/>
              <w:rPr/>
            </w:pPr>
            <w:r>
              <w:rPr/>
              <w:t> </w:t>
            </w:r>
          </w:p>
        </w:tc>
        <w:tc>
          <w:tcPr>
            <w:tcW w:w="2815" w:type="dxa"/>
            <w:gridSpan w:val="2"/>
            <w:tcBorders/>
            <w:vAlign w:val="center"/>
          </w:tcPr>
          <w:p>
            <w:pPr>
              <w:pStyle w:val="TableContents"/>
              <w:bidi w:val="0"/>
              <w:spacing w:before="0" w:after="283"/>
              <w:jc w:val="left"/>
              <w:rPr>
                <w:b/>
                <w:sz w:val="20"/>
              </w:rPr>
            </w:pPr>
            <w:r>
              <w:rPr>
                <w:b/>
                <w:sz w:val="20"/>
              </w:rPr>
              <w:t>Karooooo Ltd.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2270"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Isaias (Zak) Jose Calisto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270" w:type="dxa"/>
            <w:tcBorders/>
            <w:vAlign w:val="center"/>
          </w:tcPr>
          <w:p>
            <w:pPr>
              <w:pStyle w:val="TableContents"/>
              <w:bidi w:val="0"/>
              <w:spacing w:before="0" w:after="283"/>
              <w:jc w:val="left"/>
              <w:rPr>
                <w:sz w:val="20"/>
              </w:rPr>
            </w:pPr>
            <w:r>
              <w:rPr>
                <w:sz w:val="20"/>
              </w:rPr>
              <w:t xml:space="preserve">Isaias (Zak) Jose Calisto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27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15, 2026</w:t>
      </w:r>
    </w:p>
    <w:p>
      <w:pPr>
        <w:pStyle w:val="TextBody"/>
        <w:bidi w:val="0"/>
        <w:spacing w:before="0" w:after="0"/>
        <w:ind w:left="274"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287"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28" w:type="dxa"/>
          <w:right w:w="0" w:type="dxa"/>
        </w:tblCellMar>
      </w:tblPr>
      <w:tblGrid>
        <w:gridCol w:w="995"/>
        <w:gridCol w:w="60"/>
        <w:gridCol w:w="8855"/>
      </w:tblGrid>
      <w:tr>
        <w:trPr/>
        <w:tc>
          <w:tcPr>
            <w:tcW w:w="995" w:type="dxa"/>
            <w:tcBorders>
              <w:bottom w:val="single" w:sz="12" w:space="0" w:color="000000"/>
            </w:tcBorders>
            <w:vAlign w:val="center"/>
          </w:tcPr>
          <w:p>
            <w:pPr>
              <w:pStyle w:val="TableContents"/>
              <w:bidi w:val="0"/>
              <w:spacing w:before="0" w:after="283"/>
              <w:ind w:left="0" w:right="0" w:hanging="0"/>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855"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Description                       </w:t>
            </w:r>
          </w:p>
        </w:tc>
      </w:tr>
      <w:tr>
        <w:trPr/>
        <w:tc>
          <w:tcPr>
            <w:tcW w:w="995" w:type="dxa"/>
            <w:tcBorders/>
            <w:shd w:fill="CCEEFF" w:val="clear"/>
            <w:tcMar>
              <w:bottom w:w="0" w:type="dxa"/>
            </w:tcMar>
            <w:vAlign w:val="center"/>
          </w:tcPr>
          <w:p>
            <w:pPr>
              <w:pStyle w:val="TableContents"/>
              <w:bidi w:val="0"/>
              <w:spacing w:before="0" w:after="283"/>
              <w:ind w:left="0" w:right="0" w:hanging="0"/>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855" w:type="dxa"/>
            <w:tcBorders/>
            <w:shd w:fill="CCEEFF" w:val="clear"/>
            <w:tcMar>
              <w:bottom w:w="0" w:type="dxa"/>
            </w:tcMar>
            <w:vAlign w:val="center"/>
          </w:tcPr>
          <w:p>
            <w:pPr>
              <w:pStyle w:val="TableContents"/>
              <w:bidi w:val="0"/>
              <w:spacing w:before="0" w:after="283"/>
              <w:jc w:val="left"/>
              <w:rPr/>
            </w:pPr>
            <w:hyperlink w:anchor="ea029809401ex99-1.htm">
              <w:r>
                <w:rPr>
                  <w:rStyle w:val="InternetLink"/>
                  <w:sz w:val="20"/>
                </w:rPr>
                <w:t>Press release dated July 15, 2026 - Karooooo Ltd. Announces First Quarter 2027 Unaudited Financial Results</w:t>
              </w:r>
            </w:hyperlink>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2" w:name="ea029809401ex99-1.htm"/>
      <w:bookmarkStart w:id="3" w:name="ksea029809401ex991"/>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drawing>
          <wp:inline distT="0" distB="0" distL="0" distR="0">
            <wp:extent cx="8858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85825" cy="504825"/>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Q1 Cartrack Subscription Revenue accelerated to 19% Y/Y reaching ZAR1,351 million and 21% in constant currency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Q1 ARR accelerated to 19% Y/Y reaching ZAR5,432 million and 32% in USD equivalent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Karooooo delivered record operating profit of ZAR410 million despite FX headwinds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Cartrack Subscriber growth accelerated to 18% with subscribers surpassing 2.8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Net subscriber additions increased 70% to a record 142,472; South Africa net subscriber additions increased 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Reaffirming FY27 Outlook: Cartrack Subscription Revenue growth to accelerate, with EPS growth of 21% Y/Y at midpoint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(July 15, 2026) - Karooooo Limited (“Karooooo”) reported strong results for the first quarter (“Q1 2027”) ended May 31, 2026. Karooooo owns 100% of Cartrack and 81% of Karooooo Logistics, (collectively, “the group”).</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FY2027 has commenced with strong, accelerated growth, underpinned by Cartrack constant currency subscription revenue growth of 21% and a record 142,472 net subscriber additions in the quarter.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strengthening ZAR, which negatively impacts contributions from most of the countries in which we operate, subscription revenue and ARR each accelerated to 19%. In constant currency, ARR increased 22% and presented in USD, ARR increased 32%, reaching USD335 million.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innovation continues to deliver the intended outcomes. This year, our focus remains to accelerate growth by growing sales and marketing at a moderate pace while optimizing the strong investment we made in sales capacity during FY2026.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remain optimistic about the opportunities across our regions and believe we are well positioned to build on the momentum established in the first quarter,” said Zak Calisto, Group CEO.</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2027 Financial Overview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(Comparisons are relative to Q1 2026,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SCALE</w:t>
      </w:r>
    </w:p>
    <w:p>
      <w:pPr>
        <w:pStyle w:val="TextBody"/>
        <w:bidi w:val="0"/>
        <w:spacing w:before="0" w:after="0"/>
        <w:ind w:left="360" w:right="0" w:hanging="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70"/>
        <w:gridCol w:w="6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Cartrack subscribers </w:t>
            </w:r>
            <w:r>
              <w:rPr>
                <w:rFonts w:ascii="Times New Roman;Times;Serif" w:hAnsi="Times New Roman;Times;Serif"/>
                <w:sz w:val="20"/>
              </w:rPr>
              <w:t>accelerated to 18% reaching 2,804,694 (Q1 2026: 2,386,249).</w:t>
            </w:r>
          </w:p>
        </w:tc>
      </w:tr>
    </w:tbl>
    <w:p>
      <w:pPr>
        <w:pStyle w:val="TextBody"/>
        <w:bidi w:val="0"/>
        <w:spacing w:before="0" w:after="0"/>
        <w:ind w:left="360" w:right="0" w:hanging="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Net Cartrack subscriber additions </w:t>
            </w:r>
            <w:r>
              <w:rPr>
                <w:rFonts w:ascii="Times New Roman;Times;Serif" w:hAnsi="Times New Roman;Times;Serif"/>
                <w:sz w:val="20"/>
              </w:rPr>
              <w:t>accelerated to 70% reaching a record of 142,472 (Q1 2026: 84,013).</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Karooooo’s subscription revenue</w:t>
            </w:r>
            <w:r>
              <w:rPr>
                <w:rFonts w:ascii="Times New Roman;Times;Serif" w:hAnsi="Times New Roman;Times;Serif"/>
                <w:sz w:val="20"/>
              </w:rPr>
              <w:t xml:space="preserve"> accelerated to 19% reaching ZAR1,354 million (Q1 2026: ZAR1,141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Cartrack’s subscription revenue</w:t>
            </w:r>
            <w:r>
              <w:rPr>
                <w:rFonts w:ascii="Times New Roman;Times;Serif" w:hAnsi="Times New Roman;Times;Serif"/>
                <w:sz w:val="20"/>
              </w:rPr>
              <w:t xml:space="preserve"> accelerated to 19% reaching ZAR1,351 million (Q1 2026: ZAR1,138 million).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b/>
              </w:rPr>
              <w:t>Cartrack’s annualized recurring revenue</w:t>
            </w:r>
            <w:r>
              <w:rPr/>
              <w:t xml:space="preserve"> (“ARR”) accelerated to 19% reaching ZAR5,432 million (Q1 2026: ZAR4,574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rFonts w:ascii="Times New Roman;Times;Serif" w:hAnsi="Times New Roman;Times;Serif"/>
                <w:b/>
                <w:sz w:val="20"/>
              </w:rPr>
              <w:t>Karooooo Logistics’s B2B delivery-as-a-service (“DaaS”) revenue</w:t>
            </w:r>
            <w:r>
              <w:rPr>
                <w:rFonts w:ascii="Times New Roman;Times;Serif" w:hAnsi="Times New Roman;Times;Serif"/>
                <w:sz w:val="20"/>
              </w:rPr>
              <w:t xml:space="preserve"> accelerated to 46% reaching ZAR177 million (Q1 2026: ZAR121 million).</w:t>
            </w:r>
            <w:r>
              <w:rPr/>
              <w:t xml:space="preserve">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Presented in the U.S. Dollar Equivalent</w:t>
      </w:r>
      <w:r>
        <w:rPr>
          <w:rFonts w:ascii="Times New Roman;Times;Serif" w:hAnsi="Times New Roman;Times;Serif"/>
          <w:b/>
          <w:i/>
          <w:caps w:val="false"/>
          <w:smallCaps w:val="false"/>
          <w:position w:val="7"/>
          <w:sz w:val="16"/>
          <w:sz w:val="20"/>
        </w:rPr>
        <w:t>1</w:t>
      </w:r>
    </w:p>
    <w:p>
      <w:pPr>
        <w:pStyle w:val="TextBody"/>
        <w:bidi w:val="0"/>
        <w:spacing w:before="0" w:after="0"/>
        <w:ind w:left="360" w:right="0" w:firstLine="72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Karooooo’s subscription revenue</w:t>
            </w:r>
            <w:r>
              <w:rPr>
                <w:rFonts w:ascii="Times New Roman;Times;Serif" w:hAnsi="Times New Roman;Times;Serif"/>
                <w:sz w:val="20"/>
              </w:rPr>
              <w:t xml:space="preserve"> increased 32% to USD84 million. </w:t>
            </w:r>
          </w:p>
        </w:tc>
      </w:tr>
    </w:tbl>
    <w:p>
      <w:pPr>
        <w:pStyle w:val="TextBody"/>
        <w:bidi w:val="0"/>
        <w:spacing w:before="0" w:after="0"/>
        <w:ind w:left="36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left"/>
              <w:rPr/>
            </w:pPr>
            <w:r>
              <w:rPr>
                <w:b/>
              </w:rPr>
              <w:t>Cartrack’s subscription revenue</w:t>
            </w:r>
            <w:r>
              <w:rPr/>
              <w:t xml:space="preserve"> increased 32% to USD83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left"/>
              <w:rPr/>
            </w:pPr>
            <w:r>
              <w:rPr>
                <w:b/>
              </w:rPr>
              <w:t>Cartrack’s ARR</w:t>
            </w:r>
            <w:r>
              <w:rPr/>
              <w:t xml:space="preserve"> increased 32% to USD335 million.</w:t>
            </w:r>
          </w:p>
        </w:tc>
      </w:tr>
    </w:tbl>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pPr>
            <w:r>
              <w:rPr>
                <w:b/>
              </w:rPr>
              <w:t>Karooooo Logistics’s DaaS</w:t>
            </w:r>
            <w:r>
              <w:rPr/>
              <w:t xml:space="preserve"> revenue increased 63% to USD11 million.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PROFITABILITY</w:t>
      </w:r>
    </w:p>
    <w:p>
      <w:pPr>
        <w:pStyle w:val="TextBody"/>
        <w:bidi w:val="0"/>
        <w:spacing w:before="0" w:after="0"/>
        <w:ind w:left="360" w:right="0" w:hanging="0"/>
        <w:jc w:val="both"/>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Karooooo’s operating profit</w:t>
            </w:r>
            <w:r>
              <w:rPr>
                <w:rFonts w:ascii="Times New Roman;Times;Serif" w:hAnsi="Times New Roman;Times;Serif"/>
                <w:sz w:val="20"/>
              </w:rPr>
              <w:t xml:space="preserve"> increased 16% to a record ZAR410 million (Q1 2026: ZAR352 million).</w:t>
            </w:r>
          </w:p>
        </w:tc>
      </w:tr>
    </w:tbl>
    <w:p>
      <w:pPr>
        <w:pStyle w:val="TextBody"/>
        <w:bidi w:val="0"/>
        <w:spacing w:before="0" w:after="0"/>
        <w:ind w:left="36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70"/>
        <w:gridCol w:w="8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Cartrack’s operating profit</w:t>
            </w:r>
            <w:r>
              <w:rPr>
                <w:rFonts w:ascii="Times New Roman;Times;Serif" w:hAnsi="Times New Roman;Times;Serif"/>
                <w:sz w:val="20"/>
              </w:rPr>
              <w:t xml:space="preserve"> increased 16% to a record ZAR395 million (Q1 2026: ZAR342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Cartrack’s operating profit margin</w:t>
            </w:r>
            <w:r>
              <w:rPr>
                <w:rFonts w:ascii="Times New Roman;Times;Serif" w:hAnsi="Times New Roman;Times;Serif"/>
                <w:sz w:val="20"/>
              </w:rPr>
              <w:t xml:space="preserve"> was 28% (Q1 2026: 30%).</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Karooooo’s adjusted earnings per share</w:t>
            </w:r>
            <w:r>
              <w:rPr>
                <w:rFonts w:ascii="Times New Roman;Times;Serif" w:hAnsi="Times New Roman;Times;Serif"/>
                <w:sz w:val="20"/>
              </w:rPr>
              <w:t xml:space="preserve"> increased 11% to ZAR9.53 (Q1 2026: ZAR8.55).</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i/>
                <w:position w:val="7"/>
                <w:sz w:val="16"/>
                <w:sz w:val="20"/>
              </w:rPr>
            </w:pPr>
            <w:r>
              <w:rPr>
                <w:rFonts w:ascii="Times New Roman;Times;Serif" w:hAnsi="Times New Roman;Times;Serif"/>
                <w:i/>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For convenience purposes only, amounts in South African rand as of May 31, 2026 have been translated to U.S. dollars using an exchange rate of ZAR 16.2088 to U.S.$1.00 (May 31, 2025: ZAR 18.0319), as set forth in the H.10 statistical release of the Board of Governors of the Federal Reserve System. These translations should not be considered representations that any such amounts have been, could have been or could be converted at that or any other exchange 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2027 Financial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Financial Information and Business Metrics</w:t>
      </w:r>
    </w:p>
    <w:p>
      <w:pPr>
        <w:pStyle w:val="TextBody"/>
        <w:bidi w:val="0"/>
        <w:spacing w:before="0" w:after="0"/>
        <w:ind w:left="0" w:right="0" w:hanging="0"/>
        <w:jc w:val="left"/>
        <w:rPr>
          <w:caps w:val="false"/>
          <w:smallCaps w:val="false"/>
        </w:rPr>
      </w:pPr>
      <w:r>
        <w:rPr>
          <w:caps w:val="false"/>
          <w:smallCaps w:val="false"/>
        </w:rPr>
        <w:t> </w:t>
      </w:r>
    </w:p>
    <w:tbl>
      <w:tblPr>
        <w:tblW w:w="11570" w:type="dxa"/>
        <w:jc w:val="left"/>
        <w:tblInd w:w="0" w:type="dxa"/>
        <w:tblLayout w:type="fixed"/>
        <w:tblCellMar>
          <w:top w:w="0" w:type="dxa"/>
          <w:left w:w="0" w:type="dxa"/>
          <w:bottom w:w="0" w:type="dxa"/>
          <w:right w:w="0" w:type="dxa"/>
        </w:tblCellMar>
      </w:tblPr>
      <w:tblGrid>
        <w:gridCol w:w="1220"/>
        <w:gridCol w:w="60"/>
        <w:gridCol w:w="60"/>
        <w:gridCol w:w="980"/>
        <w:gridCol w:w="215"/>
        <w:gridCol w:w="60"/>
        <w:gridCol w:w="60"/>
        <w:gridCol w:w="980"/>
        <w:gridCol w:w="215"/>
        <w:gridCol w:w="60"/>
        <w:gridCol w:w="121"/>
        <w:gridCol w:w="529"/>
        <w:gridCol w:w="260"/>
        <w:gridCol w:w="60"/>
        <w:gridCol w:w="60"/>
        <w:gridCol w:w="875"/>
        <w:gridCol w:w="215"/>
        <w:gridCol w:w="60"/>
        <w:gridCol w:w="60"/>
        <w:gridCol w:w="800"/>
        <w:gridCol w:w="215"/>
        <w:gridCol w:w="60"/>
        <w:gridCol w:w="98"/>
        <w:gridCol w:w="552"/>
        <w:gridCol w:w="260"/>
        <w:gridCol w:w="60"/>
        <w:gridCol w:w="60"/>
        <w:gridCol w:w="980"/>
        <w:gridCol w:w="215"/>
        <w:gridCol w:w="60"/>
        <w:gridCol w:w="60"/>
        <w:gridCol w:w="980"/>
        <w:gridCol w:w="215"/>
        <w:gridCol w:w="60"/>
        <w:gridCol w:w="121"/>
        <w:gridCol w:w="529"/>
        <w:gridCol w:w="95"/>
      </w:tblGrid>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95" w:type="dxa"/>
            <w:gridSpan w:val="34"/>
            <w:tcBorders>
              <w:bottom w:val="single" w:sz="12" w:space="0" w:color="000000"/>
            </w:tcBorders>
            <w:tcMar>
              <w:bottom w:w="28" w:type="dxa"/>
            </w:tcMar>
            <w:vAlign w:val="center"/>
          </w:tcPr>
          <w:p>
            <w:pPr>
              <w:pStyle w:val="TableContents"/>
              <w:bidi w:val="0"/>
              <w:spacing w:before="0" w:after="283"/>
              <w:jc w:val="center"/>
              <w:rPr>
                <w:b/>
              </w:rPr>
            </w:pPr>
            <w:r>
              <w:rPr>
                <w:b/>
              </w:rPr>
              <w:t>Three Months Ended May 31,</w:t>
            </w:r>
          </w:p>
        </w:tc>
        <w:tc>
          <w:tcPr>
            <w:tcW w:w="9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Cartrack</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Karooooo Logistics</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Karooooo Consolidated</w:t>
            </w:r>
          </w:p>
        </w:tc>
        <w:tc>
          <w:tcPr>
            <w:tcW w:w="95" w:type="dxa"/>
            <w:tcBorders/>
            <w:vAlign w:val="center"/>
          </w:tcPr>
          <w:p>
            <w:pPr>
              <w:pStyle w:val="TableContents"/>
              <w:bidi w:val="0"/>
              <w:spacing w:before="0" w:after="283"/>
              <w:jc w:val="left"/>
              <w:rPr/>
            </w:pPr>
            <w:r>
              <w:rPr/>
              <w:t> </w:t>
            </w:r>
          </w:p>
        </w:tc>
      </w:tr>
      <w:tr>
        <w:trPr/>
        <w:tc>
          <w:tcPr>
            <w:tcW w:w="122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Y-o-Y </w:t>
              <w:b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Y-o-Y </w:t>
              <w:br/>
              <w:t>%</w:t>
            </w:r>
          </w:p>
        </w:tc>
        <w:tc>
          <w:tcPr>
            <w:tcW w:w="95" w:type="dxa"/>
            <w:tcBorders/>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pPr>
            <w:r>
              <w:rPr/>
              <w:t>Subscription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1,350,656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1,137,571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3,076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3,488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(12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1,353,732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1,141,059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revenue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36,253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18,337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98</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36,253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18,337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98</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Delivery service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173,962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117,621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48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173,962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117,621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48</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b/>
              </w:rPr>
            </w:pPr>
            <w:r>
              <w:rPr>
                <w:b/>
              </w:rPr>
              <w:t>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1,386,909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1,155,908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177,038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121,109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1,563,947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1,277,017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w:t>
            </w:r>
          </w:p>
        </w:tc>
        <w:tc>
          <w:tcPr>
            <w:tcW w:w="95" w:type="dxa"/>
            <w:tcBorders/>
            <w:shd w:fill="FFFFFF" w:val="clear"/>
            <w:vAlign w:val="center"/>
          </w:tcPr>
          <w:p>
            <w:pPr>
              <w:pStyle w:val="TableContents"/>
              <w:bidi w:val="0"/>
              <w:spacing w:before="0" w:after="283"/>
              <w:ind w:left="0" w:right="0" w:hanging="180"/>
              <w:jc w:val="left"/>
              <w:rPr>
                <w:b/>
              </w:rPr>
            </w:pPr>
            <w:r>
              <w:rPr>
                <w:b/>
              </w:rPr>
              <w:t>%</w:t>
            </w:r>
          </w:p>
        </w:tc>
      </w:tr>
      <w:tr>
        <w:trPr/>
        <w:tc>
          <w:tcPr>
            <w:tcW w:w="1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22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(374,453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(318,304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18</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(120,612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(85,410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41</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(495,065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(403,714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23</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1,012,456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837,604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21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56,426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35,699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58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1,068,882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873,303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pPr>
            <w:r>
              <w:rPr/>
              <w:t>Gross Profit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pPr>
            <w:r>
              <w:rPr/>
              <w:t>Operating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395,052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342,011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14,634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9,783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50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409,686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351,794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pPr>
            <w:r>
              <w:rPr/>
              <w:t>Operating Profit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b/>
              </w:rPr>
            </w:pPr>
            <w:r>
              <w:rPr>
                <w:b/>
              </w:rPr>
              <w:t>Adjusted EBITDA (a non-IFRS measure)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626,879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533,162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15,346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10,391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48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642,225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543,553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b/>
              </w:rPr>
            </w:pPr>
            <w:r>
              <w:rPr>
                <w:b/>
              </w:rPr>
              <w:t>Adjusted EBITDA Margin (a non- IFRS measure)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85"/>
        <w:gridCol w:w="7700"/>
      </w:tblGrid>
      <w:tr>
        <w:trPr/>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770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Other revenue is non-subscription-based revenue. Cartrack remains focused on bundled sales.</w:t>
            </w:r>
          </w:p>
        </w:tc>
      </w:tr>
    </w:tbl>
    <w:p>
      <w:pPr>
        <w:pStyle w:val="TextBody"/>
        <w:bidi w:val="0"/>
        <w:spacing w:before="0" w:after="0"/>
        <w:ind w:left="573" w:right="0" w:hanging="299"/>
        <w:jc w:val="left"/>
        <w:rPr>
          <w:caps w:val="false"/>
          <w:smallCaps w:val="false"/>
        </w:rPr>
      </w:pPr>
      <w:r>
        <w:rPr>
          <w:caps w:val="false"/>
          <w:smallCaps w:val="false"/>
        </w:rPr>
        <w:t> </w:t>
      </w:r>
    </w:p>
    <w:p>
      <w:pPr>
        <w:pStyle w:val="TextBody"/>
        <w:bidi w:val="0"/>
        <w:spacing w:before="0" w:after="0"/>
        <w:ind w:left="573" w:right="0" w:hanging="299"/>
        <w:jc w:val="center"/>
        <w:rPr>
          <w:sz w:val="20"/>
          <w:bdr w:val="single" w:sz="12" w:space="1" w:color="000000"/>
        </w:rPr>
      </w:pPr>
      <w:r>
        <w:rPr>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573" w:right="0" w:hanging="299"/>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Revenue and Subscription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revenue increased 22% to ZAR1,564 million (Q1 2026: ZAR1,277 million), and subscription revenue increased 19% to ZAR1,354 million in Q1 2027 (Q1 2026: ZAR1,141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total revenue increased 20% to ZAR1,387 million (Q1 2026: ZAR1,156 million) driven primarily by its subscription-based business model. Cartrack’s subscription revenue increased 19% to a record ZAR1,351 million in Q1 2027 (Q1 2026: ZAR1,138 million) driven by the acquisition of new customers and selling Video and Cartrack-Tag to both new and existing customers. Subscription revenue represented 97% of Cartrack’s total revenue. On a constant currency basis, a non-IFRS measure, Cartrack’s total revenue increased 23% and subscription revenue increased 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Driven by strong demand for the Cartrack-Tag and Video, Cartrack delivered a record of 142,472 net subscriber additions during the quarter, representing an increase of 70% (Q1 2026: 84,013).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total revenue increased 46% to ZAR177 million (Q1 2026: ZAR121 million) driven by the demand for Q-commerce or “Quick-commerce” orders, a type of e-Commerce focused on ultra-fast delivery. Karooooo Logistics offers delivery-as-a-service (“DaaS”) to large enterprise customers wishing to scale and enable their Q-commerce operations through a capital light model by connecting them to an elastic fleet of third-party delivery drivers. The pace of Karooooo Logistics’s revenue growth may vary quarter to quarter as large customers invest in growing their Q-commerce businesses or driving traffic to their physical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Gross Profit and Cost of Sales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cost of sales increased 23% to ZAR495 million (Q1 2026: ZAR404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cost of sales increased 18% to ZAR374 million (Q1 2026: ZAR318 million). Cartrack’s gross profit margin was 73% (Q1 2026: 72%), and Cartrack’s subscription gross profit margin was 73% (Q1 2026: 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cost of sales increased 41% to ZAR121 million (Q1 2026: ZAR85 million) driven by driver payments. Karooooo Logistics’s gross profit margin improved to 32% (Q1 2026: 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360" w:right="0" w:hanging="471"/>
        <w:jc w:val="left"/>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3305"/>
        <w:gridCol w:w="60"/>
        <w:gridCol w:w="81"/>
        <w:gridCol w:w="1085"/>
        <w:gridCol w:w="81"/>
        <w:gridCol w:w="81"/>
        <w:gridCol w:w="81"/>
        <w:gridCol w:w="1085"/>
        <w:gridCol w:w="81"/>
        <w:gridCol w:w="81"/>
        <w:gridCol w:w="132"/>
        <w:gridCol w:w="577"/>
        <w:gridCol w:w="230"/>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May 31,</w:t>
            </w:r>
          </w:p>
        </w:tc>
        <w:tc>
          <w:tcPr>
            <w:tcW w:w="230" w:type="dxa"/>
            <w:tcBorders/>
            <w:vAlign w:val="center"/>
          </w:tcPr>
          <w:p>
            <w:pPr>
              <w:pStyle w:val="TableContents"/>
              <w:bidi w:val="0"/>
              <w:spacing w:before="0" w:after="283"/>
              <w:jc w:val="left"/>
              <w:rPr/>
            </w:pPr>
            <w:r>
              <w:rPr/>
              <w:t> </w:t>
            </w:r>
          </w:p>
        </w:tc>
      </w:tr>
      <w:tr>
        <w:trPr/>
        <w:tc>
          <w:tcPr>
            <w:tcW w:w="330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11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7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Y-o-Y </w:t>
              <w:br/>
              <w:t>%</w:t>
            </w:r>
          </w:p>
        </w:tc>
        <w:tc>
          <w:tcPr>
            <w:tcW w:w="23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b/>
              </w:rPr>
            </w:pPr>
            <w:r>
              <w:rPr>
                <w:b/>
              </w:rPr>
              <w:t>Karooooo’s Operating Expenses</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662,136</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522,966</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7" w:type="dxa"/>
            <w:tcBorders>
              <w:bottom w:val="single" w:sz="12" w:space="0" w:color="000000"/>
            </w:tcBorders>
            <w:shd w:fill="CCEEFF" w:val="clear"/>
            <w:tcMar>
              <w:bottom w:w="28" w:type="dxa"/>
            </w:tcMar>
            <w:vAlign w:val="center"/>
          </w:tcPr>
          <w:p>
            <w:pPr>
              <w:pStyle w:val="TableContents"/>
              <w:bidi w:val="0"/>
              <w:spacing w:before="0" w:after="283"/>
              <w:jc w:val="right"/>
              <w:rPr/>
            </w:pPr>
            <w:r>
              <w:rPr/>
              <w:t>27</w:t>
            </w:r>
          </w:p>
        </w:tc>
        <w:tc>
          <w:tcPr>
            <w:tcW w:w="230"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left"/>
              <w:rPr/>
            </w:pPr>
            <w:r>
              <w:rPr/>
              <w:t>- Cartrack</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620,256</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497,050</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25</w:t>
            </w:r>
          </w:p>
        </w:tc>
        <w:tc>
          <w:tcPr>
            <w:tcW w:w="230"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left"/>
              <w:rPr/>
            </w:pPr>
            <w:r>
              <w:rPr/>
              <w:t>- Karooooo Logistics</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41,880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25,916</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7" w:type="dxa"/>
            <w:tcBorders>
              <w:bottom w:val="single" w:sz="12" w:space="0" w:color="000000"/>
            </w:tcBorders>
            <w:shd w:fill="CCEEFF" w:val="clear"/>
            <w:tcMar>
              <w:bottom w:w="28" w:type="dxa"/>
            </w:tcMar>
            <w:vAlign w:val="center"/>
          </w:tcPr>
          <w:p>
            <w:pPr>
              <w:pStyle w:val="TableContents"/>
              <w:bidi w:val="0"/>
              <w:spacing w:before="0" w:after="283"/>
              <w:jc w:val="right"/>
              <w:rPr/>
            </w:pPr>
            <w:r>
              <w:rPr/>
              <w:t>62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sz w:val="20"/>
          <w:bdr w:val="single" w:sz="12" w:space="1" w:color="000000"/>
        </w:rPr>
      </w:pPr>
      <w:r>
        <w:rPr>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operating expenses increased 27% to ZAR662 million (Q1 2026: ZAR523 million). Cartrack accounted for ZAR620 million (Q1 2026: ZAR497 million) in operating expenses including investments in infrastructure and headcount to support territorial expansion and distribution growth. Karooooo Logistics accounted for ZAR42 million (Q1 2026: ZAR26 million) of total operating expenses as we continue to invest prudently to scale Karooooo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sales and marketing expenses increased 32% to ZAR239 million (Q1 2026: ZAR180 million). Sales and marketing expenses increased in the current quarter primarily due to the scaling of our distribution capacity, which began in Q1 FY26 to support accelerated growth. We expect sales and marketing expenses to continue to increase for the remainder of FY 2027 as we continue to invest in growth. However, we anticipate the rate of increase will be lower than that experienced in FY 2026. Under IFRS, sales and marketing expenses are expensed as incurred, even though the resulting customer relationships generate revenue over extended periods. With the average expected life cycle of our subscription contracts exceeding 60 months and strong customer retention, there is a structural timing mismatch between when sales and marketing acquisition costs are expensed and when the related revenue is realized in our reported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encouraged by the returns on our strategic investment in customer acquisition, which are delivering the intended outcomes and positioning us well for continued strong growth. As these benefits materialize, we remain focused on driving improvements in new sales headcount efficiency. Our unit economics remain strong as evidenced by our customer lifetime value (LTV) to customer acquisition costs (CAC) ratio, which continues to exceed 9 times and underpins our disciplined approach to accelerated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sales and marketing generally takes approximately 6 months to translate into customer acquisition. We believe that our strategic investment in sales capacity positions us well for long 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general and administration expenses increased 23% to ZAR274 million (Q1 2026: ZAR223 million), reflecting our continued investment in infrastructure to support future growth. We expect these costs to increase slower than subscription revenue over time as we continue to mature in our current geographies.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R&amp;D operating expenses increased 17% to ZAR70 million (Q1 2026: ZAR60 million) as we continue to invest in innovation to improve and expand the capabilities of our operational intelligence platform and internal management systems.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provided for expected credit losses of ZAR37 million (Q1 2026: ZAR34 million). We believe our prudent risk management strategy supports long-term financial resilience.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expenses as a percentage of subscription revenue align with Karooooo’s long-term financial goals and reflect our continued commitment to growth at scale.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sales and marketing expenses as a percentage of Cartrack’s subscription revenue increased to 18% (Q1 2026: 16%).</w:t>
            </w:r>
          </w:p>
        </w:tc>
      </w:tr>
    </w:tbl>
    <w:p>
      <w:pPr>
        <w:pStyle w:val="TextBody"/>
        <w:bidi w:val="0"/>
        <w:spacing w:before="0" w:after="0"/>
        <w:ind w:left="567"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general and administration expenses as a percentage of Cartrack’s subscription revenue remained at 20% (Q1 2026: 20%).</w:t>
            </w:r>
          </w:p>
        </w:tc>
      </w:tr>
    </w:tbl>
    <w:p>
      <w:pPr>
        <w:pStyle w:val="TextBody"/>
        <w:bidi w:val="0"/>
        <w:spacing w:before="0" w:after="0"/>
        <w:ind w:left="567" w:right="0" w:hanging="298"/>
        <w:jc w:val="left"/>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38"/>
        <w:gridCol w:w="170"/>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R&amp;D expenses as a percentage of Cartrack’s subscription revenue remained at 5% (Q1 2026: 5%).</w:t>
            </w:r>
          </w:p>
        </w:tc>
      </w:tr>
    </w:tbl>
    <w:p>
      <w:pPr>
        <w:pStyle w:val="TextBody"/>
        <w:bidi w:val="0"/>
        <w:spacing w:before="0" w:after="0"/>
        <w:ind w:left="567" w:right="0" w:hanging="298"/>
        <w:jc w:val="left"/>
        <w:rPr>
          <w:caps w:val="false"/>
          <w:smallCaps w:val="false"/>
        </w:rPr>
      </w:pPr>
      <w:r>
        <w:rPr>
          <w:caps w:val="false"/>
          <w:smallCaps w:val="false"/>
        </w:rPr>
        <w:t> </w:t>
      </w:r>
    </w:p>
    <w:p>
      <w:pPr>
        <w:pStyle w:val="TextBody"/>
        <w:bidi w:val="0"/>
        <w:spacing w:before="0" w:after="0"/>
        <w:ind w:left="567" w:right="0" w:hanging="298"/>
        <w:jc w:val="center"/>
        <w:rPr>
          <w:sz w:val="20"/>
          <w:bdr w:val="single" w:sz="12" w:space="1" w:color="000000"/>
        </w:rPr>
      </w:pPr>
      <w:r>
        <w:rPr>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Profit and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operating profit increased 16% to ZAR410 million (Q1 2026: ZAR352 million), and earnings per share increased 11% to ZAR9.53 (Q1 2026: ZAR8.55).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operating profit increased 16% to ZAR395 million (Q1 2026: ZAR342 million), and Cartrack’s operating profit margin was 28% (Q1 2026: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operating profit increased 50% to ZAR15 million (Q1 2026: ZAR10 million), and Karooooo Logistics’s operating profit margin was 8% (Q1 2026: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Adjusted EBITDA (a non-IFRS measure) increased 18% to ZAR642 million (Q1 2026: ZAR544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Adjusted EBITDA (a non-IFRS measure) increased 18% to ZAR627 million (Q1 2026: ZAR533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Adjusted EBITDA (a non-IFRS measure) increased 48% to ZAR15 million (Q1 2026: ZAR10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“Reconciliation of Profit for the Period to Adjusted EBITDA (a non-IFRS measure)” below for a reconciliation of Adjusted EBITDA to profit, its most directly comparable IFRS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Outlook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an expanding and largely underpenetrated market, fueled by robust and sustained customer demand. This demand is driven by a heightened focus on digitalization, the need to improve operational efficiency and reduce costs, and increasing attention to safety in physical operations. Our easy-to-use, operational intelligence platform empowers our customers to improve operational efficiencies, reduce risk and enhance the safety of their physical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FY 2027 is off to a strong start with record net subscriber additions and healthy retention driving 21% Cartrack constant currency subscription revenue growth. We believe we are on track to accelerate total subscription revenue growth in FY 2027 as we realize the benefits of our recent investments in sales capacity. We aim to drive our growth by balancing subscriber growth with the increased adoption of Video and Cartrack-Tag. We also believe increased sales efficiency, coupled with realizing other efficiencies in the business due to scale and leveraging AI, will support strong EPS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ongoing investments in AI innovation, platform capabilities and customer experience position us to drive durable long-term growth. We remain confident that our track record of success, specifically our ability to generate healthy cash flows, is sustainable.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differ materially from Karooooo’s outlook due to various factors, including those described under “Forward-Looking Statements” below and described under “Risk Factors” in our latest Annual Report on Form 20-F filed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Cartrack’s revenue making up the majority of group revenue, the guidance below relates primarily to Cartrack and assumes current foreign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providing a contracting gross profit margin outlook for FY 2027, assuming current exchange rates and the planned accelerated growth, the midpoint of our EPS outlook implies growth of 21% in FY 2027 compared to FY 2026 Adjusted EPS excluding secondary offering costs. We envisage a slow-down in hiring in FY 2027 while we drive sales force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guidance for FY 2027 remains unchanged: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subscription revenue between ZAR5,700 million and ZAR6,000 million, which implies subscription revenue growth between 18% and 24%;</w:t>
            </w:r>
          </w:p>
        </w:tc>
      </w:tr>
    </w:tbl>
    <w:p>
      <w:pPr>
        <w:pStyle w:val="TextBody"/>
        <w:bidi w:val="0"/>
        <w:spacing w:before="0" w:after="0"/>
        <w:ind w:left="0" w:right="0" w:hanging="0"/>
        <w:jc w:val="both"/>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38"/>
        <w:gridCol w:w="17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gross profit margin between 70% and 72%;</w:t>
            </w:r>
          </w:p>
        </w:tc>
      </w:tr>
    </w:tbl>
    <w:p>
      <w:pPr>
        <w:pStyle w:val="TextBody"/>
        <w:bidi w:val="0"/>
        <w:spacing w:before="0" w:after="0"/>
        <w:ind w:left="0" w:right="0" w:hanging="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operating profit margin between 27% and 30%;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Karooooo’s Earnings Per Share between ZAR38.50 and ZAR40.00, which implies EPS growth between 18% and 23% compared to FY 2026 Adjusted EPS, which excludes secondary offering costs.</w:t>
            </w:r>
          </w:p>
        </w:tc>
      </w:tr>
    </w:tbl>
    <w:p>
      <w:pPr>
        <w:pStyle w:val="TextBody"/>
        <w:bidi w:val="0"/>
        <w:spacing w:before="0" w:after="0"/>
        <w:ind w:left="780" w:right="0" w:hanging="360"/>
        <w:jc w:val="both"/>
        <w:rPr>
          <w:caps w:val="false"/>
          <w:smallCaps w:val="false"/>
        </w:rPr>
      </w:pPr>
      <w:r>
        <w:rPr>
          <w:caps w:val="false"/>
          <w:smallCaps w:val="false"/>
        </w:rPr>
        <w:t> </w:t>
      </w:r>
    </w:p>
    <w:p>
      <w:pPr>
        <w:pStyle w:val="TextBody"/>
        <w:bidi w:val="0"/>
        <w:spacing w:before="0" w:after="0"/>
        <w:ind w:left="780" w:right="0" w:hanging="360"/>
        <w:jc w:val="center"/>
        <w:rPr>
          <w:sz w:val="20"/>
          <w:bdr w:val="single" w:sz="12" w:space="1" w:color="000000"/>
        </w:rPr>
      </w:pPr>
      <w:r>
        <w:rPr>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 Liquidity and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re-invest our earnings for customer acquisition, as of May 31, 2026, our investment in in-vehicle IoT devices increased by ZAR115 million to ZAR2,061 million (February 28, 2026: ZAR1,946 million), IoT devices held for future use increased by ZAR163 million to ZAR524 million (February 28, 2026: ZAR362 million) and Capitalized commission assets increased by ZAR42 million to ZAR513 million (February 28, 2026: ZAR470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 increased by ZAR202 million to ZAR788 million (February 28, 2026: ZAR586 million), primarily driven by an acceleration in subscription sales and a ZAR53 million increase in prepayments for IoT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Debtor collection days remain within our range of historical norms at a healthy 31 days (February 28, 2026: 27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reported a net cash and cash equivalents balance of ZAR755 million at May 31, 2026 (February 28, 2026: ZAR746 million). Because we hold our cash reserves in USD, movements in the USD/ZAR exchange rate may impact our reported ZAR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May 31, 2026, the group had overdraft facilities for growth initiatives and other general corporate purposes of ZAR750 million, between Capitec Bank and Standard Bank. Our liquidity position remains strong, underpinned by prudent financial management, sustained operational cash generation and disciplined capital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the group’s cash management policy, overseen by our capital allocation committee, Karooooo’s excess cash reserves are held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Free Cash Flow (a non-IFRS measure)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reported a healthy increase of 21% in cash generated from operations before working capital changes of ZAR690 million (Q1 2026: ZAR572 million), driven by strong subscription revenue growth and operating profit. Net cash generated from operating activities, the most directly comparable IFRS measure, decreased 16% to ZAR537 million (Q1 2026: ZAR642 million), reflecting increased working capital investment to support accelerated subscriber growth.</w:t>
      </w:r>
    </w:p>
    <w:p>
      <w:pPr>
        <w:pStyle w:val="TextBody"/>
        <w:bidi w:val="0"/>
        <w:spacing w:before="0" w:after="0"/>
        <w:ind w:left="360" w:right="0" w:hanging="0"/>
        <w:jc w:val="both"/>
        <w:rPr>
          <w:caps w:val="false"/>
          <w:smallCaps w:val="false"/>
        </w:rPr>
      </w:pPr>
      <w:r>
        <w:rPr>
          <w:caps w:val="false"/>
          <w:smallCaps w:val="false"/>
        </w:rPr>
        <w:t> </w:t>
      </w:r>
    </w:p>
    <w:tbl>
      <w:tblPr>
        <w:tblW w:w="6218" w:type="dxa"/>
        <w:jc w:val="left"/>
        <w:tblInd w:w="0" w:type="dxa"/>
        <w:tblLayout w:type="fixed"/>
        <w:tblCellMar>
          <w:top w:w="0" w:type="dxa"/>
          <w:left w:w="0" w:type="dxa"/>
          <w:bottom w:w="0" w:type="dxa"/>
          <w:right w:w="0" w:type="dxa"/>
        </w:tblCellMar>
      </w:tblPr>
      <w:tblGrid>
        <w:gridCol w:w="3815"/>
        <w:gridCol w:w="60"/>
        <w:gridCol w:w="79"/>
        <w:gridCol w:w="897"/>
        <w:gridCol w:w="79"/>
        <w:gridCol w:w="79"/>
        <w:gridCol w:w="79"/>
        <w:gridCol w:w="1055"/>
        <w:gridCol w:w="75"/>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May 31,</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8" w:type="dxa"/>
            <w:gridSpan w:val="6"/>
            <w:tcBorders/>
            <w:vAlign w:val="center"/>
          </w:tcPr>
          <w:p>
            <w:pPr>
              <w:pStyle w:val="TableContents"/>
              <w:bidi w:val="0"/>
              <w:spacing w:before="0" w:after="283"/>
              <w:jc w:val="center"/>
              <w:rPr>
                <w:b/>
              </w:rPr>
            </w:pPr>
            <w:r>
              <w:rPr>
                <w:b/>
              </w:rPr>
              <w:t>(Rand Thousands)</w:t>
            </w:r>
          </w:p>
        </w:tc>
        <w:tc>
          <w:tcPr>
            <w:tcW w:w="7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b/>
              </w:rPr>
              <w:t>Free Cash Flow</w:t>
            </w:r>
            <w:r>
              <w:rPr/>
              <w:t xml:space="preserve"> (a non-IFRS measure)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59,662</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338,125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2222"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Cartrack accelerated customer acquisition, we made an increased investment of ZAR462 million (Q1 2026: ZAR284 million) in both in-vehicle IoT devices and IoT devices for future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(a non-IFRS measure) for the three months ended May 31, 2026, was ZAR60 million (Q1 2026: ZAR338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reflected our increased investment in both in-vehicle IoT devices and IoT devices for future use of 62%, or ZAR178 million, together with higher prepayments for IoT devices and an increase in trade and other receivables driven by increased subscription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Free Cash Flow (a non-IFRS measure) generated is in line with Karooooo’s disciplined capital allocation strategy and supports the group’s growth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“Reconciliation of Free Cash Flow (a non-IFRS measure) for a reconciliation of free cash flow to net cash generated from operating activities, their most directly comparable IFRS financial measure.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and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31, 2026, Karooooo had 30,893,300 ordinary shares issued and outstanding, and paid-up share capital of USD505,956,659 plus SGD1,000.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in paid-up capital, resulting in the common control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ZAR3.6 billion other reserve on the balance sheet relates to the buyout of 95,350,657 Cartrack shares at ZAR42.00 per share from minorities when Cartrack delisted from the JSE, totaling ZAR4.0 billion. This was offset by the ZAR0.4 billion previously reported in the non-controlling interest. The ZAR0.4 billion relates to the net asset value of 95,350,657 Cartrack minority shares acquired by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ZAR27.3 million of capital reserve on the balance sheet relates to the cancellation of Karooooo’s treasury shares and ZAR11.4 million of capital reserve relates to the repurchase and cancellation of 279 ordinary shares of Karooooo Logistics, which represented 6.29% of Karooooo Logistics’s issued ordinary shares as of April 30, 2024. A further ZAR18.6 million of capital reserves relates to the repurchase and cancellation of 316 ordinary shares of Karooooo Logistics, which represented 7.60% of Karooooo Logistics’s issued ordinary shares. ZAR5.2 million relates to the repurchase and cancellation of 150 ordinary shares of Cartrack New Zealand, which represented 15% of Cartrack New Zealand’s issued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Geographical Overview for Cartrack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South Africa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subscribers in the region increased 18% to 2,119,801 at May 31, 2026 (May 31, 2025: 1,795,829). Q1 2027 subscription revenue growth accelerated to 24%. The pace of growth reflects our deliberate strategy to cement our leadership position in South Africa through a balanced combination of subscriber additions and selling Video and Cartrack-Tag to our existing and new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encouraged by the strength of the teams we are building, which positions us well to continue to broaden our customer base and increase product adoption in South Africa. We are committed to continue building our distribution capabilities to service the demand for our products from both new customers and existing customers, and we are confident that our recent investments in sales capacity will have a positive impact on Cartrack subscriber growth in FY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see a compelling market opportunity in South Africa and are excited about the potential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the largest and fastest growing operational intelligence and fleet management provider on the African continent.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Asia Pacific and Middle East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subscribers in the region increased 22% to 353,212 at May 31, 2026 (May 31, 2025: 289,642). Q1 2027 subscription revenue growth was 6% (17% on a constant currency basis, a non-IFRS measure). The pace of subscription revenue growth in the region was primarily driven by the faster growth in certain countries that generate lower ARPU and also reflects foreign exchange headwinds due to the strengthening ZAR.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second largest contributor to group revenue, Southeast Asia continues to present the most compelling growth opportunity for the group in the medium to long term. We plan to continue with a strong, yet prudent drive to increase sales and marketing in Southeast Asia, and we anticipate our investments to have a positive impact on subscriber growth in the region.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Europe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subscribers in the region increased 13% to 236,429 at May 31, 2026 (May 31, 2025: 209,059). Q1 2027 subscription revenue growth was 7% (13% on a constant currency basis,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expand our customer base and drive our distribution capabilities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partnered with leading OEMs to provide easy access to our platform, seamlessly integrating their connected vehicle data to our platform through application programing interfaces. We expect these partnerships to contribute to our results in the medium to long term. In addition, we are experiencing encouraging demand for our proprietary compliance technology in the region as customers seek to simplify compliance with evolving legislation and enforcement.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Africa (excluding South Africa)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subscribers in the region increased 4% to 95,252 at May 31, 2026 (May 31, 2025: 91,719). Q1 2027 subscription revenue growth was 4% (11% on a constant currency basis,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region remains a positive cash generator and is strategic to support our South African customers.</w:t>
      </w:r>
    </w:p>
    <w:p>
      <w:pPr>
        <w:pStyle w:val="TextBody"/>
        <w:bidi w:val="0"/>
        <w:spacing w:before="0" w:after="0"/>
        <w:ind w:left="276" w:right="0" w:hanging="0"/>
        <w:jc w:val="both"/>
        <w:rPr>
          <w:caps w:val="false"/>
          <w:smallCaps w:val="false"/>
        </w:rPr>
      </w:pPr>
      <w:r>
        <w:rPr>
          <w:caps w:val="false"/>
          <w:smallCaps w:val="false"/>
        </w:rPr>
        <w:t> </w:t>
      </w:r>
    </w:p>
    <w:p>
      <w:pPr>
        <w:pStyle w:val="TextBody"/>
        <w:bidi w:val="0"/>
        <w:spacing w:before="0" w:after="0"/>
        <w:ind w:left="276" w:right="0" w:hanging="0"/>
        <w:jc w:val="center"/>
        <w:rPr>
          <w:sz w:val="20"/>
          <w:bdr w:val="single" w:sz="12" w:space="1" w:color="000000"/>
        </w:rPr>
      </w:pPr>
      <w:r>
        <w:rPr>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276"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recognizes the importance of investment in achieving growth at scale, and endeavors to avoid swings in its dividend profile.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aims to reinvest retained earnings to the extent that it aligns with the group’s required return on incrementally reinvested capital, return on equity, and short- to medium-term growth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review and amend the dividend policy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Declaration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considering the consistent strong earnings, healthy balance sheet and free cash flow of the Company and in accordance with the dividend policy set out above, an interim dividend of USD1.50 per ordinary share, pertaining to the first quarter of Karooooo’s 2027 financial year, will be paid on July 20, 2026 to JSE shareholders on record as at the close of business on Friday, July 17, 2026 (South African time) and on July 27, 2026 to Nasdaq shareholders on record as at the close of business on July 17, 2026 (New York time). Although Karooooo’s reporting currency is ZAR, its statutory filings in Singapore are reported in USD, as a result of which dividends are declared in USD. The details with respect to the dividends declared for holders of our ordinary shares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76"/>
        <w:gridCol w:w="1989"/>
        <w:gridCol w:w="60"/>
        <w:gridCol w:w="1980"/>
      </w:tblGrid>
      <w:tr>
        <w:trPr/>
        <w:tc>
          <w:tcPr>
            <w:tcW w:w="6176" w:type="dxa"/>
            <w:tcBorders/>
            <w:vAlign w:val="center"/>
          </w:tcPr>
          <w:p>
            <w:pPr>
              <w:pStyle w:val="TableContents"/>
              <w:bidi w:val="0"/>
              <w:spacing w:before="0" w:after="283"/>
              <w:jc w:val="left"/>
              <w:rPr/>
            </w:pPr>
            <w:r>
              <w:rPr/>
              <w:t> </w:t>
            </w:r>
          </w:p>
        </w:tc>
        <w:tc>
          <w:tcPr>
            <w:tcW w:w="1989"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NASDAQ</w:t>
            </w:r>
          </w:p>
        </w:tc>
        <w:tc>
          <w:tcPr>
            <w:tcW w:w="60" w:type="dxa"/>
            <w:tcBorders/>
            <w:vAlign w:val="center"/>
          </w:tcPr>
          <w:p>
            <w:pPr>
              <w:pStyle w:val="TableContents"/>
              <w:bidi w:val="0"/>
              <w:spacing w:before="0" w:after="283"/>
              <w:jc w:val="left"/>
              <w:rPr/>
            </w:pPr>
            <w:r>
              <w:rPr/>
              <w:t> </w:t>
            </w:r>
          </w:p>
        </w:tc>
        <w:tc>
          <w:tcPr>
            <w:tcW w:w="198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JSE</w:t>
            </w:r>
          </w:p>
        </w:tc>
      </w:tr>
      <w:tr>
        <w:trPr/>
        <w:tc>
          <w:tcPr>
            <w:tcW w:w="61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Declaration date</w:t>
            </w:r>
          </w:p>
        </w:tc>
        <w:tc>
          <w:tcPr>
            <w:tcW w:w="198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Wednesday, May 13, 2026</w:t>
            </w:r>
          </w:p>
        </w:tc>
        <w:tc>
          <w:tcPr>
            <w:tcW w:w="60" w:type="dxa"/>
            <w:tcBorders/>
            <w:shd w:fill="CCEEFF" w:val="clear"/>
            <w:vAlign w:val="center"/>
          </w:tcPr>
          <w:p>
            <w:pPr>
              <w:pStyle w:val="TableContents"/>
              <w:bidi w:val="0"/>
              <w:spacing w:before="0" w:after="283"/>
              <w:jc w:val="left"/>
              <w:rPr/>
            </w:pPr>
            <w:r>
              <w:rPr/>
              <w:t> </w:t>
            </w:r>
          </w:p>
        </w:tc>
        <w:tc>
          <w:tcPr>
            <w:tcW w:w="19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Thursday, May 14, 2026</w:t>
            </w:r>
          </w:p>
        </w:tc>
      </w:tr>
      <w:tr>
        <w:trPr/>
        <w:tc>
          <w:tcPr>
            <w:tcW w:w="6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Finalization announcement, date of currency conversion and confirmation of record date</w:t>
            </w:r>
          </w:p>
        </w:tc>
        <w:tc>
          <w:tcPr>
            <w:tcW w:w="198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Thursday, July 9, 2026</w:t>
            </w:r>
          </w:p>
        </w:tc>
        <w:tc>
          <w:tcPr>
            <w:tcW w:w="60" w:type="dxa"/>
            <w:tcBorders/>
            <w:vAlign w:val="center"/>
          </w:tcPr>
          <w:p>
            <w:pPr>
              <w:pStyle w:val="TableContents"/>
              <w:bidi w:val="0"/>
              <w:spacing w:before="0" w:after="283"/>
              <w:jc w:val="left"/>
              <w:rPr/>
            </w:pPr>
            <w:r>
              <w:rPr/>
              <w:t> </w:t>
            </w:r>
          </w:p>
        </w:tc>
        <w:tc>
          <w:tcPr>
            <w:tcW w:w="1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Thursday, July 9, 2026</w:t>
            </w:r>
          </w:p>
        </w:tc>
      </w:tr>
      <w:tr>
        <w:trPr/>
        <w:tc>
          <w:tcPr>
            <w:tcW w:w="61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Last date to trade cum dividend</w:t>
            </w:r>
          </w:p>
        </w:tc>
        <w:tc>
          <w:tcPr>
            <w:tcW w:w="198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Thursday, July 16, 2026</w:t>
            </w:r>
          </w:p>
        </w:tc>
        <w:tc>
          <w:tcPr>
            <w:tcW w:w="60" w:type="dxa"/>
            <w:tcBorders/>
            <w:shd w:fill="CCEEFF" w:val="clear"/>
            <w:vAlign w:val="center"/>
          </w:tcPr>
          <w:p>
            <w:pPr>
              <w:pStyle w:val="TableContents"/>
              <w:bidi w:val="0"/>
              <w:spacing w:before="0" w:after="283"/>
              <w:jc w:val="left"/>
              <w:rPr/>
            </w:pPr>
            <w:r>
              <w:rPr/>
              <w:t> </w:t>
            </w:r>
          </w:p>
        </w:tc>
        <w:tc>
          <w:tcPr>
            <w:tcW w:w="19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Tuesday, July 14, 2026</w:t>
            </w:r>
          </w:p>
        </w:tc>
      </w:tr>
      <w:tr>
        <w:trPr/>
        <w:tc>
          <w:tcPr>
            <w:tcW w:w="6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commence trading Ex-dividend</w:t>
            </w:r>
          </w:p>
        </w:tc>
        <w:tc>
          <w:tcPr>
            <w:tcW w:w="198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Friday, July 17, 2026</w:t>
            </w:r>
          </w:p>
        </w:tc>
        <w:tc>
          <w:tcPr>
            <w:tcW w:w="60" w:type="dxa"/>
            <w:tcBorders/>
            <w:vAlign w:val="center"/>
          </w:tcPr>
          <w:p>
            <w:pPr>
              <w:pStyle w:val="TableContents"/>
              <w:bidi w:val="0"/>
              <w:spacing w:before="0" w:after="283"/>
              <w:jc w:val="left"/>
              <w:rPr/>
            </w:pPr>
            <w:r>
              <w:rPr/>
              <w:t> </w:t>
            </w:r>
          </w:p>
        </w:tc>
        <w:tc>
          <w:tcPr>
            <w:tcW w:w="1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Wednesday, July 15, 2026</w:t>
            </w:r>
          </w:p>
        </w:tc>
      </w:tr>
      <w:tr>
        <w:trPr/>
        <w:tc>
          <w:tcPr>
            <w:tcW w:w="61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 date</w:t>
            </w:r>
          </w:p>
        </w:tc>
        <w:tc>
          <w:tcPr>
            <w:tcW w:w="198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Friday, July 17, 2026</w:t>
            </w:r>
          </w:p>
        </w:tc>
        <w:tc>
          <w:tcPr>
            <w:tcW w:w="60" w:type="dxa"/>
            <w:tcBorders/>
            <w:shd w:fill="CCEEFF" w:val="clear"/>
            <w:vAlign w:val="center"/>
          </w:tcPr>
          <w:p>
            <w:pPr>
              <w:pStyle w:val="TableContents"/>
              <w:bidi w:val="0"/>
              <w:spacing w:before="0" w:after="283"/>
              <w:jc w:val="left"/>
              <w:rPr/>
            </w:pPr>
            <w:r>
              <w:rPr/>
              <w:t> </w:t>
            </w:r>
          </w:p>
        </w:tc>
        <w:tc>
          <w:tcPr>
            <w:tcW w:w="19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Friday, July 17, 2026</w:t>
            </w:r>
          </w:p>
        </w:tc>
      </w:tr>
      <w:tr>
        <w:trPr/>
        <w:tc>
          <w:tcPr>
            <w:tcW w:w="6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payment date</w:t>
            </w:r>
          </w:p>
        </w:tc>
        <w:tc>
          <w:tcPr>
            <w:tcW w:w="198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Monday, July 27, 2026</w:t>
            </w:r>
          </w:p>
        </w:tc>
        <w:tc>
          <w:tcPr>
            <w:tcW w:w="60" w:type="dxa"/>
            <w:tcBorders/>
            <w:vAlign w:val="center"/>
          </w:tcPr>
          <w:p>
            <w:pPr>
              <w:pStyle w:val="TableContents"/>
              <w:bidi w:val="0"/>
              <w:spacing w:before="0" w:after="283"/>
              <w:jc w:val="left"/>
              <w:rPr/>
            </w:pPr>
            <w:r>
              <w:rPr/>
              <w:t> </w:t>
            </w:r>
          </w:p>
        </w:tc>
        <w:tc>
          <w:tcPr>
            <w:tcW w:w="1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Monday, July 20,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registered on the South African section of the share register will not be allowed to dematerialize or rematerialize their shareholdings between Wednesday, July 15, 2026 and Friday, July 17, 2026, both dates inclusive, and transfers between the Nasdaq and South African register will not be permitted between Thursday, July 9, 2026 and Friday July 17, 2026, both days inclusive.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tax considerations applicable to South African shareholders was included in the currency conversion and confirmation of record date announcement which has been published on Thursday, July 9, 2026.</w:t>
      </w:r>
    </w:p>
    <w:p>
      <w:pPr>
        <w:pStyle w:val="TextBody"/>
        <w:bidi w:val="0"/>
        <w:spacing w:before="0" w:after="0"/>
        <w:ind w:left="274" w:right="0" w:hanging="0"/>
        <w:jc w:val="both"/>
        <w:rPr>
          <w:caps w:val="false"/>
          <w:smallCaps w:val="false"/>
        </w:rPr>
      </w:pPr>
      <w:r>
        <w:rPr>
          <w:caps w:val="false"/>
          <w:smallCaps w:val="false"/>
        </w:rPr>
        <w:t> </w:t>
      </w:r>
    </w:p>
    <w:p>
      <w:pPr>
        <w:pStyle w:val="TextBody"/>
        <w:bidi w:val="0"/>
        <w:spacing w:before="0" w:after="0"/>
        <w:ind w:left="274" w:right="0" w:hanging="0"/>
        <w:jc w:val="center"/>
        <w:rPr>
          <w:sz w:val="20"/>
          <w:bdr w:val="single" w:sz="12" w:space="1" w:color="000000"/>
        </w:rPr>
      </w:pPr>
      <w:r>
        <w:rPr>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27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Corruption, Bribery and Whistleblowing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third-party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contact email and hotline for whistleblowing and reporters are assured of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Webinar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Limited will release its First Quarter 2027 Financial Results on Wednesday, July 15, 2026 shortly after 04:00 p.m. Eastern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Webcast: The Company will host a corresponding Zoom webinar on Thursday, July 16, 2026 at 08:00 a.m. Eastern Time (02:00 p.m. South African time; 08:00 p.m. Singaporean time). Join the Zoom webinar at: https://us02web.zoom.us/j/86950143303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Webinar ID: </w:t>
      </w:r>
      <w:r>
        <w:rPr>
          <w:rFonts w:ascii="Times New Roman;Times;Serif" w:hAnsi="Times New Roman;Times;Serif"/>
          <w:b/>
          <w:i w:val="false"/>
          <w:caps w:val="false"/>
          <w:smallCaps w:val="false"/>
          <w:sz w:val="20"/>
        </w:rPr>
        <w:t>869 5014 3303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r>
    </w:p>
    <w:p>
      <w:pPr>
        <w:pStyle w:val="TextBody"/>
        <w:bidi w:val="0"/>
        <w:spacing w:before="0" w:after="0"/>
        <w:ind w:left="276" w:right="0" w:hanging="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70"/>
        <w:gridCol w:w="3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(New York) Toll-free: +1 646 558 8656</w:t>
            </w:r>
          </w:p>
        </w:tc>
      </w:tr>
    </w:tbl>
    <w:p>
      <w:pPr>
        <w:pStyle w:val="TextBody"/>
        <w:bidi w:val="0"/>
        <w:spacing w:before="0" w:after="0"/>
        <w:ind w:left="276" w:right="0" w:hanging="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South Africa Toll-free: +27 87 551 7702</w:t>
            </w:r>
          </w:p>
        </w:tc>
      </w:tr>
    </w:tbl>
    <w:p>
      <w:pPr>
        <w:pStyle w:val="TextBody"/>
        <w:bidi w:val="0"/>
        <w:spacing w:before="0" w:after="0"/>
        <w:ind w:left="27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will be available at www.karooooo.com approximately three hours after the conclusion of the live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IFRS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IFRS as issued by the IASB. The summary consolidated financial information presented has been derived from the consolidated financial statements of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digitally transforms physical operations by simplifying decision making. Its Operational Intelligence Platform serves as the central nervous system for connected operations, integrating vehicles, assets, field workforces and operational workflows into a single intelligent ecosystem. Through proprietary hardware technology and software, the platform captures, processes and analyzes real-world operational data, transforming billions of data points into actionable intelligence that helps customers make faster, better decisions across safety, productivity, compliance, cost control and service execution. Delivered through intuitive cloud-based applications, the platform combines operational visibility, workflow automation, AI-powered video intelligence and decision-support capabilities to help businesses improve performance, reduce risk and operate more efficiently.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is headquartered in Singapore and services more than 125,000 commercial customers and more than 2.8 million active subscribers in more than 20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www.karooooo.com.</w:t>
      </w:r>
    </w:p>
    <w:p>
      <w:pPr>
        <w:pStyle w:val="TextBody"/>
        <w:bidi w:val="0"/>
        <w:spacing w:before="0" w:after="0"/>
        <w:ind w:left="276"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285"/>
        <w:gridCol w:w="1880"/>
      </w:tblGrid>
      <w:tr>
        <w:trPr/>
        <w:tc>
          <w:tcPr>
            <w:tcW w:w="22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Investor Relations Contact</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IR@karooooo.com</w:t>
            </w:r>
          </w:p>
        </w:tc>
      </w:tr>
      <w:tr>
        <w:trPr/>
        <w:tc>
          <w:tcPr>
            <w:tcW w:w="2285" w:type="dxa"/>
            <w:tcBorders/>
            <w:vAlign w:val="center"/>
          </w:tcPr>
          <w:p>
            <w:pPr>
              <w:pStyle w:val="TableContents"/>
              <w:bidi w:val="0"/>
              <w:spacing w:before="0" w:after="283"/>
              <w:jc w:val="both"/>
              <w:rPr/>
            </w:pPr>
            <w:r>
              <w:rPr/>
              <w:t> </w:t>
            </w:r>
          </w:p>
        </w:tc>
        <w:tc>
          <w:tcPr>
            <w:tcW w:w="1880" w:type="dxa"/>
            <w:tcBorders/>
            <w:vAlign w:val="center"/>
          </w:tcPr>
          <w:p>
            <w:pPr>
              <w:pStyle w:val="TableContents"/>
              <w:bidi w:val="0"/>
              <w:spacing w:before="0" w:after="283"/>
              <w:jc w:val="both"/>
              <w:rPr/>
            </w:pPr>
            <w:r>
              <w:rPr/>
              <w:t> </w:t>
            </w:r>
          </w:p>
        </w:tc>
      </w:tr>
      <w:tr>
        <w:trPr/>
        <w:tc>
          <w:tcPr>
            <w:tcW w:w="22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Media Contact</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media@karooooo.com</w:t>
            </w:r>
          </w:p>
        </w:tc>
      </w:tr>
    </w:tbl>
    <w:p>
      <w:pPr>
        <w:pStyle w:val="TextBody"/>
        <w:bidi w:val="0"/>
        <w:spacing w:before="0" w:after="0"/>
        <w:ind w:left="1287" w:right="0" w:hanging="0"/>
        <w:jc w:val="center"/>
        <w:rPr>
          <w:caps w:val="false"/>
          <w:smallCaps w:val="false"/>
        </w:rPr>
      </w:pPr>
      <w:r>
        <w:rPr>
          <w:caps w:val="false"/>
          <w:smallCaps w:val="false"/>
        </w:rPr>
        <w:t> </w:t>
      </w:r>
    </w:p>
    <w:p>
      <w:pPr>
        <w:pStyle w:val="TextBody"/>
        <w:bidi w:val="0"/>
        <w:spacing w:before="0" w:after="0"/>
        <w:ind w:left="1287" w:right="0" w:hanging="0"/>
        <w:jc w:val="center"/>
        <w:rPr>
          <w:sz w:val="20"/>
          <w:bdr w:val="single" w:sz="12" w:space="1" w:color="000000"/>
        </w:rPr>
      </w:pPr>
      <w:r>
        <w:rPr>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1287"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PROFIT AND LOSS</w:t>
        <w:br/>
        <w:t>(UNAUDITED)</w:t>
      </w:r>
    </w:p>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4145"/>
        <w:gridCol w:w="60"/>
        <w:gridCol w:w="60"/>
        <w:gridCol w:w="980"/>
        <w:gridCol w:w="95"/>
        <w:gridCol w:w="60"/>
        <w:gridCol w:w="60"/>
        <w:gridCol w:w="980"/>
        <w:gridCol w:w="110"/>
      </w:tblGrid>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3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w:t>
              <w:br/>
              <w:t>May 31,</w:t>
            </w:r>
          </w:p>
        </w:tc>
        <w:tc>
          <w:tcPr>
            <w:tcW w:w="110" w:type="dxa"/>
            <w:tcBorders/>
            <w:vAlign w:val="center"/>
          </w:tcPr>
          <w:p>
            <w:pPr>
              <w:pStyle w:val="TableContents"/>
              <w:bidi w:val="0"/>
              <w:spacing w:before="0" w:after="283"/>
              <w:jc w:val="center"/>
              <w:rPr/>
            </w:pPr>
            <w:r>
              <w:rPr/>
              <w:t> </w:t>
            </w:r>
          </w:p>
        </w:tc>
      </w:tr>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2026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center"/>
              <w:rPr/>
            </w:pPr>
            <w:r>
              <w:rPr/>
              <w:t> </w:t>
            </w:r>
          </w:p>
        </w:tc>
      </w:tr>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35" w:type="dxa"/>
            <w:gridSpan w:val="6"/>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jc w:val="center"/>
              <w:rPr/>
            </w:pPr>
            <w:r>
              <w:rPr/>
              <w:t> </w:t>
            </w:r>
          </w:p>
        </w:tc>
      </w:tr>
      <w:tr>
        <w:trPr/>
        <w:tc>
          <w:tcPr>
            <w:tcW w:w="4145"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1,563,947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1,277,017</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(495,065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(403,714</w:t>
            </w:r>
          </w:p>
        </w:tc>
        <w:tc>
          <w:tcPr>
            <w:tcW w:w="110"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1,068,882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873,303</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1,457</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(662,136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(522,966</w:t>
            </w:r>
          </w:p>
        </w:tc>
        <w:tc>
          <w:tcPr>
            <w:tcW w:w="110" w:type="dxa"/>
            <w:tcBorders/>
            <w:shd w:fill="CCEEFF" w:val="clear"/>
            <w:vAlign w:val="center"/>
          </w:tcPr>
          <w:p>
            <w:pPr>
              <w:pStyle w:val="TableContents"/>
              <w:bidi w:val="0"/>
              <w:spacing w:before="0" w:after="283"/>
              <w:jc w:val="left"/>
              <w:rPr/>
            </w:pPr>
            <w:r>
              <w:rPr/>
              <w:t>)</w:t>
            </w:r>
          </w:p>
        </w:tc>
      </w:tr>
      <w:tr>
        <w:trPr/>
        <w:tc>
          <w:tcPr>
            <w:tcW w:w="414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(239,524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(180,687</w:t>
            </w:r>
          </w:p>
        </w:tc>
        <w:tc>
          <w:tcPr>
            <w:tcW w:w="110"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left"/>
              <w:rPr/>
            </w:pPr>
            <w:r>
              <w:rPr/>
              <w:t>General and administration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(310,533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(244,913</w:t>
            </w:r>
          </w:p>
        </w:tc>
        <w:tc>
          <w:tcPr>
            <w:tcW w:w="110" w:type="dxa"/>
            <w:tcBorders/>
            <w:shd w:fill="CCEEFF" w:val="clear"/>
            <w:vAlign w:val="center"/>
          </w:tcPr>
          <w:p>
            <w:pPr>
              <w:pStyle w:val="TableContents"/>
              <w:bidi w:val="0"/>
              <w:spacing w:before="0" w:after="283"/>
              <w:jc w:val="left"/>
              <w:rPr/>
            </w:pPr>
            <w:r>
              <w:rPr/>
              <w:t>)</w:t>
            </w:r>
          </w:p>
        </w:tc>
      </w:tr>
      <w:tr>
        <w:trPr/>
        <w:tc>
          <w:tcPr>
            <w:tcW w:w="414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(75,161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(63,780</w:t>
            </w:r>
          </w:p>
        </w:tc>
        <w:tc>
          <w:tcPr>
            <w:tcW w:w="110"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left"/>
              <w:rPr/>
            </w:pPr>
            <w:r>
              <w:rPr/>
              <w:t>Expected credit losses on financial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(36,918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(33,586</w:t>
            </w:r>
          </w:p>
        </w:tc>
        <w:tc>
          <w:tcPr>
            <w:tcW w:w="110" w:type="dxa"/>
            <w:tcBorders/>
            <w:shd w:fill="CCEEFF" w:val="clear"/>
            <w:vAlign w:val="center"/>
          </w:tcPr>
          <w:p>
            <w:pPr>
              <w:pStyle w:val="TableContents"/>
              <w:bidi w:val="0"/>
              <w:spacing w:before="0" w:after="283"/>
              <w:jc w:val="left"/>
              <w:rPr/>
            </w:pPr>
            <w:r>
              <w:rPr/>
              <w:t>)</w:t>
            </w:r>
          </w:p>
        </w:tc>
      </w:tr>
      <w:tr>
        <w:trPr/>
        <w:tc>
          <w:tcPr>
            <w:tcW w:w="4145" w:type="dxa"/>
            <w:tcBorders/>
            <w:shd w:fill="FFFFFF" w:val="clear"/>
            <w:vAlign w:val="center"/>
          </w:tcPr>
          <w:p>
            <w:pPr>
              <w:pStyle w:val="TableContents"/>
              <w:bidi w:val="0"/>
              <w:spacing w:before="0" w:after="283"/>
              <w:jc w:val="left"/>
              <w:rPr>
                <w:b/>
              </w:rPr>
            </w:pPr>
            <w:r>
              <w:rPr>
                <w:b/>
              </w:rPr>
              <w:t>Operating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409,686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351,794</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10,429</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(25,535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(15,166</w:t>
            </w:r>
          </w:p>
        </w:tc>
        <w:tc>
          <w:tcPr>
            <w:tcW w:w="110"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left"/>
              <w:rPr>
                <w:b/>
              </w:rPr>
            </w:pPr>
            <w:r>
              <w:rPr>
                <w:b/>
              </w:rPr>
              <w:t>Profit before taxation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392,714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347,057</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Taxation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(93,758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(78,183</w:t>
            </w:r>
          </w:p>
        </w:tc>
        <w:tc>
          <w:tcPr>
            <w:tcW w:w="110"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left"/>
              <w:rPr>
                <w:b/>
              </w:rPr>
            </w:pPr>
            <w:r>
              <w:rPr>
                <w:b/>
              </w:rPr>
              <w:t>Profit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298,956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268,874</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b/>
              </w:rPr>
            </w:pPr>
            <w:r>
              <w:rPr>
                <w:b/>
              </w:rPr>
              <w:t>Profit attributable to: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Owners of the parent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294,259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264,095</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4,779</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298,956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268,874</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b/>
              </w:rPr>
            </w:pPr>
            <w:r>
              <w:rPr>
                <w:b/>
              </w:rPr>
              <w:t>Earnings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Basic and diluted earnings per share (ZAR)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 OF FINANCIAL POSITION </w:t>
        <w:br/>
        <w:t>(UNAUDITED)</w:t>
      </w:r>
    </w:p>
    <w:p>
      <w:pPr>
        <w:pStyle w:val="TextBody"/>
        <w:bidi w:val="0"/>
        <w:spacing w:before="0" w:after="0"/>
        <w:ind w:left="0" w:right="0" w:hanging="0"/>
        <w:jc w:val="left"/>
        <w:rPr>
          <w:caps w:val="false"/>
          <w:smallCaps w:val="false"/>
        </w:rPr>
      </w:pPr>
      <w:r>
        <w:rPr>
          <w:caps w:val="false"/>
          <w:smallCaps w:val="false"/>
        </w:rPr>
        <w:t> </w:t>
      </w:r>
    </w:p>
    <w:tbl>
      <w:tblPr>
        <w:tblW w:w="8794" w:type="dxa"/>
        <w:jc w:val="left"/>
        <w:tblInd w:w="0" w:type="dxa"/>
        <w:tblLayout w:type="fixed"/>
        <w:tblCellMar>
          <w:top w:w="0" w:type="dxa"/>
          <w:left w:w="0" w:type="dxa"/>
          <w:bottom w:w="0" w:type="dxa"/>
          <w:right w:w="0" w:type="dxa"/>
        </w:tblCellMar>
      </w:tblPr>
      <w:tblGrid>
        <w:gridCol w:w="4730"/>
        <w:gridCol w:w="60"/>
        <w:gridCol w:w="60"/>
        <w:gridCol w:w="1055"/>
        <w:gridCol w:w="95"/>
        <w:gridCol w:w="60"/>
        <w:gridCol w:w="72"/>
        <w:gridCol w:w="1282"/>
        <w:gridCol w:w="95"/>
        <w:gridCol w:w="60"/>
        <w:gridCol w:w="60"/>
        <w:gridCol w:w="1055"/>
        <w:gridCol w:w="110"/>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May 31,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February 28,</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May 31,</w:t>
              <w:br/>
              <w:t>2025</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94" w:type="dxa"/>
            <w:gridSpan w:val="10"/>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3,437,507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3,150,690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2,713,869</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Capitalized commission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512,618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470,406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535,168</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81,720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84,118</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168,337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167,315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177,132</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Loans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28,700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28,700</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Long-term other receivables and prepayments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9,800</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141,890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133,320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124,179</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4,374,639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4,032,830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3,672,966</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5,742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4,541</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Trade and other receivables and prepayments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788,158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586,374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562,114</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Loans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Income tax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15,324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10,917</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1,108,617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1,153,874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1,102,667</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1,916,980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1,761,314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1,680,258</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6,291,619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double" w:sz="10" w:space="0" w:color="000000"/>
            </w:tcBorders>
            <w:shd w:fill="FFFFFF" w:val="clear"/>
            <w:tcMar>
              <w:bottom w:w="28" w:type="dxa"/>
            </w:tcMar>
            <w:vAlign w:val="center"/>
          </w:tcPr>
          <w:p>
            <w:pPr>
              <w:pStyle w:val="TableContents"/>
              <w:bidi w:val="0"/>
              <w:spacing w:before="0" w:after="283"/>
              <w:jc w:val="right"/>
              <w:rPr/>
            </w:pPr>
            <w:r>
              <w:rPr/>
              <w:t>5,794,144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5,353,224</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EQUITY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7,142,853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7,142,853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7,142,853</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Treasury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capital reserve</w:t>
            </w:r>
            <w:r>
              <w:rPr>
                <w:rFonts w:ascii="Times New Roman;Times;Serif" w:hAnsi="Times New Roman;Times;Serif"/>
                <w:position w:val="7"/>
                <w:sz w:val="16"/>
                <w:sz w:val="20"/>
              </w:rPr>
              <w:t>3, 4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(3,645,108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(3,645,108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(3,621,245</w:t>
            </w:r>
          </w:p>
        </w:tc>
        <w:tc>
          <w:tcPr>
            <w:tcW w:w="110" w:type="dxa"/>
            <w:tcBorders/>
            <w:shd w:fill="CCEEFF" w:val="clear"/>
            <w:vAlign w:val="center"/>
          </w:tcPr>
          <w:p>
            <w:pPr>
              <w:pStyle w:val="TableContents"/>
              <w:bidi w:val="0"/>
              <w:spacing w:before="0" w:after="283"/>
              <w:jc w:val="left"/>
              <w:rPr/>
            </w:pPr>
            <w:r>
              <w:rPr/>
              <w:t>)</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control reserve</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(2,709,236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(2,709,236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(2,709,236</w:t>
            </w:r>
          </w:p>
        </w:tc>
        <w:tc>
          <w:tcPr>
            <w:tcW w:w="110" w:type="dxa"/>
            <w:tcBorders/>
            <w:shd w:fill="FFFFFF" w:val="clear"/>
            <w:vAlign w:val="center"/>
          </w:tcPr>
          <w:p>
            <w:pPr>
              <w:pStyle w:val="TableContents"/>
              <w:bidi w:val="0"/>
              <w:spacing w:before="0" w:after="283"/>
              <w:jc w:val="left"/>
              <w:rPr/>
            </w:pPr>
            <w:r>
              <w:rPr/>
              <w:t>)</w:t>
            </w:r>
          </w:p>
        </w:tc>
      </w:tr>
      <w:tr>
        <w:trPr/>
        <w:tc>
          <w:tcPr>
            <w:tcW w:w="4730" w:type="dxa"/>
            <w:tcBorders/>
            <w:shd w:fill="CCEEFF" w:val="clear"/>
            <w:vAlign w:val="center"/>
          </w:tcPr>
          <w:p>
            <w:pPr>
              <w:pStyle w:val="TableContents"/>
              <w:bidi w:val="0"/>
              <w:spacing w:before="0" w:after="283"/>
              <w:jc w:val="left"/>
              <w:rPr/>
            </w:pPr>
            <w:r>
              <w:rPr/>
              <w:t>Actuarial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114</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Foreign currency translation reserve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89,003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81,168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264,940</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2,706,640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2,412,384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2,376,186</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Equity attributable to equity holders of parent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3,584,094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3,282,003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3,453,612</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49,158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45,025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47,983</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3,633,252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3,327,028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3,501,595</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 loans</w:t>
            </w:r>
            <w:r>
              <w:rPr>
                <w:rFonts w:ascii="Times New Roman;Times;Serif" w:hAnsi="Times New Roman;Times;Serif"/>
                <w:position w:val="7"/>
                <w:sz w:val="16"/>
                <w:sz w:val="20"/>
              </w:rPr>
              <w:t>6, 7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386,609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398,931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31,855</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156,536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158,577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153,682</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125,853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122,722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126,018</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102,799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118,842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100,650</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771,797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799,072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412,205</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 loans</w:t>
            </w:r>
            <w:r>
              <w:rPr>
                <w:rFonts w:ascii="Times New Roman;Times;Serif" w:hAnsi="Times New Roman;Times;Serif"/>
                <w:position w:val="7"/>
                <w:sz w:val="16"/>
                <w:sz w:val="20"/>
              </w:rPr>
              <w:t>6, 7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49,721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272,061</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749,910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585,832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581,947</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Loans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126,890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129,288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97,903</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405,605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357,758</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Bank overdraft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353,085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407,668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Income tax payables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200,946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89,845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129,755</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1,886,570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1,668,044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1,439,424</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2,658,367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2,467,116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1,851,629</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equity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6,291,619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double" w:sz="10" w:space="0" w:color="000000"/>
            </w:tcBorders>
            <w:shd w:fill="FFFFFF" w:val="clear"/>
            <w:tcMar>
              <w:bottom w:w="28" w:type="dxa"/>
            </w:tcMar>
            <w:vAlign w:val="center"/>
          </w:tcPr>
          <w:p>
            <w:pPr>
              <w:pStyle w:val="TableContents"/>
              <w:bidi w:val="0"/>
              <w:spacing w:before="0" w:after="283"/>
              <w:jc w:val="right"/>
              <w:rPr/>
            </w:pPr>
            <w:r>
              <w:rPr/>
              <w:t>5,794,144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5,353,224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8"/>
        <w:gridCol w:w="9597"/>
      </w:tblGrid>
      <w:tr>
        <w:trPr/>
        <w:tc>
          <w:tcPr>
            <w:tcW w:w="60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959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Property, plant and equipment are:</w:t>
            </w:r>
          </w:p>
        </w:tc>
      </w:tr>
    </w:tbl>
    <w:p>
      <w:pPr>
        <w:pStyle w:val="TextBody"/>
        <w:bidi w:val="0"/>
        <w:spacing w:before="0" w:after="0"/>
        <w:ind w:left="0" w:right="0" w:hanging="0"/>
        <w:jc w:val="right"/>
        <w:rPr>
          <w:caps w:val="false"/>
          <w:smallCaps w:val="false"/>
        </w:rPr>
      </w:pPr>
      <w:r>
        <w:rPr>
          <w:caps w:val="false"/>
          <w:smallCaps w:val="false"/>
        </w:rPr>
        <w:t> </w:t>
      </w:r>
    </w:p>
    <w:tbl>
      <w:tblPr>
        <w:tblW w:w="8539" w:type="dxa"/>
        <w:jc w:val="left"/>
        <w:tblInd w:w="0" w:type="dxa"/>
        <w:tblLayout w:type="fixed"/>
        <w:tblCellMar>
          <w:top w:w="0" w:type="dxa"/>
          <w:left w:w="0" w:type="dxa"/>
          <w:bottom w:w="0" w:type="dxa"/>
          <w:right w:w="0" w:type="dxa"/>
        </w:tblCellMar>
      </w:tblPr>
      <w:tblGrid>
        <w:gridCol w:w="4730"/>
        <w:gridCol w:w="60"/>
        <w:gridCol w:w="60"/>
        <w:gridCol w:w="980"/>
        <w:gridCol w:w="60"/>
        <w:gridCol w:w="60"/>
        <w:gridCol w:w="78"/>
        <w:gridCol w:w="1276"/>
        <w:gridCol w:w="60"/>
        <w:gridCol w:w="60"/>
        <w:gridCol w:w="60"/>
        <w:gridCol w:w="980"/>
        <w:gridCol w:w="75"/>
      </w:tblGrid>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May 31,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February 28,</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May 31,</w:t>
              <w:br/>
              <w:t>2025</w:t>
            </w:r>
          </w:p>
        </w:tc>
        <w:tc>
          <w:tcPr>
            <w:tcW w:w="75"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4" w:type="dxa"/>
            <w:gridSpan w:val="10"/>
            <w:tcBorders/>
            <w:vAlign w:val="center"/>
          </w:tcPr>
          <w:p>
            <w:pPr>
              <w:pStyle w:val="TableContents"/>
              <w:bidi w:val="0"/>
              <w:spacing w:before="0" w:after="283"/>
              <w:jc w:val="center"/>
              <w:rPr>
                <w:b/>
              </w:rPr>
            </w:pPr>
            <w:r>
              <w:rPr>
                <w:b/>
              </w:rPr>
              <w:t>(Rand Thousands)</w:t>
            </w:r>
          </w:p>
        </w:tc>
        <w:tc>
          <w:tcPr>
            <w:tcW w:w="7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Capitalized telematics devices – Work in progress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249,768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147,207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186,197</w:t>
            </w:r>
          </w:p>
        </w:tc>
        <w:tc>
          <w:tcPr>
            <w:tcW w:w="75"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Capitalized telematic devices – Uninstalled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274,584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214,517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235,708</w:t>
            </w:r>
          </w:p>
        </w:tc>
        <w:tc>
          <w:tcPr>
            <w:tcW w:w="75"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Capitalized telematic devices – Installed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2,060,748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1,945,837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1,481,127</w:t>
            </w:r>
          </w:p>
        </w:tc>
        <w:tc>
          <w:tcPr>
            <w:tcW w:w="75"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South African Central Office property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446,451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441,580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430,079</w:t>
            </w:r>
          </w:p>
        </w:tc>
        <w:tc>
          <w:tcPr>
            <w:tcW w:w="75"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Other fixed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405,956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401,549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380,758</w:t>
            </w:r>
          </w:p>
        </w:tc>
        <w:tc>
          <w:tcPr>
            <w:tcW w:w="75"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3,437,507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double" w:sz="10" w:space="0" w:color="000000"/>
            </w:tcBorders>
            <w:shd w:fill="FFFFFF" w:val="clear"/>
            <w:tcMar>
              <w:bottom w:w="28" w:type="dxa"/>
            </w:tcMar>
            <w:vAlign w:val="center"/>
          </w:tcPr>
          <w:p>
            <w:pPr>
              <w:pStyle w:val="TableContents"/>
              <w:bidi w:val="0"/>
              <w:spacing w:before="0" w:after="283"/>
              <w:jc w:val="right"/>
              <w:rPr/>
            </w:pPr>
            <w:r>
              <w:rPr/>
              <w:t>3,150,690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2,713,869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w:t>
            </w:r>
          </w:p>
        </w:tc>
        <w:tc>
          <w:tcPr>
            <w:tcW w:w="10011"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Goodwill is net of an impairment charge of ZAR 43.6 million related to the Mozambique operations during Q4 2025.</w:t>
            </w:r>
          </w:p>
        </w:tc>
      </w:tr>
    </w:tbl>
    <w:p>
      <w:pPr>
        <w:pStyle w:val="TextBody"/>
        <w:bidi w:val="0"/>
        <w:spacing w:before="0" w:after="0"/>
        <w:ind w:left="572"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3.</w:t>
            </w:r>
          </w:p>
        </w:tc>
        <w:tc>
          <w:tcPr>
            <w:tcW w:w="1005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tc>
      </w:tr>
    </w:tbl>
    <w:p>
      <w:pPr>
        <w:pStyle w:val="TextBody"/>
        <w:bidi w:val="0"/>
        <w:spacing w:before="0" w:after="0"/>
        <w:ind w:left="572"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4.</w:t>
            </w:r>
          </w:p>
        </w:tc>
        <w:tc>
          <w:tcPr>
            <w:tcW w:w="1005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Included in capital reserves are ZAR27.3 million relating to the cancellation of Karooooo’s treasury shares, ZAR30.0 million of capital reserve relating to the repurchase and cancellation of Karooooo Logistics’ ordinary shares and ZAR5.2 million of capital reserve relating to the repurchase and cancellation of Cartrack New Zealand’s ordinary shares.</w:t>
            </w:r>
          </w:p>
        </w:tc>
      </w:tr>
    </w:tbl>
    <w:p>
      <w:pPr>
        <w:pStyle w:val="TextBody"/>
        <w:bidi w:val="0"/>
        <w:spacing w:before="0" w:after="0"/>
        <w:ind w:left="274"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5.</w:t>
            </w:r>
          </w:p>
        </w:tc>
        <w:tc>
          <w:tcPr>
            <w:tcW w:w="10056"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tc>
      </w:tr>
    </w:tbl>
    <w:p>
      <w:pPr>
        <w:pStyle w:val="TextBody"/>
        <w:bidi w:val="0"/>
        <w:spacing w:before="0" w:after="0"/>
        <w:ind w:left="572"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6.</w:t>
            </w:r>
          </w:p>
        </w:tc>
        <w:tc>
          <w:tcPr>
            <w:tcW w:w="1005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In June 2024, The Standard Bank of South Africa Limited extended a loan of ZAR 250 million to Purple Rain Properties No. 444 Proprietary Limited (the owner of the regional South Africa central office under constructions) at the South Africa Prime Interest Rate less 1.5%. In February 2026, an additional tranche of ZAR 191.7 million was drawn down.</w:t>
            </w:r>
          </w:p>
        </w:tc>
      </w:tr>
    </w:tbl>
    <w:p>
      <w:pPr>
        <w:pStyle w:val="TextBody"/>
        <w:bidi w:val="0"/>
        <w:spacing w:before="0" w:after="0"/>
        <w:ind w:left="572"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7.</w:t>
            </w:r>
          </w:p>
        </w:tc>
        <w:tc>
          <w:tcPr>
            <w:tcW w:w="10049"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In September 2024 and June 2025, Cartrack Portugal, S.A., secured loans of EUR2 million and EUR 1 million, respectively, from Banco Comercial Português, S.A. The loans bear an interest rate of 6-month Euribor rate plus 0.75%, with repayments scheduled over a seven-year and five-year period.</w:t>
            </w:r>
          </w:p>
        </w:tc>
      </w:tr>
    </w:tbl>
    <w:p>
      <w:pPr>
        <w:pStyle w:val="TextBody"/>
        <w:bidi w:val="0"/>
        <w:spacing w:before="0" w:after="0"/>
        <w:ind w:left="572" w:right="0" w:hanging="298"/>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1287"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2765" w:right="0" w:hanging="0"/>
        <w:jc w:val="center"/>
        <w:rPr>
          <w:caps w:val="false"/>
          <w:smallCaps w:val="false"/>
        </w:rPr>
      </w:pPr>
      <w:r>
        <w:rPr>
          <w:caps w:val="false"/>
          <w:smallCaps w:val="false"/>
        </w:rPr>
        <w:t> </w:t>
      </w:r>
    </w:p>
    <w:tbl>
      <w:tblPr>
        <w:tblW w:w="8427" w:type="dxa"/>
        <w:jc w:val="left"/>
        <w:tblInd w:w="0" w:type="dxa"/>
        <w:tblLayout w:type="fixed"/>
        <w:tblCellMar>
          <w:top w:w="0" w:type="dxa"/>
          <w:left w:w="0" w:type="dxa"/>
          <w:bottom w:w="0" w:type="dxa"/>
          <w:right w:w="0" w:type="dxa"/>
        </w:tblCellMar>
      </w:tblPr>
      <w:tblGrid>
        <w:gridCol w:w="6050"/>
        <w:gridCol w:w="60"/>
        <w:gridCol w:w="62"/>
        <w:gridCol w:w="907"/>
        <w:gridCol w:w="98"/>
        <w:gridCol w:w="62"/>
        <w:gridCol w:w="62"/>
        <w:gridCol w:w="1016"/>
        <w:gridCol w:w="110"/>
      </w:tblGrid>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May 31,</w:t>
            </w:r>
          </w:p>
        </w:tc>
        <w:tc>
          <w:tcPr>
            <w:tcW w:w="11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Cash generated from operations before working capital changes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689,549</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571,677</w:t>
            </w:r>
          </w:p>
        </w:tc>
        <w:tc>
          <w:tcPr>
            <w:tcW w:w="11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Changes to working capital</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FFFFFF" w:val="clear"/>
            <w:tcMar>
              <w:bottom w:w="28" w:type="dxa"/>
            </w:tcMar>
            <w:vAlign w:val="center"/>
          </w:tcPr>
          <w:p>
            <w:pPr>
              <w:pStyle w:val="TableContents"/>
              <w:bidi w:val="0"/>
              <w:spacing w:before="0" w:after="283"/>
              <w:jc w:val="right"/>
              <w:rPr/>
            </w:pPr>
            <w:r>
              <w:rPr/>
              <w:t>(129,609</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77,746</w:t>
            </w:r>
          </w:p>
        </w:tc>
        <w:tc>
          <w:tcPr>
            <w:tcW w:w="110"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Cash generated from operations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559,940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649,423</w:t>
            </w:r>
          </w:p>
        </w:tc>
        <w:tc>
          <w:tcPr>
            <w:tcW w:w="11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Finance income received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8,563</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10,429</w:t>
            </w:r>
          </w:p>
        </w:tc>
        <w:tc>
          <w:tcPr>
            <w:tcW w:w="110"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Finance cost paid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(25,477</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(16,643</w:t>
            </w:r>
          </w:p>
        </w:tc>
        <w:tc>
          <w:tcPr>
            <w:tcW w:w="110" w:type="dxa"/>
            <w:tcBorders/>
            <w:shd w:fill="CCEEFF" w:val="clear"/>
            <w:vAlign w:val="center"/>
          </w:tcPr>
          <w:p>
            <w:pPr>
              <w:pStyle w:val="TableContents"/>
              <w:bidi w:val="0"/>
              <w:spacing w:before="0" w:after="283"/>
              <w:jc w:val="left"/>
              <w:rPr/>
            </w:pPr>
            <w:r>
              <w:rPr/>
              <w:t>)</w:t>
            </w:r>
          </w:p>
        </w:tc>
      </w:tr>
      <w:tr>
        <w:trPr/>
        <w:tc>
          <w:tcPr>
            <w:tcW w:w="6050" w:type="dxa"/>
            <w:tcBorders/>
            <w:shd w:fill="FFFFFF" w:val="clear"/>
            <w:vAlign w:val="center"/>
          </w:tcPr>
          <w:p>
            <w:pPr>
              <w:pStyle w:val="TableContents"/>
              <w:bidi w:val="0"/>
              <w:spacing w:before="0" w:after="283"/>
              <w:jc w:val="left"/>
              <w:rPr/>
            </w:pPr>
            <w:r>
              <w:rPr/>
              <w:t>Income tax paid</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FFFFFF" w:val="clear"/>
            <w:tcMar>
              <w:bottom w:w="28" w:type="dxa"/>
            </w:tcMar>
            <w:vAlign w:val="center"/>
          </w:tcPr>
          <w:p>
            <w:pPr>
              <w:pStyle w:val="TableContents"/>
              <w:bidi w:val="0"/>
              <w:spacing w:before="0" w:after="283"/>
              <w:jc w:val="right"/>
              <w:rPr/>
            </w:pPr>
            <w:r>
              <w:rPr/>
              <w:t>(5,741</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(1,250</w:t>
            </w:r>
          </w:p>
        </w:tc>
        <w:tc>
          <w:tcPr>
            <w:tcW w:w="110" w:type="dxa"/>
            <w:tcBorders/>
            <w:shd w:fill="FFFFFF" w:val="clear"/>
            <w:vAlign w:val="center"/>
          </w:tcPr>
          <w:p>
            <w:pPr>
              <w:pStyle w:val="TableContents"/>
              <w:bidi w:val="0"/>
              <w:spacing w:before="0" w:after="283"/>
              <w:jc w:val="left"/>
              <w:rPr/>
            </w:pPr>
            <w:r>
              <w:rPr/>
              <w:t>)</w:t>
            </w:r>
          </w:p>
        </w:tc>
      </w:tr>
      <w:tr>
        <w:trPr/>
        <w:tc>
          <w:tcPr>
            <w:tcW w:w="6050" w:type="dxa"/>
            <w:tcBorders/>
            <w:shd w:fill="CCEEFF" w:val="clear"/>
            <w:vAlign w:val="center"/>
          </w:tcPr>
          <w:p>
            <w:pPr>
              <w:pStyle w:val="TableContents"/>
              <w:bidi w:val="0"/>
              <w:spacing w:before="0" w:after="283"/>
              <w:jc w:val="left"/>
              <w:rPr/>
            </w:pPr>
            <w:r>
              <w:rPr/>
              <w:t>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537,285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641,959</w:t>
            </w:r>
          </w:p>
        </w:tc>
        <w:tc>
          <w:tcPr>
            <w:tcW w:w="11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Net cash flows utilized by investing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(493,052</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(317,118</w:t>
            </w:r>
          </w:p>
        </w:tc>
        <w:tc>
          <w:tcPr>
            <w:tcW w:w="110" w:type="dxa"/>
            <w:tcBorders/>
            <w:shd w:fill="FFFFFF" w:val="clear"/>
            <w:vAlign w:val="center"/>
          </w:tcPr>
          <w:p>
            <w:pPr>
              <w:pStyle w:val="TableContents"/>
              <w:bidi w:val="0"/>
              <w:spacing w:before="0" w:after="283"/>
              <w:jc w:val="left"/>
              <w:rPr/>
            </w:pPr>
            <w:r>
              <w:rPr/>
              <w:t>)</w:t>
            </w:r>
          </w:p>
        </w:tc>
      </w:tr>
      <w:tr>
        <w:trPr/>
        <w:tc>
          <w:tcPr>
            <w:tcW w:w="6050" w:type="dxa"/>
            <w:tcBorders/>
            <w:shd w:fill="CCEEFF" w:val="clear"/>
            <w:vAlign w:val="center"/>
          </w:tcPr>
          <w:p>
            <w:pPr>
              <w:pStyle w:val="TableContents"/>
              <w:bidi w:val="0"/>
              <w:spacing w:before="0" w:after="283"/>
              <w:jc w:val="left"/>
              <w:rPr/>
            </w:pPr>
            <w:r>
              <w:rPr/>
              <w:t>Net cash flows utilized by financing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CCEEFF" w:val="clear"/>
            <w:tcMar>
              <w:bottom w:w="28" w:type="dxa"/>
            </w:tcMar>
            <w:vAlign w:val="center"/>
          </w:tcPr>
          <w:p>
            <w:pPr>
              <w:pStyle w:val="TableContents"/>
              <w:bidi w:val="0"/>
              <w:spacing w:before="0" w:after="283"/>
              <w:jc w:val="right"/>
              <w:rPr/>
            </w:pPr>
            <w:r>
              <w:rPr/>
              <w:t>(49,019</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CCEEFF" w:val="clear"/>
            <w:tcMar>
              <w:bottom w:w="28" w:type="dxa"/>
            </w:tcMar>
            <w:vAlign w:val="center"/>
          </w:tcPr>
          <w:p>
            <w:pPr>
              <w:pStyle w:val="TableContents"/>
              <w:bidi w:val="0"/>
              <w:spacing w:before="0" w:after="283"/>
              <w:jc w:val="right"/>
              <w:rPr/>
            </w:pPr>
            <w:r>
              <w:rPr/>
              <w:t>(35,295</w:t>
            </w:r>
          </w:p>
        </w:tc>
        <w:tc>
          <w:tcPr>
            <w:tcW w:w="110" w:type="dxa"/>
            <w:tcBorders/>
            <w:shd w:fill="CCEEFF" w:val="clear"/>
            <w:vAlign w:val="center"/>
          </w:tcPr>
          <w:p>
            <w:pPr>
              <w:pStyle w:val="TableContents"/>
              <w:bidi w:val="0"/>
              <w:spacing w:before="0" w:after="283"/>
              <w:jc w:val="left"/>
              <w:rPr/>
            </w:pPr>
            <w:r>
              <w:rPr/>
              <w:t>)</w:t>
            </w:r>
          </w:p>
        </w:tc>
      </w:tr>
      <w:tr>
        <w:trPr/>
        <w:tc>
          <w:tcPr>
            <w:tcW w:w="6050" w:type="dxa"/>
            <w:tcBorders/>
            <w:shd w:fill="FFFFFF" w:val="clear"/>
            <w:vAlign w:val="center"/>
          </w:tcPr>
          <w:p>
            <w:pPr>
              <w:pStyle w:val="TableContents"/>
              <w:bidi w:val="0"/>
              <w:spacing w:before="0" w:after="283"/>
              <w:jc w:val="left"/>
              <w:rPr>
                <w:b/>
              </w:rPr>
            </w:pPr>
            <w:r>
              <w:rPr>
                <w:b/>
              </w:rPr>
              <w:t>Net cash and cash equivalents movements for the period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(4,786</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289,546</w:t>
            </w:r>
          </w:p>
        </w:tc>
        <w:tc>
          <w:tcPr>
            <w:tcW w:w="110"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283"/>
              <w:jc w:val="left"/>
              <w:rPr/>
            </w:pPr>
            <w:r>
              <w:rPr/>
              <w:t>Cash and cash equivalents as at the beginning of the period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746,206</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837,583</w:t>
            </w:r>
          </w:p>
        </w:tc>
        <w:tc>
          <w:tcPr>
            <w:tcW w:w="11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283"/>
              <w:jc w:val="left"/>
              <w:rPr/>
            </w:pPr>
            <w:r>
              <w:rPr/>
              <w:t>Translation differences on cash and cash equivalents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shd w:fill="FFFFFF" w:val="clear"/>
            <w:tcMar>
              <w:bottom w:w="28" w:type="dxa"/>
            </w:tcMar>
            <w:vAlign w:val="center"/>
          </w:tcPr>
          <w:p>
            <w:pPr>
              <w:pStyle w:val="TableContents"/>
              <w:bidi w:val="0"/>
              <w:spacing w:before="0" w:after="283"/>
              <w:jc w:val="right"/>
              <w:rPr/>
            </w:pPr>
            <w:r>
              <w:rPr/>
              <w:t>14,112</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(24,462</w:t>
            </w:r>
          </w:p>
        </w:tc>
        <w:tc>
          <w:tcPr>
            <w:tcW w:w="110" w:type="dxa"/>
            <w:tcBorders/>
            <w:shd w:fill="FFFFFF" w:val="clear"/>
            <w:vAlign w:val="center"/>
          </w:tcPr>
          <w:p>
            <w:pPr>
              <w:pStyle w:val="TableContents"/>
              <w:bidi w:val="0"/>
              <w:spacing w:before="0" w:after="283"/>
              <w:jc w:val="left"/>
              <w:rPr/>
            </w:pPr>
            <w:r>
              <w:rPr/>
              <w:t>)</w:t>
            </w:r>
          </w:p>
        </w:tc>
      </w:tr>
      <w:tr>
        <w:trPr/>
        <w:tc>
          <w:tcPr>
            <w:tcW w:w="6050" w:type="dxa"/>
            <w:tcBorders/>
            <w:shd w:fill="CCEEFF" w:val="clear"/>
            <w:vAlign w:val="center"/>
          </w:tcPr>
          <w:p>
            <w:pPr>
              <w:pStyle w:val="TableContents"/>
              <w:bidi w:val="0"/>
              <w:spacing w:before="0" w:after="283"/>
              <w:jc w:val="left"/>
              <w:rPr>
                <w:b/>
              </w:rPr>
            </w:pPr>
            <w:r>
              <w:rPr>
                <w:b/>
              </w:rPr>
              <w:t>Total 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double" w:sz="10" w:space="0" w:color="000000"/>
            </w:tcBorders>
            <w:shd w:fill="CCEEFF" w:val="clear"/>
            <w:tcMar>
              <w:bottom w:w="28" w:type="dxa"/>
            </w:tcMar>
            <w:vAlign w:val="center"/>
          </w:tcPr>
          <w:p>
            <w:pPr>
              <w:pStyle w:val="TableContents"/>
              <w:bidi w:val="0"/>
              <w:spacing w:before="0" w:after="283"/>
              <w:jc w:val="right"/>
              <w:rPr/>
            </w:pPr>
            <w:r>
              <w:rPr/>
              <w:t>755,532</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double" w:sz="10" w:space="0" w:color="000000"/>
            </w:tcBorders>
            <w:shd w:fill="CCEEFF" w:val="clear"/>
            <w:tcMar>
              <w:bottom w:w="28" w:type="dxa"/>
            </w:tcMar>
            <w:vAlign w:val="center"/>
          </w:tcPr>
          <w:p>
            <w:pPr>
              <w:pStyle w:val="TableContents"/>
              <w:bidi w:val="0"/>
              <w:spacing w:before="0" w:after="283"/>
              <w:jc w:val="right"/>
              <w:rPr/>
            </w:pPr>
            <w:r>
              <w:rPr/>
              <w:t>1,102,667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12" w:space="1" w:color="000000"/>
        </w:rPr>
      </w:pPr>
      <w:r>
        <w:rPr>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RECONCILIATION OF FREE CASH FLOW (A NON-IFRS MEASURE)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2222" w:right="0" w:hanging="0"/>
        <w:jc w:val="center"/>
        <w:rPr>
          <w:caps w:val="false"/>
          <w:smallCaps w:val="false"/>
        </w:rPr>
      </w:pPr>
      <w:r>
        <w:rPr>
          <w:caps w:val="false"/>
          <w:smallCaps w:val="false"/>
        </w:rPr>
        <w:t> </w:t>
      </w:r>
    </w:p>
    <w:tbl>
      <w:tblPr>
        <w:tblW w:w="6551" w:type="dxa"/>
        <w:jc w:val="left"/>
        <w:tblInd w:w="0" w:type="dxa"/>
        <w:tblLayout w:type="fixed"/>
        <w:tblCellMar>
          <w:top w:w="0" w:type="dxa"/>
          <w:left w:w="0" w:type="dxa"/>
          <w:bottom w:w="0" w:type="dxa"/>
          <w:right w:w="0" w:type="dxa"/>
        </w:tblCellMar>
      </w:tblPr>
      <w:tblGrid>
        <w:gridCol w:w="4175"/>
        <w:gridCol w:w="60"/>
        <w:gridCol w:w="65"/>
        <w:gridCol w:w="954"/>
        <w:gridCol w:w="103"/>
        <w:gridCol w:w="65"/>
        <w:gridCol w:w="65"/>
        <w:gridCol w:w="954"/>
        <w:gridCol w:w="110"/>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May 31,</w:t>
            </w:r>
          </w:p>
        </w:tc>
        <w:tc>
          <w:tcPr>
            <w:tcW w:w="11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Net cash generated from operating activities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537,285</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641,959</w:t>
            </w:r>
          </w:p>
        </w:tc>
        <w:tc>
          <w:tcPr>
            <w:tcW w:w="11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purchase of property, plant and equipment</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(477,623</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(303,834</w:t>
            </w:r>
          </w:p>
        </w:tc>
        <w:tc>
          <w:tcPr>
            <w:tcW w:w="110" w:type="dxa"/>
            <w:tcBorders/>
            <w:shd w:fill="FFFFFF" w:val="clear"/>
            <w:vAlign w:val="center"/>
          </w:tcPr>
          <w:p>
            <w:pPr>
              <w:pStyle w:val="TableContents"/>
              <w:bidi w:val="0"/>
              <w:spacing w:before="0" w:after="283"/>
              <w:jc w:val="left"/>
              <w:rPr/>
            </w:pPr>
            <w:r>
              <w:rPr/>
              <w:t>)</w:t>
            </w:r>
          </w:p>
        </w:tc>
      </w:tr>
      <w:tr>
        <w:trPr/>
        <w:tc>
          <w:tcPr>
            <w:tcW w:w="4175" w:type="dxa"/>
            <w:tcBorders/>
            <w:shd w:fill="CCEEFF" w:val="clear"/>
            <w:vAlign w:val="center"/>
          </w:tcPr>
          <w:p>
            <w:pPr>
              <w:pStyle w:val="TableContents"/>
              <w:bidi w:val="0"/>
              <w:spacing w:before="0" w:after="283"/>
              <w:jc w:val="left"/>
              <w:rPr/>
            </w:pPr>
            <w:r>
              <w:rPr>
                <w:b/>
              </w:rPr>
              <w:t>Free Cash Flow</w:t>
            </w:r>
            <w:r>
              <w:rPr/>
              <w:t xml:space="preserve"> (a non-IFRS measure)</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pPr>
            <w:r>
              <w:rPr/>
              <w:t>59,662</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pPr>
            <w:r>
              <w:rPr/>
              <w:t>338,125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10043"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For the quarter ended May 31, 2026, included in the purchase of property, plant and equipment are development cost of ZAR3.0 million (Q1 2026: ZAR2.6 million) for the new South African Central Office in Rosebank, Johannesburg.</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1287"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PROFIT FOR THE PERIOD TO ADJUSTED EBITDA (A NON-IFRS MEASURE)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1287"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12"/>
        <w:gridCol w:w="60"/>
        <w:gridCol w:w="65"/>
        <w:gridCol w:w="883"/>
        <w:gridCol w:w="237"/>
        <w:gridCol w:w="65"/>
        <w:gridCol w:w="65"/>
        <w:gridCol w:w="883"/>
        <w:gridCol w:w="235"/>
      </w:tblGrid>
      <w:tr>
        <w:trPr/>
        <w:tc>
          <w:tcPr>
            <w:tcW w:w="77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May 31,</w:t>
            </w:r>
          </w:p>
        </w:tc>
        <w:tc>
          <w:tcPr>
            <w:tcW w:w="235" w:type="dxa"/>
            <w:tcBorders/>
            <w:vAlign w:val="center"/>
          </w:tcPr>
          <w:p>
            <w:pPr>
              <w:pStyle w:val="TableContents"/>
              <w:bidi w:val="0"/>
              <w:spacing w:before="0" w:after="283"/>
              <w:jc w:val="left"/>
              <w:rPr/>
            </w:pPr>
            <w:r>
              <w:rPr/>
              <w:t> </w:t>
            </w:r>
          </w:p>
        </w:tc>
      </w:tr>
      <w:tr>
        <w:trPr/>
        <w:tc>
          <w:tcPr>
            <w:tcW w:w="77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3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5" w:type="dxa"/>
            <w:tcBorders/>
            <w:vAlign w:val="center"/>
          </w:tcPr>
          <w:p>
            <w:pPr>
              <w:pStyle w:val="TableContents"/>
              <w:bidi w:val="0"/>
              <w:spacing w:before="0" w:after="283"/>
              <w:jc w:val="left"/>
              <w:rPr/>
            </w:pPr>
            <w:r>
              <w:rPr/>
              <w:t> </w:t>
            </w:r>
          </w:p>
        </w:tc>
      </w:tr>
      <w:tr>
        <w:trPr/>
        <w:tc>
          <w:tcPr>
            <w:tcW w:w="77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8" w:type="dxa"/>
            <w:gridSpan w:val="6"/>
            <w:tcBorders/>
            <w:vAlign w:val="center"/>
          </w:tcPr>
          <w:p>
            <w:pPr>
              <w:pStyle w:val="TableContents"/>
              <w:bidi w:val="0"/>
              <w:spacing w:before="0" w:after="283"/>
              <w:jc w:val="center"/>
              <w:rPr>
                <w:b/>
              </w:rPr>
            </w:pPr>
            <w:r>
              <w:rPr>
                <w:b/>
              </w:rPr>
              <w:t>(Rand Thousands)</w:t>
            </w:r>
          </w:p>
        </w:tc>
        <w:tc>
          <w:tcPr>
            <w:tcW w:w="235" w:type="dxa"/>
            <w:tcBorders/>
            <w:vAlign w:val="center"/>
          </w:tcPr>
          <w:p>
            <w:pPr>
              <w:pStyle w:val="TableContents"/>
              <w:bidi w:val="0"/>
              <w:spacing w:before="0" w:after="283"/>
              <w:jc w:val="left"/>
              <w:rPr/>
            </w:pPr>
            <w:r>
              <w:rPr/>
              <w:t> </w:t>
            </w:r>
          </w:p>
        </w:tc>
      </w:tr>
      <w:tr>
        <w:trPr/>
        <w:tc>
          <w:tcPr>
            <w:tcW w:w="7712" w:type="dxa"/>
            <w:tcBorders/>
            <w:shd w:fill="CCEEFF" w:val="clear"/>
            <w:vAlign w:val="center"/>
          </w:tcPr>
          <w:p>
            <w:pPr>
              <w:pStyle w:val="TableContents"/>
              <w:bidi w:val="0"/>
              <w:spacing w:before="0" w:after="283"/>
              <w:jc w:val="left"/>
              <w:rPr>
                <w:b/>
              </w:rPr>
            </w:pPr>
            <w:r>
              <w:rPr>
                <w:b/>
              </w:rPr>
              <w:t>Profit for the period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298,956</w:t>
            </w:r>
          </w:p>
        </w:tc>
        <w:tc>
          <w:tcPr>
            <w:tcW w:w="23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268,874</w:t>
            </w:r>
          </w:p>
        </w:tc>
        <w:tc>
          <w:tcPr>
            <w:tcW w:w="235" w:type="dxa"/>
            <w:tcBorders/>
            <w:shd w:fill="CCEEFF" w:val="clear"/>
            <w:vAlign w:val="center"/>
          </w:tcPr>
          <w:p>
            <w:pPr>
              <w:pStyle w:val="TableContents"/>
              <w:bidi w:val="0"/>
              <w:spacing w:before="0" w:after="283"/>
              <w:jc w:val="left"/>
              <w:rPr/>
            </w:pPr>
            <w:r>
              <w:rPr/>
              <w:t> </w:t>
            </w:r>
          </w:p>
        </w:tc>
      </w:tr>
      <w:tr>
        <w:trPr/>
        <w:tc>
          <w:tcPr>
            <w:tcW w:w="7712" w:type="dxa"/>
            <w:tcBorders/>
            <w:shd w:fill="FFFFFF" w:val="clear"/>
            <w:vAlign w:val="center"/>
          </w:tcPr>
          <w:p>
            <w:pPr>
              <w:pStyle w:val="TableContents"/>
              <w:bidi w:val="0"/>
              <w:spacing w:before="0" w:after="283"/>
              <w:jc w:val="left"/>
              <w:rPr/>
            </w:pPr>
            <w:r>
              <w:rPr/>
              <w:t>Taxation</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93,758</w:t>
            </w:r>
          </w:p>
        </w:tc>
        <w:tc>
          <w:tcPr>
            <w:tcW w:w="23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78,183</w:t>
            </w:r>
          </w:p>
        </w:tc>
        <w:tc>
          <w:tcPr>
            <w:tcW w:w="235" w:type="dxa"/>
            <w:tcBorders/>
            <w:shd w:fill="FFFFFF" w:val="clear"/>
            <w:vAlign w:val="center"/>
          </w:tcPr>
          <w:p>
            <w:pPr>
              <w:pStyle w:val="TableContents"/>
              <w:bidi w:val="0"/>
              <w:spacing w:before="0" w:after="283"/>
              <w:jc w:val="left"/>
              <w:rPr/>
            </w:pPr>
            <w:r>
              <w:rPr/>
              <w:t> </w:t>
            </w:r>
          </w:p>
        </w:tc>
      </w:tr>
      <w:tr>
        <w:trPr/>
        <w:tc>
          <w:tcPr>
            <w:tcW w:w="7712"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(8,563</w:t>
            </w:r>
          </w:p>
        </w:tc>
        <w:tc>
          <w:tcPr>
            <w:tcW w:w="237"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(10,429</w:t>
            </w:r>
          </w:p>
        </w:tc>
        <w:tc>
          <w:tcPr>
            <w:tcW w:w="235" w:type="dxa"/>
            <w:tcBorders/>
            <w:shd w:fill="CCEEFF" w:val="clear"/>
            <w:vAlign w:val="center"/>
          </w:tcPr>
          <w:p>
            <w:pPr>
              <w:pStyle w:val="TableContents"/>
              <w:bidi w:val="0"/>
              <w:spacing w:before="0" w:after="283"/>
              <w:jc w:val="left"/>
              <w:rPr/>
            </w:pPr>
            <w:r>
              <w:rPr/>
              <w:t>)</w:t>
            </w:r>
          </w:p>
        </w:tc>
      </w:tr>
      <w:tr>
        <w:trPr/>
        <w:tc>
          <w:tcPr>
            <w:tcW w:w="7712"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25,535</w:t>
            </w:r>
          </w:p>
        </w:tc>
        <w:tc>
          <w:tcPr>
            <w:tcW w:w="23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15,166</w:t>
            </w:r>
          </w:p>
        </w:tc>
        <w:tc>
          <w:tcPr>
            <w:tcW w:w="235" w:type="dxa"/>
            <w:tcBorders/>
            <w:shd w:fill="FFFFFF" w:val="clear"/>
            <w:vAlign w:val="center"/>
          </w:tcPr>
          <w:p>
            <w:pPr>
              <w:pStyle w:val="TableContents"/>
              <w:bidi w:val="0"/>
              <w:spacing w:before="0" w:after="283"/>
              <w:jc w:val="left"/>
              <w:rPr/>
            </w:pPr>
            <w:r>
              <w:rPr/>
              <w:t> </w:t>
            </w:r>
          </w:p>
        </w:tc>
      </w:tr>
      <w:tr>
        <w:trPr/>
        <w:tc>
          <w:tcPr>
            <w:tcW w:w="7712" w:type="dxa"/>
            <w:tcBorders/>
            <w:shd w:fill="CCEEFF" w:val="clear"/>
            <w:vAlign w:val="center"/>
          </w:tcPr>
          <w:p>
            <w:pPr>
              <w:pStyle w:val="TableContents"/>
              <w:bidi w:val="0"/>
              <w:spacing w:before="0" w:after="283"/>
              <w:jc w:val="left"/>
              <w:rPr/>
            </w:pPr>
            <w:r>
              <w:rPr/>
              <w:t>Depreciation of property, plant and equipment and amortization of intangible assets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232,539</w:t>
            </w:r>
          </w:p>
        </w:tc>
        <w:tc>
          <w:tcPr>
            <w:tcW w:w="23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191,759</w:t>
            </w:r>
          </w:p>
        </w:tc>
        <w:tc>
          <w:tcPr>
            <w:tcW w:w="235" w:type="dxa"/>
            <w:tcBorders/>
            <w:shd w:fill="CCEEFF" w:val="clear"/>
            <w:vAlign w:val="center"/>
          </w:tcPr>
          <w:p>
            <w:pPr>
              <w:pStyle w:val="TableContents"/>
              <w:bidi w:val="0"/>
              <w:spacing w:before="0" w:after="283"/>
              <w:jc w:val="left"/>
              <w:rPr/>
            </w:pPr>
            <w:r>
              <w:rPr/>
              <w:t> </w:t>
            </w:r>
          </w:p>
        </w:tc>
      </w:tr>
      <w:tr>
        <w:trPr/>
        <w:tc>
          <w:tcPr>
            <w:tcW w:w="7712" w:type="dxa"/>
            <w:tcBorders/>
            <w:shd w:fill="FFFFFF" w:val="clear"/>
            <w:vAlign w:val="center"/>
          </w:tcPr>
          <w:p>
            <w:pPr>
              <w:pStyle w:val="TableContents"/>
              <w:bidi w:val="0"/>
              <w:spacing w:before="0" w:after="283"/>
              <w:jc w:val="left"/>
              <w:rPr/>
            </w:pPr>
            <w:r>
              <w:rPr>
                <w:b/>
              </w:rPr>
              <w:t>Adjusted EBITDA</w:t>
            </w:r>
            <w:r>
              <w:rPr/>
              <w:t xml:space="preserve"> (a non-IFRS measure)</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double" w:sz="10" w:space="0" w:color="000000"/>
            </w:tcBorders>
            <w:shd w:fill="FFFFFF" w:val="clear"/>
            <w:tcMar>
              <w:bottom w:w="28" w:type="dxa"/>
            </w:tcMar>
            <w:vAlign w:val="center"/>
          </w:tcPr>
          <w:p>
            <w:pPr>
              <w:pStyle w:val="TableContents"/>
              <w:bidi w:val="0"/>
              <w:spacing w:before="0" w:after="283"/>
              <w:jc w:val="right"/>
              <w:rPr/>
            </w:pPr>
            <w:r>
              <w:rPr/>
              <w:t>642,225</w:t>
            </w:r>
          </w:p>
        </w:tc>
        <w:tc>
          <w:tcPr>
            <w:tcW w:w="23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double" w:sz="10" w:space="0" w:color="000000"/>
            </w:tcBorders>
            <w:shd w:fill="FFFFFF" w:val="clear"/>
            <w:tcMar>
              <w:bottom w:w="28" w:type="dxa"/>
            </w:tcMar>
            <w:vAlign w:val="center"/>
          </w:tcPr>
          <w:p>
            <w:pPr>
              <w:pStyle w:val="TableContents"/>
              <w:bidi w:val="0"/>
              <w:spacing w:before="0" w:after="283"/>
              <w:jc w:val="right"/>
              <w:rPr/>
            </w:pPr>
            <w:r>
              <w:rPr/>
              <w:t>543,553</w:t>
            </w:r>
          </w:p>
        </w:tc>
        <w:tc>
          <w:tcPr>
            <w:tcW w:w="235" w:type="dxa"/>
            <w:tcBorders/>
            <w:shd w:fill="FFFFFF" w:val="clear"/>
            <w:vAlign w:val="center"/>
          </w:tcPr>
          <w:p>
            <w:pPr>
              <w:pStyle w:val="TableContents"/>
              <w:bidi w:val="0"/>
              <w:spacing w:before="0" w:after="283"/>
              <w:jc w:val="left"/>
              <w:rPr/>
            </w:pPr>
            <w:r>
              <w:rPr/>
              <w:t> </w:t>
            </w:r>
          </w:p>
        </w:tc>
      </w:tr>
      <w:tr>
        <w:trPr/>
        <w:tc>
          <w:tcPr>
            <w:tcW w:w="7712" w:type="dxa"/>
            <w:tcBorders/>
            <w:shd w:fill="CCEEFF" w:val="clear"/>
            <w:vAlign w:val="center"/>
          </w:tcPr>
          <w:p>
            <w:pPr>
              <w:pStyle w:val="TableContents"/>
              <w:bidi w:val="0"/>
              <w:spacing w:before="0" w:after="283"/>
              <w:jc w:val="left"/>
              <w:rPr>
                <w:b/>
              </w:rPr>
            </w:pPr>
            <w:r>
              <w:rPr>
                <w:b/>
              </w:rPr>
              <w:t>Profit margin</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19</w:t>
            </w:r>
          </w:p>
        </w:tc>
        <w:tc>
          <w:tcPr>
            <w:tcW w:w="237"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21</w:t>
            </w:r>
          </w:p>
        </w:tc>
        <w:tc>
          <w:tcPr>
            <w:tcW w:w="235" w:type="dxa"/>
            <w:tcBorders/>
            <w:shd w:fill="CCEEFF" w:val="clear"/>
            <w:vAlign w:val="center"/>
          </w:tcPr>
          <w:p>
            <w:pPr>
              <w:pStyle w:val="TableContents"/>
              <w:bidi w:val="0"/>
              <w:spacing w:before="0" w:after="283"/>
              <w:jc w:val="left"/>
              <w:rPr/>
            </w:pPr>
            <w:r>
              <w:rPr/>
              <w:t>%</w:t>
            </w:r>
          </w:p>
        </w:tc>
      </w:tr>
      <w:tr>
        <w:trPr/>
        <w:tc>
          <w:tcPr>
            <w:tcW w:w="7712" w:type="dxa"/>
            <w:tcBorders/>
            <w:shd w:fill="FFFFFF" w:val="clear"/>
            <w:vAlign w:val="center"/>
          </w:tcPr>
          <w:p>
            <w:pPr>
              <w:pStyle w:val="TableContents"/>
              <w:bidi w:val="0"/>
              <w:spacing w:before="0" w:after="283"/>
              <w:jc w:val="left"/>
              <w:rPr/>
            </w:pPr>
            <w:r>
              <w:rPr>
                <w:b/>
              </w:rPr>
              <w:t>Adjusted EBITDA margin</w:t>
            </w:r>
            <w:r>
              <w:rPr/>
              <w:t xml:space="preserve"> (a non-IFRS measure)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41</w:t>
            </w:r>
          </w:p>
        </w:tc>
        <w:tc>
          <w:tcPr>
            <w:tcW w:w="237"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43</w:t>
            </w:r>
          </w:p>
        </w:tc>
        <w:tc>
          <w:tcPr>
            <w:tcW w:w="23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287"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 xml:space="preserve">BASIC AND DILUTED EARNINGS PER SHARE AND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EARNINGS PER SHARE (A NON-IFRS MEASURE)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01"/>
        <w:gridCol w:w="60"/>
        <w:gridCol w:w="67"/>
        <w:gridCol w:w="899"/>
        <w:gridCol w:w="67"/>
        <w:gridCol w:w="67"/>
        <w:gridCol w:w="67"/>
        <w:gridCol w:w="899"/>
        <w:gridCol w:w="78"/>
      </w:tblGrid>
      <w:tr>
        <w:trPr/>
        <w:tc>
          <w:tcPr>
            <w:tcW w:w="80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0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May 31,</w:t>
            </w:r>
          </w:p>
        </w:tc>
        <w:tc>
          <w:tcPr>
            <w:tcW w:w="78" w:type="dxa"/>
            <w:tcBorders/>
            <w:vAlign w:val="center"/>
          </w:tcPr>
          <w:p>
            <w:pPr>
              <w:pStyle w:val="TableContents"/>
              <w:bidi w:val="0"/>
              <w:spacing w:before="0" w:after="283"/>
              <w:jc w:val="left"/>
              <w:rPr/>
            </w:pPr>
            <w:r>
              <w:rPr/>
              <w:t> </w:t>
            </w:r>
          </w:p>
        </w:tc>
      </w:tr>
      <w:tr>
        <w:trPr/>
        <w:tc>
          <w:tcPr>
            <w:tcW w:w="80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9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jc w:val="left"/>
              <w:rPr/>
            </w:pPr>
            <w:r>
              <w:rPr/>
              <w:t> </w:t>
            </w:r>
          </w:p>
        </w:tc>
      </w:tr>
      <w:tr>
        <w:trPr/>
        <w:tc>
          <w:tcPr>
            <w:tcW w:w="80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6" w:type="dxa"/>
            <w:gridSpan w:val="2"/>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966"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ind w:left="0" w:right="0" w:hanging="180"/>
              <w:jc w:val="left"/>
              <w:rPr/>
            </w:pPr>
            <w:r>
              <w:rPr/>
              <w:t> </w:t>
            </w:r>
          </w:p>
        </w:tc>
      </w:tr>
      <w:tr>
        <w:trPr/>
        <w:tc>
          <w:tcPr>
            <w:tcW w:w="8001" w:type="dxa"/>
            <w:tcBorders/>
            <w:shd w:fill="FFFFFF" w:val="clear"/>
            <w:vAlign w:val="center"/>
          </w:tcPr>
          <w:p>
            <w:pPr>
              <w:pStyle w:val="TableContents"/>
              <w:bidi w:val="0"/>
              <w:spacing w:before="0" w:after="283"/>
              <w:jc w:val="left"/>
              <w:rPr/>
            </w:pPr>
            <w:r>
              <w:rPr>
                <w:b/>
              </w:rPr>
              <w:t>Reconciliation between basic earnings and adjusted earnings</w:t>
            </w:r>
            <w:r>
              <w:rPr/>
              <w:t xml:space="preserve"> (a non-IFRS measure)</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8001" w:type="dxa"/>
            <w:tcBorders/>
            <w:shd w:fill="CCEEFF" w:val="clear"/>
            <w:vAlign w:val="center"/>
          </w:tcPr>
          <w:p>
            <w:pPr>
              <w:pStyle w:val="TableContents"/>
              <w:bidi w:val="0"/>
              <w:spacing w:before="0" w:after="283"/>
              <w:jc w:val="left"/>
              <w:rPr>
                <w:b/>
              </w:rPr>
            </w:pPr>
            <w:r>
              <w:rPr>
                <w:b/>
              </w:rPr>
              <w:t>Profit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294,259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264,095</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80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8001" w:type="dxa"/>
            <w:tcBorders/>
            <w:shd w:fill="CCEEFF" w:val="clear"/>
            <w:vAlign w:val="center"/>
          </w:tcPr>
          <w:p>
            <w:pPr>
              <w:pStyle w:val="TableContents"/>
              <w:bidi w:val="0"/>
              <w:spacing w:before="0" w:after="283"/>
              <w:jc w:val="both"/>
              <w:rPr/>
            </w:pPr>
            <w:r>
              <w:rPr/>
              <w:t>Weighted average number of ordinary shares in issue at period end (000’s) on which the per share figures have been calculated</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30,893</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30,893</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80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8001" w:type="dxa"/>
            <w:tcBorders/>
            <w:shd w:fill="CCEEFF" w:val="clear"/>
            <w:vAlign w:val="center"/>
          </w:tcPr>
          <w:p>
            <w:pPr>
              <w:pStyle w:val="TableContents"/>
              <w:bidi w:val="0"/>
              <w:spacing w:before="0" w:after="283"/>
              <w:jc w:val="left"/>
              <w:rPr>
                <w:b/>
              </w:rPr>
            </w:pPr>
            <w:r>
              <w:rPr>
                <w:b/>
              </w:rPr>
              <w:t>Basic and diluted earnings per share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9.53</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8.55</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80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80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Adjusted basic and diluted earnings per share</w:t>
            </w:r>
            <w:r>
              <w:rPr>
                <w:rFonts w:ascii="Times New Roman;Times;Serif" w:hAnsi="Times New Roman;Times;Serif"/>
                <w:position w:val="7"/>
                <w:sz w:val="16"/>
                <w:sz w:val="20"/>
              </w:rPr>
              <w:t>1</w:t>
            </w:r>
            <w:r>
              <w:rPr>
                <w:rFonts w:ascii="Times New Roman;Times;Serif" w:hAnsi="Times New Roman;Times;Serif"/>
                <w:sz w:val="20"/>
              </w:rPr>
              <w:t xml:space="preserve"> (a non-IFRS measure)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9.53</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8.55</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100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Adjusted earnings per share, (a non-IFRS measure) is defined as, earnings per share defined by IFRS excluding the impact of specific non-recurring operational expenses as outlined in the reconciliation.</w:t>
            </w:r>
          </w:p>
        </w:tc>
      </w:tr>
    </w:tbl>
    <w:p>
      <w:pPr>
        <w:pStyle w:val="TextBody"/>
        <w:bidi w:val="0"/>
        <w:spacing w:before="0" w:after="0"/>
        <w:ind w:left="851" w:right="0" w:hanging="360"/>
        <w:jc w:val="left"/>
        <w:rPr>
          <w:caps w:val="false"/>
          <w:smallCaps w:val="false"/>
        </w:rPr>
      </w:pPr>
      <w:r>
        <w:rPr>
          <w:caps w:val="false"/>
          <w:smallCaps w:val="false"/>
        </w:rPr>
        <w:t> </w:t>
      </w:r>
    </w:p>
    <w:p>
      <w:pPr>
        <w:pStyle w:val="TextBody"/>
        <w:bidi w:val="0"/>
        <w:spacing w:before="0" w:after="0"/>
        <w:ind w:left="1287" w:right="0" w:hanging="0"/>
        <w:jc w:val="center"/>
        <w:rPr>
          <w:sz w:val="20"/>
          <w:bdr w:val="single" w:sz="12" w:space="1" w:color="000000"/>
        </w:rPr>
      </w:pPr>
      <w:r>
        <w:rPr>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1287"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CONSTANT CURRENCY (A NON-IFRS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Constant currency information has been presented to illustrate the impact of changes in currency rates on the group’s results. The tables below provide the unaudited constant currency reconciliation to the reported measure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constant currency information has been determined by adjusting the current financial reporting period results using the average of the monthly exchange rates applicable to the three months ended May 31, 2025. The measurement has been performed for each of the group’s operating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REVENUE</w:t>
      </w:r>
    </w:p>
    <w:p>
      <w:pPr>
        <w:pStyle w:val="TextBody"/>
        <w:bidi w:val="0"/>
        <w:spacing w:before="0" w:after="0"/>
        <w:ind w:left="274" w:right="0" w:hanging="0"/>
        <w:jc w:val="both"/>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4745"/>
        <w:gridCol w:w="60"/>
        <w:gridCol w:w="70"/>
        <w:gridCol w:w="1148"/>
        <w:gridCol w:w="70"/>
        <w:gridCol w:w="70"/>
        <w:gridCol w:w="70"/>
        <w:gridCol w:w="1148"/>
        <w:gridCol w:w="70"/>
        <w:gridCol w:w="70"/>
        <w:gridCol w:w="176"/>
        <w:gridCol w:w="773"/>
        <w:gridCol w:w="23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May 31,</w:t>
            </w:r>
          </w:p>
        </w:tc>
        <w:tc>
          <w:tcPr>
            <w:tcW w:w="23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right"/>
              <w:rPr>
                <w:b/>
              </w:rPr>
            </w:pPr>
            <w:r>
              <w:rPr>
                <w:b/>
              </w:rPr>
              <w:t>Y-o-Y %</w:t>
            </w:r>
          </w:p>
        </w:tc>
        <w:tc>
          <w:tcPr>
            <w:tcW w:w="23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5" w:type="dxa"/>
            <w:gridSpan w:val="10"/>
            <w:tcBorders/>
            <w:vAlign w:val="center"/>
          </w:tcPr>
          <w:p>
            <w:pPr>
              <w:pStyle w:val="TableContents"/>
              <w:bidi w:val="0"/>
              <w:spacing w:before="0" w:after="283"/>
              <w:jc w:val="center"/>
              <w:rPr>
                <w:b/>
              </w:rPr>
            </w:pPr>
            <w:r>
              <w:rPr>
                <w:b/>
              </w:rPr>
              <w:t>(Rand Thousands)</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Subscription revenue as reported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1,353,732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1,141,059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19</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Conversion impact of other currencies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FFFFFF" w:val="clear"/>
            <w:tcMar>
              <w:bottom w:w="28" w:type="dxa"/>
            </w:tcMar>
            <w:vAlign w:val="center"/>
          </w:tcPr>
          <w:p>
            <w:pPr>
              <w:pStyle w:val="TableContents"/>
              <w:bidi w:val="0"/>
              <w:spacing w:before="0" w:after="283"/>
              <w:jc w:val="right"/>
              <w:rPr/>
            </w:pPr>
            <w:r>
              <w:rPr/>
              <w:t>30,869</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Subscription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double" w:sz="10" w:space="0" w:color="000000"/>
            </w:tcBorders>
            <w:shd w:fill="CCEEFF" w:val="clear"/>
            <w:tcMar>
              <w:bottom w:w="28" w:type="dxa"/>
            </w:tcMar>
            <w:vAlign w:val="center"/>
          </w:tcPr>
          <w:p>
            <w:pPr>
              <w:pStyle w:val="TableContents"/>
              <w:bidi w:val="0"/>
              <w:spacing w:before="0" w:after="283"/>
              <w:jc w:val="right"/>
              <w:rPr/>
            </w:pPr>
            <w:r>
              <w:rPr/>
              <w:t>1,384,601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double" w:sz="10" w:space="0" w:color="000000"/>
            </w:tcBorders>
            <w:shd w:fill="CCEEFF" w:val="clear"/>
            <w:tcMar>
              <w:bottom w:w="28" w:type="dxa"/>
            </w:tcMar>
            <w:vAlign w:val="center"/>
          </w:tcPr>
          <w:p>
            <w:pPr>
              <w:pStyle w:val="TableContents"/>
              <w:bidi w:val="0"/>
              <w:spacing w:before="0" w:after="283"/>
              <w:jc w:val="right"/>
              <w:rPr/>
            </w:pPr>
            <w:r>
              <w:rPr/>
              <w:t>1,141,059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double" w:sz="10" w:space="0" w:color="000000"/>
            </w:tcBorders>
            <w:shd w:fill="CCEEFF" w:val="clear"/>
            <w:tcMar>
              <w:bottom w:w="28" w:type="dxa"/>
            </w:tcMar>
            <w:vAlign w:val="center"/>
          </w:tcPr>
          <w:p>
            <w:pPr>
              <w:pStyle w:val="TableContents"/>
              <w:bidi w:val="0"/>
              <w:spacing w:before="0" w:after="283"/>
              <w:jc w:val="right"/>
              <w:rPr/>
            </w:pPr>
            <w:r>
              <w:rPr/>
              <w:t>21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p>
      <w:pPr>
        <w:pStyle w:val="TextBody"/>
        <w:bidi w:val="0"/>
        <w:spacing w:before="0" w:after="0"/>
        <w:ind w:left="360" w:right="0" w:hanging="0"/>
        <w:jc w:val="left"/>
        <w:rPr>
          <w:caps w:val="false"/>
          <w:smallCaps w:val="false"/>
        </w:rPr>
      </w:pPr>
      <w:r>
        <w:rPr>
          <w:caps w:val="false"/>
          <w:smallCaps w:val="false"/>
        </w:rPr>
        <w:t> </w:t>
      </w:r>
    </w:p>
    <w:tbl>
      <w:tblPr>
        <w:tblW w:w="8010" w:type="dxa"/>
        <w:jc w:val="left"/>
        <w:tblInd w:w="0" w:type="dxa"/>
        <w:tblLayout w:type="fixed"/>
        <w:tblCellMar>
          <w:top w:w="0" w:type="dxa"/>
          <w:left w:w="0" w:type="dxa"/>
          <w:bottom w:w="0" w:type="dxa"/>
          <w:right w:w="0" w:type="dxa"/>
        </w:tblCellMar>
      </w:tblPr>
      <w:tblGrid>
        <w:gridCol w:w="4055"/>
        <w:gridCol w:w="60"/>
        <w:gridCol w:w="70"/>
        <w:gridCol w:w="1148"/>
        <w:gridCol w:w="70"/>
        <w:gridCol w:w="70"/>
        <w:gridCol w:w="70"/>
        <w:gridCol w:w="1148"/>
        <w:gridCol w:w="70"/>
        <w:gridCol w:w="70"/>
        <w:gridCol w:w="176"/>
        <w:gridCol w:w="773"/>
        <w:gridCol w:w="230"/>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May 31,</w:t>
            </w:r>
          </w:p>
        </w:tc>
        <w:tc>
          <w:tcPr>
            <w:tcW w:w="23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right"/>
              <w:rPr>
                <w:b/>
              </w:rPr>
            </w:pPr>
            <w:r>
              <w:rPr>
                <w:b/>
              </w:rPr>
              <w:t>Y-o-Y %</w:t>
            </w:r>
          </w:p>
        </w:tc>
        <w:tc>
          <w:tcPr>
            <w:tcW w:w="23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5" w:type="dxa"/>
            <w:gridSpan w:val="10"/>
            <w:tcBorders/>
            <w:vAlign w:val="center"/>
          </w:tcPr>
          <w:p>
            <w:pPr>
              <w:pStyle w:val="TableContents"/>
              <w:bidi w:val="0"/>
              <w:spacing w:before="0" w:after="283"/>
              <w:jc w:val="center"/>
              <w:rPr>
                <w:b/>
              </w:rPr>
            </w:pPr>
            <w:r>
              <w:rPr>
                <w:b/>
              </w:rPr>
              <w:t>(Rand Thousands)</w:t>
            </w:r>
          </w:p>
        </w:tc>
        <w:tc>
          <w:tcPr>
            <w:tcW w:w="23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Total revenue as reported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1,563,947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1,277,017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22</w:t>
            </w:r>
          </w:p>
        </w:tc>
        <w:tc>
          <w:tcPr>
            <w:tcW w:w="230" w:type="dxa"/>
            <w:tcBorders/>
            <w:shd w:fill="CCEEFF" w:val="clear"/>
            <w:vAlign w:val="center"/>
          </w:tcPr>
          <w:p>
            <w:pPr>
              <w:pStyle w:val="TableContents"/>
              <w:bidi w:val="0"/>
              <w:spacing w:before="0" w:after="283"/>
              <w:jc w:val="left"/>
              <w:rPr/>
            </w:pPr>
            <w:r>
              <w:rPr/>
              <w:t>%</w:t>
            </w:r>
          </w:p>
        </w:tc>
      </w:tr>
      <w:tr>
        <w:trPr/>
        <w:tc>
          <w:tcPr>
            <w:tcW w:w="4055" w:type="dxa"/>
            <w:tcBorders/>
            <w:shd w:fill="FFFFFF" w:val="clear"/>
            <w:vAlign w:val="center"/>
          </w:tcPr>
          <w:p>
            <w:pPr>
              <w:pStyle w:val="TableContents"/>
              <w:bidi w:val="0"/>
              <w:spacing w:before="0" w:after="283"/>
              <w:jc w:val="left"/>
              <w:rPr/>
            </w:pPr>
            <w:r>
              <w:rPr/>
              <w:t>Conversion impact of other currencies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FFFFFF" w:val="clear"/>
            <w:tcMar>
              <w:bottom w:w="28" w:type="dxa"/>
            </w:tcMar>
            <w:vAlign w:val="center"/>
          </w:tcPr>
          <w:p>
            <w:pPr>
              <w:pStyle w:val="TableContents"/>
              <w:bidi w:val="0"/>
              <w:spacing w:before="0" w:after="283"/>
              <w:jc w:val="right"/>
              <w:rPr/>
            </w:pPr>
            <w:r>
              <w:rPr/>
              <w:t>31,448</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Total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double" w:sz="10" w:space="0" w:color="000000"/>
            </w:tcBorders>
            <w:shd w:fill="CCEEFF" w:val="clear"/>
            <w:tcMar>
              <w:bottom w:w="28" w:type="dxa"/>
            </w:tcMar>
            <w:vAlign w:val="center"/>
          </w:tcPr>
          <w:p>
            <w:pPr>
              <w:pStyle w:val="TableContents"/>
              <w:bidi w:val="0"/>
              <w:spacing w:before="0" w:after="283"/>
              <w:jc w:val="right"/>
              <w:rPr/>
            </w:pPr>
            <w:r>
              <w:rPr/>
              <w:t>1,595,395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double" w:sz="10" w:space="0" w:color="000000"/>
            </w:tcBorders>
            <w:shd w:fill="CCEEFF" w:val="clear"/>
            <w:tcMar>
              <w:bottom w:w="28" w:type="dxa"/>
            </w:tcMar>
            <w:vAlign w:val="center"/>
          </w:tcPr>
          <w:p>
            <w:pPr>
              <w:pStyle w:val="TableContents"/>
              <w:bidi w:val="0"/>
              <w:spacing w:before="0" w:after="283"/>
              <w:jc w:val="right"/>
              <w:rPr/>
            </w:pPr>
            <w:r>
              <w:rPr/>
              <w:t>1,277,017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double" w:sz="10" w:space="0" w:color="000000"/>
            </w:tcBorders>
            <w:shd w:fill="CCEEFF" w:val="clear"/>
            <w:tcMar>
              <w:bottom w:w="28" w:type="dxa"/>
            </w:tcMar>
            <w:vAlign w:val="center"/>
          </w:tcPr>
          <w:p>
            <w:pPr>
              <w:pStyle w:val="TableContents"/>
              <w:bidi w:val="0"/>
              <w:spacing w:before="0" w:after="283"/>
              <w:jc w:val="right"/>
              <w:rPr/>
            </w:pPr>
            <w:r>
              <w:rPr/>
              <w:t>25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DEFINITIONS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earnings per share, (a non-IFRS measure) is defined as, earnings per share defined by IFRS excluding the impact of specific non-recurring operational expenses as outlined in the reconciliation.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(a non-IFRS measure) as profit less finance income, plus finance costs, taxation, depreciation and amortization, plus impact of non-recurring operational expenses, if any.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Delivery-as-a-service Revenue (DaaS)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Delivery-as-a-Service (DaaS) revenue as the total revenue generated from last-mile delivery services, including subscription-based revenue associated with these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Annualized Recurring Revenue (ARR)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 (a non-IFRS measure) is defined as the annual run-rate subscription revenue of subscription agreements from all customers at a point in time, calculated by taking the monthly subscription revenue for all customers during that month and multiplying by twelve. ARR is not adjusted for the impact of any known or projected future customer cancellations, service upgrades or downgrades or price increases or decreases. The amount of actual revenue that we recognize over any 12-month period is likely to differ from ARR at the beginning of that period, sometimes significantly. This may occur due to subsequent changes in our pricing, service cancellations, upgrades or downgrades and acquisitions or divestitures.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Average Revenue per Subscriber per month (ARPU)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ARPU (a non-IFRS measure) is calculated on a periodic basis by dividing the cumulative subscription revenue for the period by the average of the opening subscriber balance at the beginning of the period and closing subscriber balance at the end of the period and dividing this by the number of months in the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Cartrack Holdings </w:t>
      </w:r>
      <w:r>
        <w:rPr>
          <w:rFonts w:ascii="Times New Roman;Times;Serif" w:hAnsi="Times New Roman;Times;Serif"/>
          <w:b w:val="false"/>
          <w:i w:val="false"/>
          <w:caps w:val="false"/>
          <w:smallCaps w:val="false"/>
          <w:sz w:val="20"/>
        </w:rPr>
        <w:t>(“Cartrack”)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in accordance with IFRS.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Free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Free Cash Flow (a non-IFRS measure) as net cash generated from operating activities less purchases of property, plant and equipment. In addition to our results determined in accordance with IFRS, we believe Free Cash Flow (a non-IFRS measure) is useful in evaluating our operating performance. We believe that Free Cash Flow is a useful indicator of liquidity and the ability of the group to turn revenues into Free Cash Flow,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to net cash generated operating activities and net cash generated from operating activities as a percentage of revenue, their most directly comparable IFRS financial measure, and not to rely on any single financial measure to evaluate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of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of revenue growth and operating margin for a period of 12 months sum to greater than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of 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of revenue growth and adjusted EBITDA margin for a reporting period sum to greater than 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are non-IFRS financial measures that are used as reference of Cartrack’s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Lifetime value (LTV of a Customer) of customer relationships to customer acquisition costs (CAC)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the LTV of our customer relationships as of a measurement date by dividing (i) the product of our subscription revenue gross margin measured over the past twelve months, and the difference between our current period ARR and prior comparative period (twelve months) ARR by (ii) the percentage of ARR lost as a result of customer churn over the past twelve months. We calculate our CAC as our annual sales and marketing expense measured over the past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Lifetime value (LTV of a Subscriber), cost of acquiring a subscriber (CAS) and </w:t>
      </w:r>
      <w:r>
        <w:rPr>
          <w:rFonts w:ascii="Times New Roman;Times;Serif" w:hAnsi="Times New Roman;Times;Serif"/>
          <w:b w:val="false"/>
          <w:i w:val="false"/>
          <w:caps w:val="false"/>
          <w:smallCaps w:val="false"/>
          <w:sz w:val="20"/>
        </w:rPr>
        <w:t>cost of servicing a subscriber (CSS)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CAS, which is calculated on a per subscriber basis, as (i) sales and marketing expenses, plus (ii) sales commissions, plus (iii) cost of installing IoT equipment, divided by (iv) the average subscriber base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our long-term unit economics operational profit by multiplying (i) the product of the expected life cycle of a subscriber on our connected cloud by ARPU, minus (ii) CAS added to the product of the expected life cycle of a subscriber on our connected cloud by CSS.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the effect of acquisitions and operating decisions on us may differ materially from those made in or suggested by the forward-looking statements contained in this announcement. In addition, even if our results of operations, financial condition and liquidity, the development of the industry in which we operate, the effect of acquisitions and operating decisions on us are consistent with the forward-looking statements contained in this announcement, those results or developments may not be indicative of results or developments in subsequent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actual results to vary from projected results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170"/>
        <w:gridCol w:w="54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acquire new customers and retain existing customers;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effects of macroeconomic and geopolitical events on our business, customers and partners – including the conflicts in the Middle East and disruptions to shipping, the Russia-Ukraine war, political and economic uncertainty in Mozambique, geopolitical tensions involving China, financial distress caused by bank failures, global supply chain disruptions, foreign currency fluctuations, elevated inflation and interest rates, and shifting trade and monetary policies, and pandemic or widespread outbreaks of illness;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anticipated growth strategies, including our ability to increase sales to existing customers, the introduction of new solutions and international expansion;</w:t>
            </w:r>
          </w:p>
        </w:tc>
      </w:tr>
    </w:tbl>
    <w:p>
      <w:pPr>
        <w:pStyle w:val="TextBody"/>
        <w:bidi w:val="0"/>
        <w:spacing w:before="0" w:after="0"/>
        <w:ind w:left="0" w:right="0" w:hanging="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170"/>
        <w:gridCol w:w="80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adapt to rapid technological change in our industry, including artificial intelligence;</w:t>
            </w:r>
          </w:p>
        </w:tc>
      </w:tr>
    </w:tbl>
    <w:p>
      <w:pPr>
        <w:pStyle w:val="TextBody"/>
        <w:bidi w:val="0"/>
        <w:spacing w:before="0" w:after="0"/>
        <w:ind w:left="0" w:right="0" w:hanging="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75"/>
        <w:gridCol w:w="170"/>
        <w:gridCol w:w="30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dependence on cellular networks;</w:t>
            </w:r>
          </w:p>
        </w:tc>
      </w:tr>
    </w:tbl>
    <w:p>
      <w:pPr>
        <w:pStyle w:val="TextBody"/>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from industry consolidation;</w:t>
            </w:r>
          </w:p>
        </w:tc>
      </w:tr>
    </w:tbl>
    <w:p>
      <w:pPr>
        <w:pStyle w:val="TextBody"/>
        <w:bidi w:val="0"/>
        <w:spacing w:before="0" w:after="0"/>
        <w:ind w:left="0" w:right="0" w:hanging="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adoption of operational intelligence and fleet management platforms;</w:t>
            </w:r>
          </w:p>
        </w:tc>
      </w:tr>
    </w:tbl>
    <w:p>
      <w:pPr>
        <w:pStyle w:val="TextBody"/>
        <w:bidi w:val="0"/>
        <w:spacing w:before="0" w:after="0"/>
        <w:ind w:left="0" w:right="0" w:hanging="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automotive market conditions and the evolving nature of the automotive industry towards autonomous vehicles;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changes in our profitability and certain cost or expense items as a percentage of our revenue;</w:t>
            </w:r>
          </w:p>
        </w:tc>
      </w:tr>
    </w:tbl>
    <w:p>
      <w:pPr>
        <w:pStyle w:val="TextBody"/>
        <w:bidi w:val="0"/>
        <w:spacing w:before="0" w:after="0"/>
        <w:ind w:left="0" w:right="0" w:hanging="0"/>
        <w:jc w:val="both"/>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170"/>
        <w:gridCol w:w="53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dependence on certain key component suppliers and vendors;</w:t>
            </w:r>
          </w:p>
        </w:tc>
      </w:tr>
    </w:tbl>
    <w:p>
      <w:pPr>
        <w:pStyle w:val="TextBody"/>
        <w:bidi w:val="0"/>
        <w:spacing w:before="0" w:after="0"/>
        <w:ind w:left="0" w:right="0" w:hanging="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170"/>
        <w:gridCol w:w="46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or enhance our brand recognition;</w:t>
            </w:r>
          </w:p>
        </w:tc>
      </w:tr>
    </w:tbl>
    <w:p>
      <w:pPr>
        <w:pStyle w:val="TextBody"/>
        <w:bidi w:val="0"/>
        <w:spacing w:before="0" w:after="0"/>
        <w:ind w:left="0" w:right="0" w:hanging="0"/>
        <w:jc w:val="both"/>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170"/>
        <w:gridCol w:w="82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our key personnel or attract, train, and retain other highly qualified personnel;</w:t>
            </w:r>
          </w:p>
        </w:tc>
      </w:tr>
    </w:tbl>
    <w:p>
      <w:pPr>
        <w:pStyle w:val="TextBody"/>
        <w:bidi w:val="0"/>
        <w:spacing w:before="0" w:after="0"/>
        <w:ind w:left="0" w:right="0" w:hanging="0"/>
        <w:jc w:val="both"/>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75"/>
        <w:gridCol w:w="170"/>
        <w:gridCol w:w="98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and evolving nature of laws and regulations relating to the internet, including cybersecurity and data privacy;</w:t>
            </w:r>
          </w:p>
        </w:tc>
      </w:tr>
    </w:tbl>
    <w:p>
      <w:pPr>
        <w:pStyle w:val="TextBody"/>
        <w:bidi w:val="0"/>
        <w:spacing w:before="0" w:after="0"/>
        <w:ind w:left="0" w:right="0" w:hanging="0"/>
        <w:jc w:val="both"/>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protect our intellectual property and proprietary technologies and address any infringement claims;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disruption in service on, or security breaches of, our websites or computer systems, including as a result of artificial intelligence;</w:t>
            </w:r>
          </w:p>
        </w:tc>
      </w:tr>
    </w:tbl>
    <w:p>
      <w:pPr>
        <w:pStyle w:val="TextBody"/>
        <w:bidi w:val="0"/>
        <w:spacing w:before="0" w:after="0"/>
        <w:ind w:left="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dependence on third-party technology and licenses;</w:t>
            </w:r>
          </w:p>
        </w:tc>
      </w:tr>
    </w:tbl>
    <w:p>
      <w:pPr>
        <w:pStyle w:val="TextBody"/>
        <w:bidi w:val="0"/>
        <w:spacing w:before="0" w:after="0"/>
        <w:ind w:left="0" w:right="0" w:hanging="0"/>
        <w:jc w:val="both"/>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the value of the South African rand and inflation rates in the countries in which we conduct business;</w:t>
            </w:r>
          </w:p>
        </w:tc>
      </w:tr>
    </w:tbl>
    <w:p>
      <w:pPr>
        <w:pStyle w:val="TextBody"/>
        <w:bidi w:val="0"/>
        <w:spacing w:before="0" w:after="0"/>
        <w:ind w:left="0" w:right="0" w:hanging="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170"/>
        <w:gridCol w:w="46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access the capital markets in the future;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 factors discussed under “Risk Factors” in our latest Annual Report on Form 20-F and other reports filed with the U.S. Securities and Exchange Commission.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 or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 titled measures used by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and Trade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 our business operations. Solely for convenience, trademarks and trade names referred to in this announcement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8021</Words>
  <Characters>45569</Characters>
  <CharactersWithSpaces>54400</CharactersWithSpaces>
  <Paragraphs>2729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