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For the month of January, 2022</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001-40300</w:t>
      </w:r>
    </w:p>
    <w:p>
      <w:pPr>
        <w:spacing w:after="0" w:line="220"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KAROOOOO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50 Raffles Place #32-01</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Singapore Land Tower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Singapore 048623</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240"/>
        <w:spacing w:after="0" w:line="207" w:lineRule="exact"/>
        <w:tabs>
          <w:tab w:leader="none" w:pos="5180" w:val="left"/>
          <w:tab w:leader="none" w:pos="5880" w:val="left"/>
          <w:tab w:leader="none" w:pos="68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18,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jc w:val="right"/>
              <w:ind w:right="610"/>
              <w:spacing w:after="0" w:line="176" w:lineRule="exact"/>
              <w:rPr>
                <w:sz w:val="20"/>
                <w:szCs w:val="20"/>
                <w:color w:val="auto"/>
              </w:rPr>
            </w:pPr>
            <w:r>
              <w:rPr>
                <w:rFonts w:ascii="Arial" w:cs="Arial" w:eastAsia="Arial" w:hAnsi="Arial"/>
                <w:sz w:val="18"/>
                <w:szCs w:val="18"/>
                <w:color w:val="auto"/>
                <w:w w:val="85"/>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January 18, 2022 - Karooooo Ltd. Announces Third Quarter 2022 Unaudited Financial Results</w:t>
              </w:r>
            </w:hyperlink>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280" w:type="dxa"/>
            <w:vAlign w:val="bottom"/>
            <w:tcBorders>
              <w:top w:val="single" w:sz="8" w:color="0000EE"/>
              <w:bottom w:val="single" w:sz="8" w:color="auto"/>
            </w:tcBorders>
          </w:tcPr>
          <w:p>
            <w:pPr>
              <w:jc w:val="right"/>
              <w:ind w:right="3670"/>
              <w:spacing w:after="0"/>
              <w:rPr>
                <w:sz w:val="20"/>
                <w:szCs w:val="20"/>
                <w:color w:val="auto"/>
              </w:rPr>
            </w:pPr>
            <w:r>
              <w:rPr>
                <w:rFonts w:ascii="Arial" w:cs="Arial" w:eastAsia="Arial" w:hAnsi="Arial"/>
                <w:sz w:val="18"/>
                <w:szCs w:val="18"/>
                <w:color w:val="auto"/>
              </w:rPr>
              <w:t>2</w:t>
            </w:r>
          </w:p>
        </w:tc>
        <w:tc>
          <w:tcPr>
            <w:tcW w:w="18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154305</wp:posOffset>
            </wp:positionV>
            <wp:extent cx="1131570" cy="625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SINGAPORE (January 18, 2022) </w:t>
      </w:r>
      <w:r>
        <w:rPr>
          <w:rFonts w:ascii="Arial" w:cs="Arial" w:eastAsia="Arial" w:hAnsi="Arial"/>
          <w:sz w:val="18"/>
          <w:szCs w:val="18"/>
          <w:color w:val="auto"/>
        </w:rPr>
        <w:t>- Karooooo Ltd. (“Karooooo”), which owns 100% of Cartrack Holdings (“Cartrack”), today reported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its 2022 financial year (“2022”), ended November 30, 2021.</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Cartrack is a leading provider of an on-the-ground operations cloud that maximizes the value of data by providing insightful real-time data analytics and business intelligence reports. Its offering extends beyond connected vehicles and equipment, assisting diverse enterprise customers in digitally transforming their on-the-ground operations, including systems integrations, fleet administration, field worker management, video-based safety, risk mitigation, delivery management and ESG compliance and reporting.</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believe that we are in an early stage of a large and long-term opportunity and we remain very excited about Karooooo’s growth trajectory. Globally, we see a growing demand by small to large enterprises wanting to digitally transform their business’ to remain competitive.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Being in a pandemic, we are constantly evaluating the trade-off between our unit economics and our intended accelerated investment for growth. We are well positioned to materially increase our spend on sales and marketing to achieve even stronger growth given that our Lifetime Value (“LTV”) of a Customer to CAC ratio (a non-IFRS measure) is greater than nine times, and we have consistently beaten the rule of 40 (a non-IFRS measure), in the last four quarters.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Year-to-date, our revenue is up 20%, which equates to a 23% increase on a constant currency basis (a non-IFRS measure), and our strong customer acquisition is encouraging given the ongoing uncertainty in policies dealing with the pandemic. Our growth expectations for the year remain unchanged as set out in our outlook upon listing on the Nasdaq in April 2021.</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Strong financial discipline in our approach to capital allocation and cash management has allowed for a robust unleveraged balance sheet and strong cash position with ample capacity to fund growth. Balancing our significant and continuing investment for growth whilst exercising caution in allocating capital during the pandemic, has been top of mind in this financial year and we believe we have positioned ourselves favourably for the long term.</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demonstrated for over a decade, our robust and consistently profitable business model coupled with our evolving end-to-end all inclusive Internet of Things (“IOT”) platform, vertically integrated business model, established infrastructure, expanding distribution network and ability to execute and scale gives me comfort to believe that we will continue scaling our customer base and continue to improve our offering.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scale of data on our platform is vast and growing. We contextualize billions of data points on a daily basis enabling us to provide differentiated and innovative insights to customers which enriches their day-to-day operations. We believe that there is a significant economic upside to the large data pool that we have built and continue to build. Further, we believe that there is significant untapped network effect value for other much needed related services given the size of our subscriber base.” </w:t>
      </w:r>
      <w:r>
        <w:rPr>
          <w:rFonts w:ascii="Arial" w:cs="Arial" w:eastAsia="Arial" w:hAnsi="Arial"/>
          <w:sz w:val="18"/>
          <w:szCs w:val="18"/>
          <w:b w:val="1"/>
          <w:bCs w:val="1"/>
          <w:color w:val="auto"/>
        </w:rPr>
        <w:t>Zak Calisto, CEO and 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Karooooo Ltd. Announces Third Quarter 2022 Unaudited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(Comparisons are relative to the Third Quarter 2021, unless otherwise stated)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SCALE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Karooooo’s strong growth momentum in the number of subscribers continues. Despite ongoing disruption from the global effects of the pandemic, our business model drove new customer additions, delivering growth in the total number of subscribers (connected vehicles or other assets on our platform).</w:t>
      </w:r>
    </w:p>
    <w:p>
      <w:pPr>
        <w:spacing w:after="0" w:line="124"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1,470,385 subscribers in total as of November 30, 2021, up 18% (Q3 2021: 1,246,089)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164,385 net subscriber additions for the nine months ended November 30, 2021, up 37% (Nine months ended November 30, 2020: 119,574)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22% to ZAR720 million (Q3 2021: ZAR589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25% on a constant currency basis (a non-IFRS measure)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Subscription revenue increased 17% to ZAR664 million (Q3 2021: ZAR567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Subscription revenue increased 19% on a constant currency basis (a non-IFRS measure)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SaaS Annualized Recurring Revenue (“ARR”), (a non-IFRS measure), increased 16% to ZAR2,760 million as at November 2021 (November 2020: ZAR2,373 million).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Profit increased 3% to ZAR205 million for the period (Q3 2021: ZAR198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increased 10% to ZAR4.72 (Q3 2021: ZAR4.30)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Revenue and Total Revenue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Karooooo achieved revenue growth of 22% and subscription revenue growth of 17% in the third quarter of 2022. Subscription revenue growth was driven by Karooooo’s robust business model that delivered 18% growth in the number of subscribers to 1,470,385.</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ZAR strengthened against the basket of currencies in which Karooooo operates. On a constant currency basis (a non-IFRS measure) revenue grew 25% and subscription revenue by 19%. New customer additions contributed to the net increase of 164,385 in subscribers in the first nine months of 2022, 37% higher than the increase of 119,574 subscribers in the first nine months of 2021.</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Included in total revenue for the third quarter, ZAR24 million relates to revenue earned from Carzuka, a vertical currently in beta phase, gaining traction and expected to launch late in the fourth quarter of 2022 and ZAR18 million relates to Picup, a logistics cloud-based disruptive technology company located in South Africa, that has been working with Cartrack to address the challenges of on-the-ground distribution for large enterprises requiring systems integrations, payment gateways, third-party long haul services and crowd-sourced drivers in order to scale and meet their operational needs.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Karooooo has high revenue visibility with subscription revenue accounting for 98% of total revenue (excluding revenue derived from the beta launch of Carzuka and Picup).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96" w:lineRule="auto"/>
        <w:rPr>
          <w:sz w:val="20"/>
          <w:szCs w:val="20"/>
          <w:color w:val="auto"/>
        </w:rPr>
      </w:pPr>
      <w:r>
        <w:rPr>
          <w:rFonts w:ascii="Arial" w:cs="Arial" w:eastAsia="Arial" w:hAnsi="Arial"/>
          <w:sz w:val="16"/>
          <w:szCs w:val="16"/>
          <w:color w:val="auto"/>
        </w:rPr>
        <w:t>In ZAR, SaaS ARR (a non-IFRS measure), increased 16% to ZAR2,760 million as at November 30, 2021, compared to ZAR2,373 million as at November 30, 2020. In USD, SaaS ARR (a non-IFRS measure), increased 12% to USD172.5 million as at November 30, 2021, compared to USD153.7 million as at November 30, 2020. SaaS ARR was driven by the 18% increase in subscribers and offset by a weaker ZAR, with the ZAR to USD exchange rate of ZAR16.00 at the end of November 2021 compared to ZAR15.43 at the end of November 2020. Amounts in ZAR have been translated to USD using exchange rates as set forth in the H.10 statistical release of the Board of Governors of the Federal Reserve System on November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planned, operating expenses increased 21% to ZAR250 million compared to the third quarter of 2021 given the continued preparation for future growth, with a significant recruitment drive focused mainly on sales, customer experience and R&amp;D. Excluding, Carzuka and Picup, operating expenses increased 15%.</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Sales and marketing operating expenditure increased 23% compared to the third quarter of 2021. </w:t>
      </w:r>
      <w:r>
        <w:rPr>
          <w:rFonts w:ascii="Arial" w:cs="Arial" w:eastAsia="Arial" w:hAnsi="Arial"/>
          <w:sz w:val="18"/>
          <w:szCs w:val="18"/>
          <w:i w:val="1"/>
          <w:iCs w:val="1"/>
          <w:color w:val="auto"/>
        </w:rPr>
        <w:t>S</w:t>
      </w:r>
      <w:r>
        <w:rPr>
          <w:rFonts w:ascii="Arial" w:cs="Arial" w:eastAsia="Arial" w:hAnsi="Arial"/>
          <w:sz w:val="18"/>
          <w:szCs w:val="18"/>
          <w:color w:val="auto"/>
        </w:rPr>
        <w:t>ales and marketing basic salaries are a major component of the cost of acquiring new customers and are not expensed over the expected life span of a customer, but rather when incurred. This component of operating expenditure increased 44% in this quarter compared to the third quarter of 2021. We believe that the continued and strategic investment in enhancing our vertically integrated sales and marketing capabilities to leverage our go-to-market strategy drives customer acquisition and places us well for long term growth and margin expansion.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R&amp;D operating expenditure increased 80% compared to the third quarter of 2021, partly due to the base effect of subdued investment in the third quarter of 2021 given COVID-19 imposed operating restrictions at the time coupled with continued investment for improvement, enrichment and expansion of our connected cloud in the third quarter of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administration expenditure increased only 10% compared to the third quarter of 2021 as a result of growth, favorably offset by continued realization of economies of scale and increased staff productivity as a result of investment in internal systems.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trend in expenses as a relative portion of subscription revenue reported below are in accordance with Karooooo’s long-term financial goals set out upon listing on the Nasdaq in April, 2021 and are reflective of the Group’s accelerated growth strategy by investing for growth.</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Sales and marketing expenses as a percentage of subscription revenue increased to 12.0% compared to 11.5% in the third quarter of 2021.</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R&amp;D expenses as a percentage of subscription revenue increased to 5.6% compared to 3.6% in the third quarter of 2021.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and administration expenses as a percentage of subscription revenue decreased to 20.0% compared to 21.3% in the third quarter of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 Profit and Earnings per Share</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Group delivered operating profit of ZAR205 million for the period (Q3 2021: ZAR198 million), 3% higher than the third quarter of 2021. This result comprises strong subscriber and revenue growth despite the challenging operating environment and adverse currency fluctuations.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profit generated for the quarter increased 12% to ZAR148 million (Q3 2021: ZAR133 million) partly impacted by the lower effective tax rate of 27% in the third quarter of 2022, compared to 33%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line with management’s expectations, earnings per share increased 10% to ZAR4.72 in the third quarter of 2022 (Q3 2021: ZAR4.30).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Karooooo’s IPO costs were fully accounted for by the end of the first quarter of 2022, thus reference to Adjusted profit and Adjusted earnings per share (both non-IFRS measures) are not applicable in the third quarter of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EBITDA (a non-IFRS measure) increased 13% to ZAR342 million (Q3 2021: ZAR302 million). In the third quarter of 2021 when Karooooo experienced margin expansion, reporting an Adjusted EBITDA margin (a non-IFRS measure) of 51% as a result of lower growth due to the ongoing pandemic related constraints, management indicated that the preference then would have been to invest significantly into higher growth.</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line with Karooooo’s planned investment for future growth and as set out in management’s guidance range for 2022, the Adjusted EBITDA margin (a non-IFRS measure) was 47% in the third quarter of 2022. Adjusted EBITDA (a non-IFRS measure) as a percentage of subscription revenue was 52% in the third quarter of 2022.</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Adjusted EBITDA (a non-IFRS measure) for the first nine months of 2022 increased 7% to ZAR914 million (Nine months ended November 30,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ZAR857 million), translating to an Adjusted EBITDA margin (a non-IFRS measure) of 46% for the first nine months of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Karooooo has a history of consistent organic growth, scalability, strong earnings and financial discipline. The Group has been highly cash generative with most of its revenues recurring in nature and has operated with high operating and Adjusted EBITDA margins.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Karooooo’s growth expectation ranges for full year 2022 compared to full year 2021 remain unchanged. Management expects the following ranges for full year 2022:</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subscribers between 1,500,000 and 1,600,000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Subscription revenue between ZAR2.5 billion and ZAR2.7 billion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margin between 45% and 50% (excluding Carzuka and Picup)</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in a growing and largely underpenetrated market and with the tailwind of customers seeking software solutions to successfully digitalize their businesses and improve their operations, we believe Karooooo is well positioned for growth.</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Karooooo’s multiple levers for expansion are supported by a proven, robust and consistently profitable business model, further enhanced by its unleveraged balance sheet and strong cash position.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intended investment in marketing and sales, coupled with the realization of economies of scale across business segments, is expected to generate robust results in the future.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Actual results may differ materially from Karooooo’s Financial Outlook as a result of the pandemic and exchange rate fluctuations, among other factors described under “Forward-Looking Statements”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Liquidity and cash flow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Karooooo has a robust balance sheet with ample capacity to fund organic growth and remains disciplined in its approach to capital allocation and cash management.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Group’s Capital Allocation Committee has adopted a cash management policy whereby Karooooo’s excess cash reserves on hand will be held in US Dollars, which will be translated into ZAR for reporting purposes.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Cash and cash equivalents as at November 30,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Karooooo listed on the Nasdaq and bought out all minority shareholders of Cartrack in the first quarter of 2022, the net proceeds raised equated to ZAR349 million. During the third quarter of 2022, Karooooo paid ZAR70 million in acquiring 70.1% of Picup, announced to the market on September 13, 2021.</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Karooooo ended the third quarter of 2022 with ZAR799 million in cash and cash equivalents, significantly higher compared to ZAR67 million at the end of the third quarter of 2021. Further, the Group has bank facilities for growth initiatives and other general corporate purposes comprised of: ZAR925 million with The Standard Bank of South Africa and ZAR75 million with Mercantile Bank, a division of Capitec Bank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 non-IFRS measure)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generated from operating activities decreased 6% to ZAR750 million for the nine months ended November 30, 2021 (nine months ended November 30, 2020: ZAR794 million) in line with the Group’s continued and strategic investment into customer acquisition and long term growth.</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Karooooo’s investment for growth contributed to the 37% increase in net subscriber additions to 164,385 in the nine months ended November 30, 2021 (nine months ended November 30, 2020: 119,574). Karooooo invested ZAR445 million into PPE and infrastructure during the first nine months of 2022, 16% more than the ZAR383 million invested in the first nine months of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 generated Free Cash Flow (a non-IFRS measure) of ZAR306 million in the first nine months of 2022 compared to ZAR411 million in the first nine months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Capital and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Karooooo has 30,951,106 ordinary shares issued with a paid-up share capital of USD505,956,659 plus SGD1,000.</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95,350,637 Cartrack minority shares bought by Karooooo.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Segmental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Africa</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segment, being less impacted by COVID-19 operating restrictions, allowed Karooooo to leverage its strong market position and well-established national distribution network to deliver strong subscriber growth in the quarter, contributing to Karooooo’s robust financial performance. Revenue and subscription revenue (excluding Carzuka and Picup) in South Africa increased by 19% and 21% respectively, compared to the third quarter of 2021. At the end of the third quarter of 2022, South Africa had 1,141,112 subscribers, up 19% compared to the third quarter of 2021, a result supported by our consistent investment for growth. We believe that we are the largest and fastest growing enterprise mobility SaaS provider in South Africa.</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Carzuka, currently in beta phase, generated ZAR24 million during the quarter compared to ZAR9 million in the previous quarter. We are excited about its launch and are feeling increasingly more confident with the business model.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Picup earned ZAR18 million of revenue during the third quarter of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Asia Pacific, Middle East and United States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segment is the second largest revenue contributor and we believe that Southeast Asia presents the greatest opportunity in the medium to long term given its populous and fast growing economies that remain considerably underpenetrated.</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Unlike South Africa, Asia’s lock down restrictions remained stringent with less travel and economic activity, locally and from abroad, given the new COVID-19 variants prevailing globally. Despite the persistent operating restrictions resulting in the inability to deploy talent and efficiently transfer knowledge into the Asia Pacific region, the number of subscribers in this segment grew 20% to 138,337 in the third quarter of 2022 compared to 2021. This translated into 17% growth in subscription revenue on a constant currency basis (a non-IFRS measure) compared to the third quarter of 2021. Subscription revenue growth reported in ZAR increased 6% during the quarter, negatively impacted by the stronger ZAR.</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highly fragmented market coupled with our established operations that continue to gain scale offers a meaningful opportunity for Karooooo to capture market share. Looking ahead, management expects accelerating growth in the Asia segment once the impacts of COVID-19 minimize. Karooooo expects to be able to increase the pace of its investment for growth in Southeast Asia in the first quarter of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Group’s strategic office in the United States continues to yield many key insights that have positively contributed to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European segment delivered robust subscription revenue growth of 13% on a constant currency basis (a non-IFRS measure) driven by subscriber growth of 15%. This result was offset by currency headwinds with the ZAR strengthening significantly against the EUR resulting in subscription revenue growth reported in ZAR increasing 2% compared to the third quarter of 2021.</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Karooooo’s intended expansion strategy in Europe remains encouraging and it now has 124,102 subscribers in Europe. Karooooo plans to increase the pace of its investment for growth in Europe in the first quarter of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Africa (excluding South Africa)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segment remains a positive cash generator and is strategic to Karooooo’s operations in Southern Africa. The number of subscribers increased by 8% to 66,834 and subscription revenue increased 2% on a constant currency basis (a non-IFRS measure) with some of our loyal customers still facing cash flow and operational difficulties due to pandemic headwinds.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subsequent to the end of the Third Quarter of 2022</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Given Karooooo’s consistent annual growth rate since inception, its existing leased office premises in Johannesburg South Africa, Cartrack Corner, situated at 11 Keyes Avenue Rosebank (“office premises”), no longer provides adequate space to accommodate the expected growth.</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right="20"/>
        <w:spacing w:after="0" w:line="342" w:lineRule="auto"/>
        <w:rPr>
          <w:sz w:val="20"/>
          <w:szCs w:val="20"/>
          <w:color w:val="auto"/>
        </w:rPr>
      </w:pPr>
      <w:r>
        <w:rPr>
          <w:rFonts w:ascii="Arial" w:cs="Arial" w:eastAsia="Arial" w:hAnsi="Arial"/>
          <w:sz w:val="16"/>
          <w:szCs w:val="16"/>
          <w:color w:val="auto"/>
        </w:rPr>
        <w:t>Karooooo intends to acquire Purple Rain Properties (Pty) Ltd (“Purple Rain”), a company with its only asset being the office premises, for a purchase price equal to the net asset value of Purple Rain. The transaction is a related party transaction with Zak Calisto and Juan Marais indirectly owning Purple Rain.</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full total cost for the redevelopment of the office premises, including the site, is estimated to be ZAR342 million. The cost equates to an estimated monthly long term lease cost of ZAR115 per square meter, in comparison to the current market rate of ZAR140 per square meter with an annual escalation of 8%. The new offices, including 404 parking bays, will have a built up area of approximately 31,800 square meters.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Whilst the redevelopment is taking place, expected to be 2 years, Cartrack has temporarily leased offices opposite its current offices in Rosebank, Johannesburg.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Karooooo management will host a conference call and audio webcast on Wednesday, January 19, 2022 at 08:00 a.m. Eastern Time (03:00 p.m. South African time; 09:00 p.m. Singaporean time).</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Webcast: </w:t>
      </w:r>
      <w:r>
        <w:rPr>
          <w:rFonts w:ascii="Arial" w:cs="Arial" w:eastAsia="Arial" w:hAnsi="Arial"/>
          <w:sz w:val="18"/>
          <w:szCs w:val="18"/>
          <w:color w:val="auto"/>
        </w:rPr>
        <w:t>Registration is available at https://edge.media-server.com/mmc/p/bsi8ravj. A live and archived webcast of the conference call will also be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on the Karooooo website at www.karooooo.com.</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Conference call: </w:t>
      </w:r>
      <w:r>
        <w:rPr>
          <w:rFonts w:ascii="Arial" w:cs="Arial" w:eastAsia="Arial" w:hAnsi="Arial"/>
          <w:sz w:val="18"/>
          <w:szCs w:val="18"/>
          <w:color w:val="auto"/>
        </w:rPr>
        <w:t>Listeners may access the live conference call by dialing the following numbers and are advised to dial in approximately 10 minutes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start of the 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Toll Free: 1 833 239 5575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+65 678 012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Toll Free: 800 852 8350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 Toll Free: 0800 014 509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Toll Free: 0800 279 8053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Code: 2489497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Accounting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Karooooo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Karooooo, headquartered in Singapore, is a leading global provider of an on-the-ground operational IOT SaaS cloud that maximizes the value of transportation, operations and workflow data by providing insightful real-time data analytics to over 1,470,000 connected vehicles and equipment. Karooooo assists thousands of enterprise customers in digitally transforming their on-the-ground operations.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p>
      <w:pPr>
        <w:sectPr>
          <w:pgSz w:w="11900" w:h="16838" w:orient="portrait"/>
          <w:cols w:equalWidth="0" w:num="1">
            <w:col w:w="11240"/>
          </w:cols>
          <w:pgMar w:left="320" w:top="908"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IR@karooooo.com</w:t>
      </w:r>
    </w:p>
    <w:p>
      <w:pPr>
        <w:spacing w:after="0" w:line="200" w:lineRule="exact"/>
        <w:rPr>
          <w:sz w:val="20"/>
          <w:szCs w:val="20"/>
          <w:color w:val="auto"/>
        </w:rPr>
      </w:pPr>
    </w:p>
    <w:p>
      <w:pPr>
        <w:sectPr>
          <w:pgSz w:w="11900" w:h="16838" w:orient="portrait"/>
          <w:cols w:equalWidth="0" w:num="2">
            <w:col w:w="2060" w:space="540"/>
            <w:col w:w="8640"/>
          </w:cols>
          <w:pgMar w:left="320" w:top="908"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media@karooooo.com</w:t>
      </w:r>
    </w:p>
    <w:p>
      <w:pPr>
        <w:spacing w:after="0" w:line="200" w:lineRule="exact"/>
        <w:rPr>
          <w:sz w:val="20"/>
          <w:szCs w:val="20"/>
          <w:color w:val="auto"/>
        </w:rPr>
      </w:pPr>
    </w:p>
    <w:p>
      <w:pPr>
        <w:sectPr>
          <w:pgSz w:w="11900" w:h="16838" w:orient="portrait"/>
          <w:cols w:equalWidth="0" w:num="2">
            <w:col w:w="1880" w:space="720"/>
            <w:col w:w="8640"/>
          </w:cols>
          <w:pgMar w:left="320" w:top="908" w:right="3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PROFIT AND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25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5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November 30,</w:t>
            </w: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November 30,</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5"/>
          </w:tcPr>
          <w:p>
            <w:pPr>
              <w:ind w:left="500"/>
              <w:spacing w:after="0"/>
              <w:rPr>
                <w:sz w:val="20"/>
                <w:szCs w:val="20"/>
                <w:color w:val="auto"/>
              </w:rPr>
            </w:pPr>
            <w:r>
              <w:rPr>
                <w:rFonts w:ascii="Arial" w:cs="Arial" w:eastAsia="Arial" w:hAnsi="Arial"/>
                <w:sz w:val="18"/>
                <w:szCs w:val="18"/>
                <w:b w:val="1"/>
                <w:bCs w:val="1"/>
                <w:color w:val="auto"/>
              </w:rPr>
              <w:t>(ZAR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719,541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588,667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2,004,502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1,674,802</w:t>
            </w: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r>
              <w:rPr>
                <w:rFonts w:ascii="Arial" w:cs="Arial" w:eastAsia="Arial" w:hAnsi="Arial"/>
                <w:sz w:val="18"/>
                <w:szCs w:val="18"/>
                <w:color w:val="auto"/>
              </w:rPr>
              <w:t>Cost of sales</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(249,878)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(166,401)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(639,263)</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(464,247)</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469,663</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422,266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1,365,239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1,210,555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Other income</w:t>
            </w:r>
          </w:p>
        </w:tc>
        <w:tc>
          <w:tcPr>
            <w:tcW w:w="1840" w:type="dxa"/>
            <w:vAlign w:val="bottom"/>
            <w:gridSpan w:val="3"/>
          </w:tcPr>
          <w:p>
            <w:pPr>
              <w:jc w:val="right"/>
              <w:ind w:right="260"/>
              <w:spacing w:after="0"/>
              <w:rPr>
                <w:sz w:val="20"/>
                <w:szCs w:val="20"/>
                <w:color w:val="auto"/>
              </w:rPr>
            </w:pPr>
            <w:r>
              <w:rPr>
                <w:rFonts w:ascii="Arial" w:cs="Arial" w:eastAsia="Arial" w:hAnsi="Arial"/>
                <w:sz w:val="18"/>
                <w:szCs w:val="18"/>
                <w:color w:val="auto"/>
              </w:rPr>
              <w:t>532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1,817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Expected credit losses on financial assets</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(15,783)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(18,185)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(63,846)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(56,249)</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(249,702)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(206,701)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(752,686)</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(589,687)</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(253,291)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General and administration</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(132,537)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(120,823)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(393,069)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(346,011)</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(37,277)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(20,690)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(106,326)</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(70,415)</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Operating profit</w:t>
            </w:r>
          </w:p>
        </w:tc>
        <w:tc>
          <w:tcPr>
            <w:tcW w:w="4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204,710</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198,218</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550,524</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565,975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costs (“IPO”)</w:t>
            </w:r>
          </w:p>
        </w:tc>
        <w:tc>
          <w:tcPr>
            <w:tcW w:w="1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Finance income</w:t>
            </w:r>
          </w:p>
        </w:tc>
        <w:tc>
          <w:tcPr>
            <w:tcW w:w="1840" w:type="dxa"/>
            <w:vAlign w:val="bottom"/>
            <w:gridSpan w:val="3"/>
          </w:tcPr>
          <w:p>
            <w:pPr>
              <w:jc w:val="right"/>
              <w:ind w:right="260"/>
              <w:spacing w:after="0"/>
              <w:rPr>
                <w:sz w:val="20"/>
                <w:szCs w:val="20"/>
                <w:color w:val="auto"/>
              </w:rPr>
            </w:pPr>
            <w:r>
              <w:rPr>
                <w:rFonts w:ascii="Arial" w:cs="Arial" w:eastAsia="Arial" w:hAnsi="Arial"/>
                <w:sz w:val="18"/>
                <w:szCs w:val="18"/>
                <w:color w:val="auto"/>
              </w:rPr>
              <w:t>1,525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1,382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3,856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(3,756)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(8,666)</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Profit before taxation</w:t>
            </w:r>
          </w:p>
        </w:tc>
        <w:tc>
          <w:tcPr>
            <w:tcW w:w="4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202,479</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198,104</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535,426</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564,994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4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(54,165)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(65,222)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(156,035)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(170,130)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Profit for the period</w:t>
            </w:r>
          </w:p>
        </w:tc>
        <w:tc>
          <w:tcPr>
            <w:tcW w:w="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148,314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132,882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379,391</w:t>
            </w:r>
          </w:p>
        </w:tc>
        <w:tc>
          <w:tcPr>
            <w:tcW w:w="2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394,864</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Profit attributable to:</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Owners of the parent</w:t>
            </w:r>
          </w:p>
        </w:tc>
        <w:tc>
          <w:tcPr>
            <w:tcW w:w="1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146,201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87,398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353,624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258,875</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46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2,113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45,484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25,767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135,989</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148,314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132,882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379,391</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394,864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Basic and diluted earnings per share (ZAR)</w:t>
            </w:r>
          </w:p>
        </w:tc>
        <w:tc>
          <w:tcPr>
            <w:tcW w:w="1840" w:type="dxa"/>
            <w:vAlign w:val="bottom"/>
            <w:gridSpan w:val="3"/>
          </w:tcPr>
          <w:p>
            <w:pPr>
              <w:jc w:val="right"/>
              <w:ind w:right="260"/>
              <w:spacing w:after="0"/>
              <w:rPr>
                <w:sz w:val="20"/>
                <w:szCs w:val="20"/>
                <w:color w:val="auto"/>
              </w:rPr>
            </w:pPr>
            <w:r>
              <w:rPr>
                <w:rFonts w:ascii="Arial" w:cs="Arial" w:eastAsia="Arial" w:hAnsi="Arial"/>
                <w:sz w:val="18"/>
                <w:szCs w:val="18"/>
                <w:color w:val="auto"/>
              </w:rPr>
              <w:t>4.72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12.17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 xml:space="preserve">Adjusted Earnings per share </w:t>
            </w:r>
            <w:r>
              <w:rPr>
                <w:rFonts w:ascii="Arial" w:cs="Arial" w:eastAsia="Arial" w:hAnsi="Arial"/>
                <w:sz w:val="18"/>
                <w:szCs w:val="18"/>
                <w:color w:val="auto"/>
              </w:rPr>
              <w:t>(a non-IFRS measure)</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Adjusted Basic and diluted earnings per share (ZAR) (a non-IFRS measure)</w:t>
            </w:r>
          </w:p>
        </w:tc>
        <w:tc>
          <w:tcPr>
            <w:tcW w:w="1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414"/>
        </w:trPr>
        <w:tc>
          <w:tcPr>
            <w:tcW w:w="7360" w:type="dxa"/>
            <w:vAlign w:val="bottom"/>
            <w:gridSpan w:val="4"/>
          </w:tcPr>
          <w:p>
            <w:pPr>
              <w:jc w:val="center"/>
              <w:ind w:left="3810"/>
              <w:spacing w:after="0"/>
              <w:rPr>
                <w:sz w:val="20"/>
                <w:szCs w:val="20"/>
                <w:color w:val="auto"/>
              </w:rPr>
            </w:pPr>
            <w:r>
              <w:rPr>
                <w:rFonts w:ascii="Arial" w:cs="Arial" w:eastAsia="Arial" w:hAnsi="Arial"/>
                <w:sz w:val="18"/>
                <w:szCs w:val="18"/>
                <w:b w:val="1"/>
                <w:bCs w:val="1"/>
                <w:color w:val="auto"/>
                <w:w w:val="99"/>
              </w:rPr>
              <w:t>KAROOOOO LTD.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20" w:type="dxa"/>
            <w:vAlign w:val="bottom"/>
            <w:gridSpan w:val="9"/>
          </w:tcPr>
          <w:p>
            <w:pPr>
              <w:jc w:val="center"/>
              <w:ind w:left="930"/>
              <w:spacing w:after="0"/>
              <w:rPr>
                <w:sz w:val="20"/>
                <w:szCs w:val="20"/>
                <w:color w:val="auto"/>
              </w:rPr>
            </w:pPr>
            <w:r>
              <w:rPr>
                <w:rFonts w:ascii="Arial" w:cs="Arial" w:eastAsia="Arial" w:hAnsi="Arial"/>
                <w:sz w:val="18"/>
                <w:szCs w:val="18"/>
                <w:b w:val="1"/>
                <w:bCs w:val="1"/>
                <w:color w:val="auto"/>
              </w:rPr>
              <w:t>RECONCILIATION OF PROFIT TO ADJUSTED PROFIT (A NON-IFRS MEASURE)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60" w:type="dxa"/>
            <w:vAlign w:val="bottom"/>
            <w:gridSpan w:val="4"/>
          </w:tcPr>
          <w:p>
            <w:pPr>
              <w:jc w:val="center"/>
              <w:ind w:left="3750"/>
              <w:spacing w:after="0"/>
              <w:rPr>
                <w:sz w:val="20"/>
                <w:szCs w:val="20"/>
                <w:color w:val="auto"/>
              </w:rPr>
            </w:pPr>
            <w:r>
              <w:rPr>
                <w:rFonts w:ascii="Arial" w:cs="Arial" w:eastAsia="Arial" w:hAnsi="Arial"/>
                <w:sz w:val="18"/>
                <w:szCs w:val="18"/>
                <w:b w:val="1"/>
                <w:bCs w:val="1"/>
                <w:color w:val="auto"/>
              </w:rPr>
              <w:t>(UNAUDITED)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Three Months Ended November</w:t>
            </w:r>
          </w:p>
        </w:tc>
        <w:tc>
          <w:tcPr>
            <w:tcW w:w="25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Nine Months Ended November</w:t>
            </w:r>
          </w:p>
        </w:tc>
        <w:tc>
          <w:tcPr>
            <w:tcW w:w="0" w:type="dxa"/>
            <w:vAlign w:val="bottom"/>
          </w:tcPr>
          <w:p>
            <w:pPr>
              <w:spacing w:after="0"/>
              <w:rPr>
                <w:sz w:val="1"/>
                <w:szCs w:val="1"/>
                <w:color w:val="auto"/>
              </w:rPr>
            </w:pPr>
          </w:p>
        </w:tc>
      </w:tr>
      <w:tr>
        <w:trPr>
          <w:trHeight w:val="241"/>
        </w:trPr>
        <w:tc>
          <w:tcPr>
            <w:tcW w:w="5520" w:type="dxa"/>
            <w:vAlign w:val="bottom"/>
          </w:tcPr>
          <w:p>
            <w:pPr>
              <w:spacing w:after="0"/>
              <w:rPr>
                <w:sz w:val="20"/>
                <w:szCs w:val="20"/>
                <w:color w:val="auto"/>
              </w:rPr>
            </w:pPr>
          </w:p>
        </w:tc>
        <w:tc>
          <w:tcPr>
            <w:tcW w:w="1840" w:type="dxa"/>
            <w:vAlign w:val="bottom"/>
            <w:gridSpan w:val="3"/>
          </w:tcPr>
          <w:p>
            <w:pPr>
              <w:jc w:val="center"/>
              <w:ind w:left="1490"/>
              <w:spacing w:after="0"/>
              <w:rPr>
                <w:sz w:val="20"/>
                <w:szCs w:val="20"/>
                <w:color w:val="auto"/>
              </w:rPr>
            </w:pPr>
            <w:r>
              <w:rPr>
                <w:rFonts w:ascii="Arial" w:cs="Arial" w:eastAsia="Arial" w:hAnsi="Arial"/>
                <w:sz w:val="18"/>
                <w:szCs w:val="18"/>
                <w:b w:val="1"/>
                <w:bCs w:val="1"/>
                <w:color w:val="auto"/>
                <w:w w:val="87"/>
              </w:rPr>
              <w:t>30,</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87"/>
              </w:rPr>
              <w:t>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5"/>
          </w:tcPr>
          <w:p>
            <w:pPr>
              <w:ind w:left="500"/>
              <w:spacing w:after="0"/>
              <w:rPr>
                <w:sz w:val="20"/>
                <w:szCs w:val="20"/>
                <w:color w:val="auto"/>
              </w:rPr>
            </w:pPr>
            <w:r>
              <w:rPr>
                <w:rFonts w:ascii="Arial" w:cs="Arial" w:eastAsia="Arial" w:hAnsi="Arial"/>
                <w:sz w:val="18"/>
                <w:szCs w:val="18"/>
                <w:b w:val="1"/>
                <w:bCs w:val="1"/>
                <w:color w:val="auto"/>
              </w:rPr>
              <w:t>(ZAR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148,314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132,882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379,391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394,864</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r>
              <w:rPr>
                <w:rFonts w:ascii="Arial" w:cs="Arial" w:eastAsia="Arial" w:hAnsi="Arial"/>
                <w:sz w:val="18"/>
                <w:szCs w:val="18"/>
                <w:color w:val="auto"/>
              </w:rPr>
              <w:t>IPO costs</w:t>
            </w:r>
          </w:p>
        </w:tc>
        <w:tc>
          <w:tcPr>
            <w:tcW w:w="1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10,288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profit </w:t>
            </w:r>
            <w:r>
              <w:rPr>
                <w:rFonts w:ascii="Arial" w:cs="Arial" w:eastAsia="Arial" w:hAnsi="Arial"/>
                <w:sz w:val="18"/>
                <w:szCs w:val="18"/>
                <w:color w:val="auto"/>
              </w:rPr>
              <w:t>(a non-IFRS measure)</w:t>
            </w: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148,314</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132,882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389,679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79"/>
              </w:rPr>
              <w:t>8</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4"/>
              </w:rPr>
              <w:t>As of</w:t>
            </w:r>
          </w:p>
        </w:tc>
        <w:tc>
          <w:tcPr>
            <w:tcW w:w="1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November 30,</w:t>
            </w:r>
          </w:p>
        </w:tc>
        <w:tc>
          <w:tcPr>
            <w:tcW w:w="1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February 28,</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November 30,</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60" w:type="dxa"/>
            <w:vAlign w:val="bottom"/>
          </w:tcPr>
          <w:p>
            <w:pPr>
              <w:spacing w:after="0"/>
              <w:rPr>
                <w:sz w:val="20"/>
                <w:szCs w:val="20"/>
                <w:color w:val="auto"/>
              </w:rPr>
            </w:pPr>
          </w:p>
        </w:tc>
        <w:tc>
          <w:tcPr>
            <w:tcW w:w="150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w w:val="91"/>
              </w:rPr>
              <w:t>(ZAR Thousands)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198,137</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124,152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126,146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Intangible assets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78,630</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59,339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55,114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1,303,740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1,137,192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1,131,300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Capitalized commission assets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246,291</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201,075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187,637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57,413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47,046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Loans to related parties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19,400</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19,400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Long-term prepayment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10,306</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non-current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1,913,917</w:t>
            </w:r>
          </w:p>
        </w:tc>
        <w:tc>
          <w:tcPr>
            <w:tcW w:w="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1,588,204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1,568,307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Inventories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13,062</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 and prepayments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360,650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324,170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Taxation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7,345</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15,412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798,687</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104,937</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88,433</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Other financial asset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882,420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1,179,744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1,326,939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381,925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3,093,661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2,915,143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1,950,232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73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7,142,853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2,739,629</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Investment by owner</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30,383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reserve</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100,956</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9,705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11,116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Retained income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1,164,889</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815,215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816,744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Capital reserve</w:t>
            </w:r>
            <w:r>
              <w:rPr>
                <w:rFonts w:ascii="Arial" w:cs="Arial" w:eastAsia="Arial" w:hAnsi="Arial"/>
                <w:sz w:val="29"/>
                <w:szCs w:val="29"/>
                <w:color w:val="auto"/>
                <w:vertAlign w:val="superscript"/>
              </w:rPr>
              <w:t>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(3,587,640)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320" w:type="dxa"/>
            <w:vAlign w:val="bottom"/>
          </w:tcPr>
          <w:p>
            <w:pPr>
              <w:spacing w:after="0" w:line="270" w:lineRule="exact"/>
              <w:rPr>
                <w:sz w:val="20"/>
                <w:szCs w:val="20"/>
                <w:color w:val="auto"/>
              </w:rPr>
            </w:pPr>
            <w:r>
              <w:rPr>
                <w:rFonts w:ascii="Arial" w:cs="Arial" w:eastAsia="Arial" w:hAnsi="Arial"/>
                <w:sz w:val="18"/>
                <w:szCs w:val="18"/>
                <w:color w:val="auto"/>
              </w:rPr>
              <w:t>Common control reserve</w:t>
            </w:r>
            <w:r>
              <w:rPr>
                <w:rFonts w:ascii="Arial" w:cs="Arial" w:eastAsia="Arial" w:hAnsi="Arial"/>
                <w:sz w:val="29"/>
                <w:szCs w:val="29"/>
                <w:color w:val="auto"/>
                <w:vertAlign w:val="superscript"/>
              </w:rPr>
              <w:t>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(2,709,236)</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(2,709,236)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attributable to equity holders of parent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2,111,822</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855,313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858,253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31,345</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427,133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336,499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2,143,167</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1,194,752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Term loans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121,046</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10,468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16,054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72,160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60,283</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54,573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revenue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111,261</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85,655</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79,386</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41,400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42,024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60,835</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non-current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345,867</w:t>
            </w:r>
          </w:p>
        </w:tc>
        <w:tc>
          <w:tcPr>
            <w:tcW w:w="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198,430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210,848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Term loans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1,408</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5,462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282,572</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281,882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Loans from related parties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2,736</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891,977</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7,911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45,242</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38,401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35,439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Taxation</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65,162</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25,615</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48,470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warranties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revenue</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205,507</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161,110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168,646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Bank overdraft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28,839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21,725</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604,627</w:t>
            </w:r>
          </w:p>
        </w:tc>
        <w:tc>
          <w:tcPr>
            <w:tcW w:w="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1,434,267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544,632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950,494</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1,632,697</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755,480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3,093,661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2,915,143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1,950,232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7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71" w:lineRule="auto"/>
        <w:tabs>
          <w:tab w:leader="none" w:pos="34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p>
      <w:pPr>
        <w:jc w:val="both"/>
        <w:ind w:left="340" w:hanging="332"/>
        <w:spacing w:after="0" w:line="25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20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1"/>
              </w:rPr>
              <w:t>Three Months Ended November</w:t>
            </w:r>
          </w:p>
        </w:tc>
        <w:tc>
          <w:tcPr>
            <w:tcW w:w="254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November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(ZAR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308,184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277,483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750,156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793,549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flows utilized by investing activities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(252,910)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(169,609)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(543,279)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(410,726)</w:t>
            </w:r>
          </w:p>
        </w:tc>
        <w:tc>
          <w:tcPr>
            <w:tcW w:w="0" w:type="dxa"/>
            <w:vAlign w:val="bottom"/>
          </w:tcPr>
          <w:p>
            <w:pPr>
              <w:spacing w:after="0"/>
              <w:rPr>
                <w:sz w:val="1"/>
                <w:szCs w:val="1"/>
                <w:color w:val="auto"/>
              </w:rPr>
            </w:pPr>
          </w:p>
        </w:tc>
      </w:tr>
      <w:tr>
        <w:trPr>
          <w:trHeight w:val="290"/>
        </w:trPr>
        <w:tc>
          <w:tcPr>
            <w:tcW w:w="59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Net cash flows from/(utilized by) financing activities</w:t>
            </w:r>
            <w:r>
              <w:rPr>
                <w:rFonts w:ascii="Arial" w:cs="Arial" w:eastAsia="Arial" w:hAnsi="Arial"/>
                <w:sz w:val="29"/>
                <w:szCs w:val="29"/>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16,848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(280,640)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440,532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(469,811)</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cash and cash equivalents movements for the period</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72,122</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(172,766)</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647,409</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(86,988)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at the beginning of the period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664,176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233,077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76,098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146,591</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Translation differences on cash and cash equivalents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62,389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6,397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75,180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cash and cash equivalents at the end of the period</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798,687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66,708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798,687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66,708</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Net cash flows from financing activities for the nine months ended November 30, 2021 includes ZAR349 million of net proceeds from the corporate action in April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FREE CASH FLOW (A NON-IFRS MEASURE)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0"/>
        <w:spacing w:after="0" w:line="296" w:lineRule="auto"/>
        <w:rPr>
          <w:sz w:val="20"/>
          <w:szCs w:val="20"/>
          <w:color w:val="auto"/>
        </w:rPr>
      </w:pPr>
      <w:r>
        <w:rPr>
          <w:rFonts w:ascii="Arial" w:cs="Arial" w:eastAsia="Arial" w:hAnsi="Arial"/>
          <w:sz w:val="16"/>
          <w:szCs w:val="16"/>
          <w:color w:val="auto"/>
        </w:rPr>
        <w:t>Net cash generated from operating activities Less: purchase of property, plant and equipment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(a non-IFRS measure)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Three Months Ended November</w:t>
            </w:r>
          </w:p>
        </w:tc>
        <w:tc>
          <w:tcPr>
            <w:tcW w:w="2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20"/>
                <w:szCs w:val="20"/>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November 30,</w:t>
            </w:r>
          </w:p>
        </w:tc>
      </w:tr>
      <w:tr>
        <w:trPr>
          <w:trHeight w:val="234"/>
        </w:trPr>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32746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b w:val="1"/>
          <w:bCs w:val="1"/>
          <w:color w:val="auto"/>
        </w:rPr>
        <w:t>(ZAR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17145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40"/>
        <w:spacing w:after="0"/>
        <w:tabs>
          <w:tab w:leader="none" w:pos="1900" w:val="left"/>
          <w:tab w:leader="none" w:pos="3220" w:val="left"/>
          <w:tab w:leader="none" w:pos="4540" w:val="left"/>
        </w:tabs>
        <w:rPr>
          <w:sz w:val="20"/>
          <w:szCs w:val="20"/>
          <w:color w:val="auto"/>
        </w:rPr>
      </w:pPr>
      <w:r>
        <w:rPr>
          <w:rFonts w:ascii="Arial" w:cs="Arial" w:eastAsia="Arial" w:hAnsi="Arial"/>
          <w:sz w:val="18"/>
          <w:szCs w:val="18"/>
          <w:color w:val="auto"/>
        </w:rPr>
        <w:t>308,184</w:t>
      </w:r>
      <w:r>
        <w:rPr>
          <w:sz w:val="20"/>
          <w:szCs w:val="20"/>
          <w:color w:val="auto"/>
        </w:rPr>
        <w:tab/>
      </w:r>
      <w:r>
        <w:rPr>
          <w:rFonts w:ascii="Arial" w:cs="Arial" w:eastAsia="Arial" w:hAnsi="Arial"/>
          <w:sz w:val="18"/>
          <w:szCs w:val="18"/>
          <w:color w:val="auto"/>
        </w:rPr>
        <w:t>277,483</w:t>
      </w:r>
      <w:r>
        <w:rPr>
          <w:sz w:val="20"/>
          <w:szCs w:val="20"/>
          <w:color w:val="auto"/>
        </w:rPr>
        <w:tab/>
      </w:r>
      <w:r>
        <w:rPr>
          <w:rFonts w:ascii="Arial" w:cs="Arial" w:eastAsia="Arial" w:hAnsi="Arial"/>
          <w:sz w:val="18"/>
          <w:szCs w:val="18"/>
          <w:color w:val="auto"/>
        </w:rPr>
        <w:t>750,156</w:t>
      </w:r>
      <w:r>
        <w:rPr>
          <w:sz w:val="20"/>
          <w:szCs w:val="20"/>
          <w:color w:val="auto"/>
        </w:rPr>
        <w:tab/>
      </w:r>
      <w:r>
        <w:rPr>
          <w:rFonts w:ascii="Arial" w:cs="Arial" w:eastAsia="Arial" w:hAnsi="Arial"/>
          <w:sz w:val="16"/>
          <w:szCs w:val="16"/>
          <w:color w:val="auto"/>
        </w:rPr>
        <w:t>793,549</w:t>
      </w:r>
    </w:p>
    <w:p>
      <w:pPr>
        <w:spacing w:after="0" w:line="9" w:lineRule="exact"/>
        <w:rPr>
          <w:sz w:val="20"/>
          <w:szCs w:val="20"/>
          <w:color w:val="auto"/>
        </w:rPr>
      </w:pPr>
    </w:p>
    <w:p>
      <w:pPr>
        <w:ind w:left="480"/>
        <w:spacing w:after="0"/>
        <w:tabs>
          <w:tab w:leader="none" w:pos="1840" w:val="left"/>
          <w:tab w:leader="none" w:pos="3160" w:val="left"/>
          <w:tab w:leader="none" w:pos="4480" w:val="left"/>
        </w:tabs>
        <w:rPr>
          <w:sz w:val="20"/>
          <w:szCs w:val="20"/>
          <w:color w:val="auto"/>
        </w:rPr>
      </w:pPr>
      <w:r>
        <w:rPr>
          <w:rFonts w:ascii="Arial" w:cs="Arial" w:eastAsia="Arial" w:hAnsi="Arial"/>
          <w:sz w:val="18"/>
          <w:szCs w:val="18"/>
          <w:color w:val="auto"/>
        </w:rPr>
        <w:t>(174,106)</w:t>
      </w:r>
      <w:r>
        <w:rPr>
          <w:sz w:val="20"/>
          <w:szCs w:val="20"/>
          <w:color w:val="auto"/>
        </w:rPr>
        <w:tab/>
      </w:r>
      <w:r>
        <w:rPr>
          <w:rFonts w:ascii="Arial" w:cs="Arial" w:eastAsia="Arial" w:hAnsi="Arial"/>
          <w:sz w:val="18"/>
          <w:szCs w:val="18"/>
          <w:color w:val="auto"/>
        </w:rPr>
        <w:t>(154,652)</w:t>
      </w:r>
      <w:r>
        <w:rPr>
          <w:sz w:val="20"/>
          <w:szCs w:val="20"/>
          <w:color w:val="auto"/>
        </w:rPr>
        <w:tab/>
      </w:r>
      <w:r>
        <w:rPr>
          <w:rFonts w:ascii="Arial" w:cs="Arial" w:eastAsia="Arial" w:hAnsi="Arial"/>
          <w:sz w:val="18"/>
          <w:szCs w:val="18"/>
          <w:color w:val="auto"/>
        </w:rPr>
        <w:t>(444,633)</w:t>
      </w:r>
      <w:r>
        <w:rPr>
          <w:sz w:val="20"/>
          <w:szCs w:val="20"/>
          <w:color w:val="auto"/>
        </w:rPr>
        <w:tab/>
      </w:r>
      <w:r>
        <w:rPr>
          <w:rFonts w:ascii="Arial" w:cs="Arial" w:eastAsia="Arial" w:hAnsi="Arial"/>
          <w:sz w:val="16"/>
          <w:szCs w:val="16"/>
          <w:color w:val="auto"/>
        </w:rPr>
        <w:t>(383,034)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14605</wp:posOffset>
            </wp:positionV>
            <wp:extent cx="71323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2" w:lineRule="exact"/>
        <w:rPr>
          <w:sz w:val="20"/>
          <w:szCs w:val="20"/>
          <w:color w:val="auto"/>
        </w:rPr>
      </w:pPr>
    </w:p>
    <w:p>
      <w:pPr>
        <w:ind w:left="540"/>
        <w:spacing w:after="0"/>
        <w:tabs>
          <w:tab w:leader="none" w:pos="1900" w:val="left"/>
          <w:tab w:leader="none" w:pos="3220" w:val="left"/>
          <w:tab w:leader="none" w:pos="4540" w:val="left"/>
        </w:tabs>
        <w:rPr>
          <w:sz w:val="20"/>
          <w:szCs w:val="20"/>
          <w:color w:val="auto"/>
        </w:rPr>
      </w:pPr>
      <w:r>
        <w:rPr>
          <w:rFonts w:ascii="Arial" w:cs="Arial" w:eastAsia="Arial" w:hAnsi="Arial"/>
          <w:sz w:val="18"/>
          <w:szCs w:val="18"/>
          <w:color w:val="auto"/>
        </w:rPr>
        <w:t>134,078</w:t>
      </w:r>
      <w:r>
        <w:rPr>
          <w:sz w:val="20"/>
          <w:szCs w:val="20"/>
          <w:color w:val="auto"/>
        </w:rPr>
        <w:tab/>
      </w:r>
      <w:r>
        <w:rPr>
          <w:rFonts w:ascii="Arial" w:cs="Arial" w:eastAsia="Arial" w:hAnsi="Arial"/>
          <w:sz w:val="18"/>
          <w:szCs w:val="18"/>
          <w:color w:val="auto"/>
        </w:rPr>
        <w:t>122,831</w:t>
      </w:r>
      <w:r>
        <w:rPr>
          <w:sz w:val="20"/>
          <w:szCs w:val="20"/>
          <w:color w:val="auto"/>
        </w:rPr>
        <w:tab/>
      </w:r>
      <w:r>
        <w:rPr>
          <w:rFonts w:ascii="Arial" w:cs="Arial" w:eastAsia="Arial" w:hAnsi="Arial"/>
          <w:sz w:val="18"/>
          <w:szCs w:val="18"/>
          <w:color w:val="auto"/>
        </w:rPr>
        <w:t>305,523</w:t>
      </w:r>
      <w:r>
        <w:rPr>
          <w:sz w:val="20"/>
          <w:szCs w:val="20"/>
          <w:color w:val="auto"/>
        </w:rPr>
        <w:tab/>
      </w:r>
      <w:r>
        <w:rPr>
          <w:rFonts w:ascii="Arial" w:cs="Arial" w:eastAsia="Arial" w:hAnsi="Arial"/>
          <w:sz w:val="16"/>
          <w:szCs w:val="16"/>
          <w:color w:val="auto"/>
        </w:rPr>
        <w:t>410,515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32746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04" w:right="339" w:bottom="1440" w:gutter="0" w:footer="0" w:header="0"/>
          <w:type w:val="continuous"/>
        </w:sectPr>
      </w:pP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PROFIT FOR THE PERIOD TO ADJUSTED EBITDA (A NON-IFRS MEASURE)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1"/>
              </w:rPr>
              <w:t>Three Months Ended November</w:t>
            </w:r>
          </w:p>
        </w:tc>
        <w:tc>
          <w:tcPr>
            <w:tcW w:w="254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November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(ZAR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148,314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132,882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379,391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394,864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Taxation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54,165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65,222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156,035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170,130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Finance costs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3,756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1,496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8,666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Depreciation of property, plant and equipment and amortization of intangible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136,819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103,482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363,705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290,799</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IPO costs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10,288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 non-IFRS measure)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341,529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301,700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914,229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856,774</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10</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BASIC AND DILUTED EARNINGS AND ADJUSTED EARNINGS PER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NON-IFRS MEASURE)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earnings per share</w:t>
      </w:r>
    </w:p>
    <w:p>
      <w:pPr>
        <w:spacing w:after="0" w:line="27" w:lineRule="exact"/>
        <w:rPr>
          <w:sz w:val="20"/>
          <w:szCs w:val="20"/>
          <w:color w:val="auto"/>
        </w:rPr>
      </w:pPr>
    </w:p>
    <w:p>
      <w:pPr>
        <w:ind w:left="180" w:hanging="161"/>
        <w:spacing w:after="0" w:line="250" w:lineRule="auto"/>
        <w:rPr>
          <w:sz w:val="20"/>
          <w:szCs w:val="20"/>
          <w:color w:val="auto"/>
        </w:rPr>
      </w:pPr>
      <w:r>
        <w:rPr>
          <w:rFonts w:ascii="Arial" w:cs="Arial" w:eastAsia="Arial" w:hAnsi="Arial"/>
          <w:sz w:val="18"/>
          <w:szCs w:val="18"/>
          <w:color w:val="auto"/>
        </w:rPr>
        <w:t>The calculation of basic and diluted earnings per share has been based on the profit attributable to ordinary shareholders and the weighted average number of ordinary shares in issue.</w:t>
      </w:r>
    </w:p>
    <w:p>
      <w:pPr>
        <w:spacing w:after="0" w:line="1" w:lineRule="exact"/>
        <w:rPr>
          <w:sz w:val="20"/>
          <w:szCs w:val="20"/>
          <w:color w:val="auto"/>
        </w:rPr>
      </w:pPr>
    </w:p>
    <w:p>
      <w:pPr>
        <w:ind w:right="2560"/>
        <w:spacing w:after="0" w:line="281" w:lineRule="auto"/>
        <w:rPr>
          <w:sz w:val="20"/>
          <w:szCs w:val="20"/>
          <w:color w:val="auto"/>
        </w:rPr>
      </w:pPr>
      <w:r>
        <w:rPr>
          <w:rFonts w:ascii="Arial" w:cs="Arial" w:eastAsia="Arial" w:hAnsi="Arial"/>
          <w:sz w:val="16"/>
          <w:szCs w:val="16"/>
          <w:b w:val="1"/>
          <w:bCs w:val="1"/>
          <w:color w:val="auto"/>
        </w:rPr>
        <w:t xml:space="preserve">Basic and diluted earnings per share </w:t>
      </w:r>
      <w:r>
        <w:rPr>
          <w:rFonts w:ascii="Arial" w:cs="Arial" w:eastAsia="Arial" w:hAnsi="Arial"/>
          <w:sz w:val="16"/>
          <w:szCs w:val="16"/>
          <w:color w:val="auto"/>
        </w:rPr>
        <w:t>Basic and diluted earnings per share (ZAR)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Weighted average number of ordinary shares in issue at period end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Profit attributable to ordinary shareholders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Three Months Ended November</w:t>
            </w:r>
          </w:p>
        </w:tc>
        <w:tc>
          <w:tcPr>
            <w:tcW w:w="2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20"/>
                <w:szCs w:val="20"/>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November 30,</w:t>
            </w:r>
          </w:p>
        </w:tc>
      </w:tr>
      <w:tr>
        <w:trPr>
          <w:trHeight w:val="236"/>
        </w:trPr>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34"/>
        </w:trPr>
        <w:tc>
          <w:tcPr>
            <w:tcW w:w="940" w:type="dxa"/>
            <w:vAlign w:val="bottom"/>
          </w:tcPr>
          <w:p>
            <w:pPr>
              <w:spacing w:after="0"/>
              <w:rPr>
                <w:sz w:val="20"/>
                <w:szCs w:val="20"/>
                <w:color w:val="auto"/>
              </w:rPr>
            </w:pPr>
          </w:p>
        </w:tc>
        <w:tc>
          <w:tcPr>
            <w:tcW w:w="30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(ZAR Thousands)</w:t>
            </w:r>
          </w:p>
        </w:tc>
        <w:tc>
          <w:tcPr>
            <w:tcW w:w="12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4.72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12.17</w:t>
            </w:r>
          </w:p>
        </w:tc>
        <w:tc>
          <w:tcPr>
            <w:tcW w:w="112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63"/>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30,951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20,333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29,062</w:t>
            </w:r>
          </w:p>
        </w:tc>
        <w:tc>
          <w:tcPr>
            <w:tcW w:w="1120" w:type="dxa"/>
            <w:vAlign w:val="bottom"/>
          </w:tcPr>
          <w:p>
            <w:pPr>
              <w:jc w:val="right"/>
              <w:spacing w:after="0"/>
              <w:rPr>
                <w:sz w:val="20"/>
                <w:szCs w:val="20"/>
                <w:color w:val="auto"/>
              </w:rPr>
            </w:pPr>
            <w:r>
              <w:rPr>
                <w:rFonts w:ascii="Arial" w:cs="Arial" w:eastAsia="Arial" w:hAnsi="Arial"/>
                <w:sz w:val="18"/>
                <w:szCs w:val="18"/>
                <w:color w:val="auto"/>
              </w:rPr>
              <w:t>20,333</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8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146,201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87,398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353,624</w:t>
            </w:r>
          </w:p>
        </w:tc>
        <w:tc>
          <w:tcPr>
            <w:tcW w:w="1120" w:type="dxa"/>
            <w:vAlign w:val="bottom"/>
          </w:tcPr>
          <w:p>
            <w:pPr>
              <w:jc w:val="right"/>
              <w:spacing w:after="0"/>
              <w:rPr>
                <w:sz w:val="20"/>
                <w:szCs w:val="20"/>
                <w:color w:val="auto"/>
              </w:rPr>
            </w:pPr>
            <w:r>
              <w:rPr>
                <w:rFonts w:ascii="Arial" w:cs="Arial" w:eastAsia="Arial" w:hAnsi="Arial"/>
                <w:sz w:val="18"/>
                <w:szCs w:val="18"/>
                <w:color w:val="auto"/>
              </w:rPr>
              <w:t>258,875</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5700" w:space="280"/>
            <w:col w:w="52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 xml:space="preserve">Adjusted basic and diluted earnings per share </w:t>
            </w:r>
            <w:r>
              <w:rPr>
                <w:rFonts w:ascii="Arial" w:cs="Arial" w:eastAsia="Arial" w:hAnsi="Arial"/>
                <w:sz w:val="18"/>
                <w:szCs w:val="18"/>
                <w:color w:val="auto"/>
              </w:rPr>
              <w:t>(a non-IFRS measure)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The calculation of Adjusted basic and diluted earnings per share (a non-IFRS</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measure) has been based on the Adjusted profit attributable to ordinary</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shareholders (a non-IFRS measure) and the weighted average number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shares in issue.</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 xml:space="preserve">Adjusted basic and diluted earnings per share </w:t>
            </w:r>
            <w:r>
              <w:rPr>
                <w:rFonts w:ascii="Arial" w:cs="Arial" w:eastAsia="Arial" w:hAnsi="Arial"/>
                <w:sz w:val="18"/>
                <w:szCs w:val="18"/>
                <w:color w:val="auto"/>
              </w:rPr>
              <w:t>(a non-IFRS measure)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4.72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12.52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6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number of ordinary shares in issue at period end (000’s)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30,951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29,062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b w:val="1"/>
                <w:bCs w:val="1"/>
                <w:color w:val="auto"/>
                <w:w w:val="94"/>
              </w:rPr>
              <w:t xml:space="preserve">Reconciliation between basic earnings and Adjusted earnings </w:t>
            </w:r>
            <w:r>
              <w:rPr>
                <w:rFonts w:ascii="Arial" w:cs="Arial" w:eastAsia="Arial" w:hAnsi="Arial"/>
                <w:sz w:val="18"/>
                <w:szCs w:val="18"/>
                <w:color w:val="auto"/>
                <w:w w:val="94"/>
              </w:rPr>
              <w:t>(a non-IFRS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59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measure)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ordinary shareholders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146,201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87,398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353,624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258,875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 xml:space="preserve">Adjust for: </w:t>
            </w:r>
            <w:r>
              <w:rPr>
                <w:rFonts w:ascii="Arial" w:cs="Arial" w:eastAsia="Arial" w:hAnsi="Arial"/>
                <w:sz w:val="18"/>
                <w:szCs w:val="18"/>
                <w:color w:val="auto"/>
              </w:rPr>
              <w:t>IPO costs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10,288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 effect on above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w w:val="95"/>
              </w:rPr>
              <w:t xml:space="preserve">Adjusted profit attributable to ordinary shareholders </w:t>
            </w:r>
            <w:r>
              <w:rPr>
                <w:rFonts w:ascii="Arial" w:cs="Arial" w:eastAsia="Arial" w:hAnsi="Arial"/>
                <w:sz w:val="18"/>
                <w:szCs w:val="18"/>
                <w:color w:val="auto"/>
                <w:w w:val="95"/>
              </w:rPr>
              <w:t>(a non-IFRS measure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146,201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87,398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363,912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258,875</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540"/>
              <w:spacing w:after="0"/>
              <w:rPr>
                <w:sz w:val="20"/>
                <w:szCs w:val="20"/>
                <w:color w:val="auto"/>
              </w:rPr>
            </w:pPr>
            <w:r>
              <w:rPr>
                <w:rFonts w:ascii="Arial" w:cs="Arial" w:eastAsia="Arial" w:hAnsi="Arial"/>
                <w:sz w:val="18"/>
                <w:szCs w:val="18"/>
                <w:color w:val="auto"/>
              </w:rPr>
              <w:t>11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CONSTANT CURRENCY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November 30, 2021</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constant currency information has been determined by adjusting the current financial reporting period results to the results reported for the three months ended November 30, 2020, using the average of the monthly exchange rates applicable to that period. The measurement has been performed for each of the Group’s operating currencies.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Pr>
          <w:p>
            <w:pPr>
              <w:spacing w:after="0"/>
              <w:rPr>
                <w:sz w:val="20"/>
                <w:szCs w:val="20"/>
                <w:color w:val="auto"/>
              </w:rPr>
            </w:pPr>
            <w:r>
              <w:rPr>
                <w:rFonts w:ascii="Arial" w:cs="Arial" w:eastAsia="Arial" w:hAnsi="Arial"/>
                <w:sz w:val="18"/>
                <w:szCs w:val="18"/>
                <w:b w:val="1"/>
                <w:bCs w:val="1"/>
                <w:color w:val="auto"/>
              </w:rPr>
              <w:t>SUBSCRIPTION REVENUE</w:t>
            </w:r>
          </w:p>
        </w:tc>
        <w:tc>
          <w:tcPr>
            <w:tcW w:w="392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November 30,</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Year-on-Year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Pr>
          <w:p>
            <w:pPr>
              <w:spacing w:after="0"/>
              <w:rPr>
                <w:sz w:val="21"/>
                <w:szCs w:val="21"/>
                <w:color w:val="auto"/>
              </w:rPr>
            </w:pPr>
          </w:p>
        </w:tc>
        <w:tc>
          <w:tcPr>
            <w:tcW w:w="2660" w:type="dxa"/>
            <w:vAlign w:val="bottom"/>
            <w:gridSpan w:val="4"/>
          </w:tcPr>
          <w:p>
            <w:pPr>
              <w:ind w:left="520"/>
              <w:spacing w:after="0"/>
              <w:rPr>
                <w:sz w:val="20"/>
                <w:szCs w:val="20"/>
                <w:color w:val="auto"/>
              </w:rPr>
            </w:pPr>
            <w:r>
              <w:rPr>
                <w:rFonts w:ascii="Arial" w:cs="Arial" w:eastAsia="Arial" w:hAnsi="Arial"/>
                <w:sz w:val="18"/>
                <w:szCs w:val="18"/>
                <w:b w:val="1"/>
                <w:bCs w:val="1"/>
                <w:color w:val="auto"/>
              </w:rPr>
              <w:t>(ZAR Thousands)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 as reported</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663,947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567,189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1120" w:type="dxa"/>
            <w:vAlign w:val="bottom"/>
          </w:tcPr>
          <w:p>
            <w:pPr>
              <w:jc w:val="right"/>
              <w:spacing w:after="0"/>
              <w:rPr>
                <w:sz w:val="20"/>
                <w:szCs w:val="20"/>
                <w:color w:val="auto"/>
              </w:rPr>
            </w:pPr>
            <w:r>
              <w:rPr>
                <w:rFonts w:ascii="Arial" w:cs="Arial" w:eastAsia="Arial" w:hAnsi="Arial"/>
                <w:sz w:val="18"/>
                <w:szCs w:val="18"/>
                <w:color w:val="auto"/>
              </w:rPr>
              <w:t>13,450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revenue on a constant currency basis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677,397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567,189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320" w:type="dxa"/>
            <w:vAlign w:val="bottom"/>
            <w:vMerge w:val="continue"/>
          </w:tcPr>
          <w:p>
            <w:pPr>
              <w:spacing w:after="0"/>
              <w:rPr>
                <w:sz w:val="24"/>
                <w:szCs w:val="24"/>
                <w:color w:val="auto"/>
              </w:rPr>
            </w:pPr>
          </w:p>
        </w:tc>
        <w:tc>
          <w:tcPr>
            <w:tcW w:w="392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November 30,</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Year-on-Year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Pr>
          <w:p>
            <w:pPr>
              <w:spacing w:after="0"/>
              <w:rPr>
                <w:sz w:val="21"/>
                <w:szCs w:val="21"/>
                <w:color w:val="auto"/>
              </w:rPr>
            </w:pPr>
          </w:p>
        </w:tc>
        <w:tc>
          <w:tcPr>
            <w:tcW w:w="2660" w:type="dxa"/>
            <w:vAlign w:val="bottom"/>
            <w:gridSpan w:val="4"/>
          </w:tcPr>
          <w:p>
            <w:pPr>
              <w:ind w:left="520"/>
              <w:spacing w:after="0"/>
              <w:rPr>
                <w:sz w:val="20"/>
                <w:szCs w:val="20"/>
                <w:color w:val="auto"/>
              </w:rPr>
            </w:pPr>
            <w:r>
              <w:rPr>
                <w:rFonts w:ascii="Arial" w:cs="Arial" w:eastAsia="Arial" w:hAnsi="Arial"/>
                <w:sz w:val="18"/>
                <w:szCs w:val="18"/>
                <w:b w:val="1"/>
                <w:bCs w:val="1"/>
                <w:color w:val="auto"/>
              </w:rPr>
              <w:t>(ZAR Thousands)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 as reported</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719,541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588,667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1120" w:type="dxa"/>
            <w:vAlign w:val="bottom"/>
          </w:tcPr>
          <w:p>
            <w:pPr>
              <w:jc w:val="right"/>
              <w:spacing w:after="0"/>
              <w:rPr>
                <w:sz w:val="20"/>
                <w:szCs w:val="20"/>
                <w:color w:val="auto"/>
              </w:rPr>
            </w:pPr>
            <w:r>
              <w:rPr>
                <w:rFonts w:ascii="Arial" w:cs="Arial" w:eastAsia="Arial" w:hAnsi="Arial"/>
                <w:sz w:val="18"/>
                <w:szCs w:val="18"/>
                <w:color w:val="auto"/>
              </w:rPr>
              <w:t>14,217</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on a constant currency basis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733,758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588,667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November 30, 2021</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constant currency information has been determined by adjusting the current financial reporting period results to the results reported for the nine months ended November 30, 2020, using the average of the monthly exchange rates applicable to that period. The measurement has been performed for each of the Group’s operating currencies.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560" w:type="dxa"/>
            <w:vAlign w:val="bottom"/>
          </w:tcPr>
          <w:p>
            <w:pPr>
              <w:spacing w:after="0"/>
              <w:rPr>
                <w:sz w:val="20"/>
                <w:szCs w:val="20"/>
                <w:color w:val="auto"/>
              </w:rPr>
            </w:pPr>
            <w:r>
              <w:rPr>
                <w:rFonts w:ascii="Arial" w:cs="Arial" w:eastAsia="Arial" w:hAnsi="Arial"/>
                <w:sz w:val="18"/>
                <w:szCs w:val="18"/>
                <w:b w:val="1"/>
                <w:bCs w:val="1"/>
                <w:color w:val="auto"/>
              </w:rPr>
              <w:t>SUBSCRIPTION REVENUE</w:t>
            </w:r>
          </w:p>
        </w:tc>
        <w:tc>
          <w:tcPr>
            <w:tcW w:w="2760" w:type="dxa"/>
            <w:vAlign w:val="bottom"/>
          </w:tcPr>
          <w:p>
            <w:pPr>
              <w:spacing w:after="0"/>
              <w:rPr>
                <w:sz w:val="22"/>
                <w:szCs w:val="22"/>
                <w:color w:val="auto"/>
              </w:rPr>
            </w:pPr>
          </w:p>
        </w:tc>
        <w:tc>
          <w:tcPr>
            <w:tcW w:w="3920" w:type="dxa"/>
            <w:vAlign w:val="bottom"/>
            <w:gridSpan w:val="6"/>
          </w:tcPr>
          <w:p>
            <w:pPr>
              <w:ind w:left="560"/>
              <w:spacing w:after="0"/>
              <w:rPr>
                <w:sz w:val="20"/>
                <w:szCs w:val="20"/>
                <w:color w:val="auto"/>
              </w:rPr>
            </w:pPr>
            <w:r>
              <w:rPr>
                <w:rFonts w:ascii="Arial" w:cs="Arial" w:eastAsia="Arial" w:hAnsi="Arial"/>
                <w:sz w:val="18"/>
                <w:szCs w:val="18"/>
                <w:b w:val="1"/>
                <w:bCs w:val="1"/>
                <w:color w:val="auto"/>
              </w:rPr>
              <w:t>Nine Months Ended November 30,</w:t>
            </w: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Year-on-Year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660" w:type="dxa"/>
            <w:vAlign w:val="bottom"/>
            <w:gridSpan w:val="4"/>
          </w:tcPr>
          <w:p>
            <w:pPr>
              <w:ind w:left="520"/>
              <w:spacing w:after="0"/>
              <w:rPr>
                <w:sz w:val="20"/>
                <w:szCs w:val="20"/>
                <w:color w:val="auto"/>
              </w:rPr>
            </w:pPr>
            <w:r>
              <w:rPr>
                <w:rFonts w:ascii="Arial" w:cs="Arial" w:eastAsia="Arial" w:hAnsi="Arial"/>
                <w:sz w:val="18"/>
                <w:szCs w:val="18"/>
                <w:b w:val="1"/>
                <w:bCs w:val="1"/>
                <w:color w:val="auto"/>
              </w:rPr>
              <w:t>(ZAR Thousands)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 as reported</w:t>
            </w:r>
          </w:p>
        </w:tc>
        <w:tc>
          <w:tcPr>
            <w:tcW w:w="4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1,897,450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1,635,041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27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59,083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revenue on a constant currency basis</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1,956,533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1,635,041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56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3920" w:type="dxa"/>
            <w:vAlign w:val="bottom"/>
            <w:gridSpan w:val="6"/>
          </w:tcPr>
          <w:p>
            <w:pPr>
              <w:ind w:left="560"/>
              <w:spacing w:after="0"/>
              <w:rPr>
                <w:sz w:val="20"/>
                <w:szCs w:val="20"/>
                <w:color w:val="auto"/>
              </w:rPr>
            </w:pPr>
            <w:r>
              <w:rPr>
                <w:rFonts w:ascii="Arial" w:cs="Arial" w:eastAsia="Arial" w:hAnsi="Arial"/>
                <w:sz w:val="18"/>
                <w:szCs w:val="18"/>
                <w:b w:val="1"/>
                <w:bCs w:val="1"/>
                <w:color w:val="auto"/>
              </w:rPr>
              <w:t>Nine Months Ended November 30,</w:t>
            </w: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Year-on-Year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660" w:type="dxa"/>
            <w:vAlign w:val="bottom"/>
            <w:gridSpan w:val="4"/>
          </w:tcPr>
          <w:p>
            <w:pPr>
              <w:ind w:left="520"/>
              <w:spacing w:after="0"/>
              <w:rPr>
                <w:sz w:val="20"/>
                <w:szCs w:val="20"/>
                <w:color w:val="auto"/>
              </w:rPr>
            </w:pPr>
            <w:r>
              <w:rPr>
                <w:rFonts w:ascii="Arial" w:cs="Arial" w:eastAsia="Arial" w:hAnsi="Arial"/>
                <w:sz w:val="18"/>
                <w:szCs w:val="18"/>
                <w:b w:val="1"/>
                <w:bCs w:val="1"/>
                <w:color w:val="auto"/>
              </w:rPr>
              <w:t>(ZAR Thousands)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 as reported</w:t>
            </w:r>
          </w:p>
        </w:tc>
        <w:tc>
          <w:tcPr>
            <w:tcW w:w="4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2,004,502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1,674,802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27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60,791</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on a constant currency basis</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2,065,293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1,674,802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760" w:type="dxa"/>
            <w:vAlign w:val="bottom"/>
            <w:vMerge w:val="restart"/>
          </w:tcPr>
          <w:p>
            <w:pPr>
              <w:jc w:val="right"/>
              <w:ind w:right="1510"/>
              <w:spacing w:after="0"/>
              <w:rPr>
                <w:sz w:val="20"/>
                <w:szCs w:val="20"/>
                <w:color w:val="auto"/>
              </w:rPr>
            </w:pPr>
            <w:r>
              <w:rPr>
                <w:rFonts w:ascii="Arial" w:cs="Arial" w:eastAsia="Arial" w:hAnsi="Arial"/>
                <w:sz w:val="18"/>
                <w:szCs w:val="18"/>
                <w:color w:val="auto"/>
              </w:rPr>
              <w:t>12</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Profit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profit (a non-IFRS measure), is defined as, profit after tax defined by IFRS excluding the impact of non-recurring operational expenses relating to IPO costs of ZAR10 million expensed in the first quarter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djusted Earnings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earnings per share, (a non-IFRS measure) is defined as, earnings per share defined by IFRS excluding the impact of non-recurring operational expenses relating to IPO costs of ZAR10 million expensed in the first quarter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define Adjusted EBITDA (a non-IFRS measure) as profit less finance income, plus finance costs, taxation, depreciation and amortization, plus once-off IPO costs.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Margin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Annualized Recurring Revenue (SaaS ARR)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Subscriber per month (ARPU)</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in accordance with IFRS.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define Free Cash Flow (a non-IFRS measure) as net cash generated from operating activities less purchases of property, plant and equipment. In addition to our results determined in accordance with IFRS, we believe Free Cash Flow (a non-IFRS measure), is useful in evaluating our operating performance. We believe that Free Cash Flow is a useful indicators of liquidity and the ability of the Group to turn revenues into Free Cash Flow, respectively,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of 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sum of revenue growth and operating margin for a period of 12-months sum to greater than 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 economics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are non-IFRS financial measures that are used as reference of Cartrack’s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Lifetime value (LTV of a Customer) of customer relationships to customer acquisition costs (CAC)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Lifetime value (LTV of a Subscriber), cost of acquiring a subscriber (CAS) and </w:t>
      </w:r>
      <w:r>
        <w:rPr>
          <w:rFonts w:ascii="Arial" w:cs="Arial" w:eastAsia="Arial" w:hAnsi="Arial"/>
          <w:sz w:val="18"/>
          <w:szCs w:val="18"/>
          <w:color w:val="auto"/>
        </w:rPr>
        <w:t>cost of servicing a subscriber (CSS)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calculate CAS, which is calculated on a per subscriber basis, as (i) sales and marketing expenses, plus (ii) sales commissions, plus (iii) cost of installing IOT equipment, divided by (iv) the average subscriber base for such period.</w:t>
      </w:r>
    </w:p>
    <w:p>
      <w:pPr>
        <w:spacing w:after="0" w:line="170"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estimate our long term unit economics operational profit by multiplying i) the product of the expected life cycle of a subscriber on our connected cloud by ARPU, minus ii) CAS added to the product of the expected life cycle of a subscriber on our connected cloud by CSS.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announcement. In addition, even if our results of operations, financial condition and liquidity, the development of the industry in which we operate and the effect of acquisitions on us are consistent with the forward-looking statements contained in this announcement, those results or developments may not be indicative of results or developments in subsequent periods.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the Annual Report on Form 20-F filed on June 28,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similarly-titled measures used by other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w:t>
      </w:r>
    </w:p>
    <w:p>
      <w:pPr>
        <w:jc w:val="both"/>
        <w:spacing w:after="0" w:line="244" w:lineRule="auto"/>
        <w:rPr>
          <w:sz w:val="20"/>
          <w:szCs w:val="20"/>
          <w:color w:val="auto"/>
        </w:rPr>
      </w:pPr>
      <w:r>
        <w:rPr>
          <w:rFonts w:ascii="Arial" w:cs="Arial" w:eastAsia="Arial" w:hAnsi="Arial"/>
          <w:sz w:val="17"/>
          <w:szCs w:val="17"/>
          <w:color w:val="auto"/>
        </w:rPr>
        <w:t>our business operations. Solely for convenience, trademarks and trade names referred to in this announcement may appear without the “</w:t>
      </w:r>
      <w:r>
        <w:rPr>
          <w:rFonts w:ascii="Arial" w:cs="Arial" w:eastAsia="Arial" w:hAnsi="Arial"/>
          <w:sz w:val="28"/>
          <w:szCs w:val="28"/>
          <w:color w:val="auto"/>
          <w:vertAlign w:val="superscript"/>
        </w:rPr>
        <w:t>®</w:t>
      </w:r>
      <w:r>
        <w:rPr>
          <w:rFonts w:ascii="Arial" w:cs="Arial" w:eastAsia="Arial" w:hAnsi="Arial"/>
          <w:sz w:val="17"/>
          <w:szCs w:val="17"/>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2022-01-18T15:03:03Z</dcterms:created>
  <dcterms:modified xsi:type="dcterms:W3CDTF">2022-01-18T15:03:03Z</dcterms:modified>
</cp:coreProperties>
</file>