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186623-6k_karooooo.htm"/>
      <w:bookmarkStart w:id="1" w:name="ksea1866236k_karooooo"/>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Harbourfront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Keppel Bay Tower #14-07</w:t>
        <w:br/>
        <w:t>Singapore 098632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+65 6255 4151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75"/>
        <w:gridCol w:w="320"/>
        <w:gridCol w:w="590"/>
        <w:gridCol w:w="1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9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9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Isaias (Zak) Jose Calisto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Isaias (Zak) Jose Calisto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1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w:anchor="ea186623ex99-1_karooooo.htm">
              <w:r>
                <w:rPr>
                  <w:rStyle w:val="InternetLink"/>
                  <w:rFonts w:ascii="Times New Roman;Times;Serif" w:hAnsi="Times New Roman;Times;Serif"/>
                  <w:b w:val="false"/>
                  <w:i w:val="false"/>
                  <w:caps w:val="false"/>
                  <w:smallCaps w:val="false"/>
                  <w:sz w:val="20"/>
                </w:rPr>
                <w:t>Press release dated October 11, 2023 - Karooooo Ltd. Announces Second Quarter and Half-Year 2024 Unaudited Financial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186623ex99-1_karooooo.htm"/>
      <w:bookmarkStart w:id="3" w:name="ksea186623ex991_karooooo"/>
      <w:bookmarkEnd w:id="2"/>
      <w:bookmarkEnd w:id="3"/>
      <w:r>
        <w:rPr>
          <w:b/>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573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6858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(October 11, 2023) - Karooooo Limited (“Karooooo”) reported solid results for the second quarter (“Q2 2024”) and Half-Year (“HY 2024”) ended August 31, 2023. Karooooo owns 100% of Cartrack, 100% of Carzuka and 70.1% of Karooooo Logistics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(collectively,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consistently robust results extend the group’s track record of growth at scale, profitability and cash generation over more than a decade. Achieved in varying macro-economic environments, the group’s success is underpinned by an entrepreneurial, innovative, agile and customer-centric culture. This allows us to build strong relationships and provide for the unique needs of diverse customers, as they digitalize their operations for competitive advantage in dynamic and challenging operating environments.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proven and profitable business model, compelling competitive differentiators and strong financial position give us multiple levers for growth. We remain confident that our track record of success, specifically our ability to continue generating strong cash flows, is sustainable.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Q2 2024, Karooooo’s total revenue grew 21% to ZAR1,040 million (Q2 2023: ZAR859 million). Subscription revenue grew 17% to ZAR860 million (Q2 2023: ZAR734 million). After strategic investment for growth, earnings per share grew 14% to ZAR5.61 for Q2 2024 (Q2 2023: ZAR4.93). ARR grew 18% to ZAR3,486 million (Q2 2023: ZAR2,966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enjoys significant opportunities to drive growth. The principal benefits that our customers derive from our intuitive cloud platform include control of their operations, industry competitiveness, ESG reporting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leading Operations Cloud now powers the digital transformation of over 113,000 commercial customers. We have shown a high rate of successful implementation and have a 95% commercial customer retention across businesses of varying sizes in diverse geographical markets and industries, including logistics, field-service-maintenance, transport, finance, mining, agriculture, and emergency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unified, enterprise-grade platform digitalizes critical elements of our customers’ day-to-day operations, supporting effective controls and workflows. It brings together different users and workflows across business operations, eliminating inefficient processes and supporting better strategic decision-making and operational execution. It collects and contextualizes over 170 billion data points per month through system integrations, workforce tools and advanced telemetry, and video-based Internet of Things (“IoT”) devices. This turns complex analytics into business intelligence, empowering customers with meaningful insights and providing practical and easy-to-use tools that simplify day-to-day decision-making and deliver real business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8050" w:type="dxa"/>
        <w:jc w:val="left"/>
        <w:tblInd w:w="0" w:type="dxa"/>
        <w:tblLayout w:type="fixed"/>
        <w:tblCellMar>
          <w:top w:w="0" w:type="dxa"/>
          <w:left w:w="0" w:type="dxa"/>
          <w:bottom w:w="0" w:type="dxa"/>
          <w:right w:w="0" w:type="dxa"/>
        </w:tblCellMar>
      </w:tblPr>
      <w:tblGrid>
        <w:gridCol w:w="140"/>
        <w:gridCol w:w="7910"/>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7910" w:type="dxa"/>
            <w:tcBorders/>
            <w:vAlign w:val="center"/>
          </w:tcPr>
          <w:p>
            <w:pPr>
              <w:pStyle w:val="TableContents"/>
              <w:bidi w:val="0"/>
              <w:spacing w:before="0" w:after="283"/>
              <w:jc w:val="both"/>
              <w:rPr/>
            </w:pPr>
            <w:r>
              <w:rPr/>
              <w:t>Following the consolidation of platforms, Picup was re-named Karooooo Logistics.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Second Quarter 2024 Financial Overview (Unaudited)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(Comparisons are relative to Q2 2023,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SCALE</w:t>
      </w:r>
    </w:p>
    <w:p>
      <w:pPr>
        <w:pStyle w:val="TextBody"/>
        <w:bidi w:val="0"/>
        <w:spacing w:before="0" w:after="0"/>
        <w:ind w:left="0" w:right="0" w:hanging="0"/>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17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 subscribers increased 15% to 1,832,708 at August 31, 2023 (Q2 2023: 1,600,013)</w:t>
            </w:r>
          </w:p>
        </w:tc>
      </w:tr>
    </w:tbl>
    <w:p>
      <w:pPr>
        <w:pStyle w:val="TextBody"/>
        <w:bidi w:val="0"/>
        <w:spacing w:before="0" w:after="0"/>
        <w:ind w:left="0" w:right="0" w:hanging="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17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Cartrack subscriber additions increased 31% to 75,256 (Q2 2023: 57,251)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w:t>
      </w:r>
    </w:p>
    <w:p>
      <w:pPr>
        <w:pStyle w:val="TextBody"/>
        <w:bidi w:val="0"/>
        <w:spacing w:before="0" w:after="0"/>
        <w:ind w:left="0" w:right="0" w:hanging="0"/>
        <w:jc w:val="both"/>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38"/>
        <w:gridCol w:w="17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revenue increased 21% to ZAR1,040 million (Q2 2023: ZAR859 million)</w:t>
            </w:r>
          </w:p>
        </w:tc>
      </w:tr>
    </w:tbl>
    <w:p>
      <w:pPr>
        <w:pStyle w:val="TextBody"/>
        <w:bidi w:val="0"/>
        <w:spacing w:before="0" w:after="0"/>
        <w:ind w:left="0" w:right="0" w:hanging="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revenue increased 17% on a constant currency basis (a non-IFRS measure)</w:t>
            </w:r>
          </w:p>
        </w:tc>
      </w:tr>
    </w:tbl>
    <w:p>
      <w:pPr>
        <w:pStyle w:val="TextBody"/>
        <w:bidi w:val="0"/>
        <w:spacing w:before="0" w:after="0"/>
        <w:ind w:left="0" w:right="0" w:hanging="0"/>
        <w:jc w:val="left"/>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17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 revenue increased 17% to ZAR860 million (Q2 2023: ZAR734 million)</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 revenue increased 13% on a constant currency basis (a non-IFRS measure)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generated from operating activities increased 26% to ZAR304 million (Q2 2023: ZAR240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2024 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Financial Information and Business Metrics</w:t>
      </w:r>
    </w:p>
    <w:p>
      <w:pPr>
        <w:pStyle w:val="TextBody"/>
        <w:bidi w:val="0"/>
        <w:spacing w:before="0" w:after="0"/>
        <w:ind w:left="0" w:right="0" w:hanging="0"/>
        <w:jc w:val="left"/>
        <w:rPr>
          <w:caps w:val="false"/>
          <w:smallCaps w:val="false"/>
        </w:rPr>
      </w:pPr>
      <w:r>
        <w:rPr>
          <w:caps w:val="false"/>
          <w:smallCaps w:val="false"/>
        </w:rPr>
        <w:t>  </w:t>
      </w:r>
    </w:p>
    <w:tbl>
      <w:tblPr>
        <w:tblW w:w="14240" w:type="dxa"/>
        <w:jc w:val="left"/>
        <w:tblInd w:w="0" w:type="dxa"/>
        <w:tblLayout w:type="fixed"/>
        <w:tblCellMar>
          <w:top w:w="0" w:type="dxa"/>
          <w:left w:w="0" w:type="dxa"/>
          <w:bottom w:w="0" w:type="dxa"/>
          <w:right w:w="0" w:type="dxa"/>
        </w:tblCellMar>
      </w:tblPr>
      <w:tblGrid>
        <w:gridCol w:w="1220"/>
        <w:gridCol w:w="60"/>
        <w:gridCol w:w="60"/>
        <w:gridCol w:w="875"/>
        <w:gridCol w:w="215"/>
        <w:gridCol w:w="60"/>
        <w:gridCol w:w="60"/>
        <w:gridCol w:w="875"/>
        <w:gridCol w:w="215"/>
        <w:gridCol w:w="60"/>
        <w:gridCol w:w="121"/>
        <w:gridCol w:w="529"/>
        <w:gridCol w:w="260"/>
        <w:gridCol w:w="60"/>
        <w:gridCol w:w="60"/>
        <w:gridCol w:w="755"/>
        <w:gridCol w:w="215"/>
        <w:gridCol w:w="60"/>
        <w:gridCol w:w="60"/>
        <w:gridCol w:w="755"/>
        <w:gridCol w:w="215"/>
        <w:gridCol w:w="60"/>
        <w:gridCol w:w="88"/>
        <w:gridCol w:w="562"/>
        <w:gridCol w:w="260"/>
        <w:gridCol w:w="60"/>
        <w:gridCol w:w="60"/>
        <w:gridCol w:w="755"/>
        <w:gridCol w:w="215"/>
        <w:gridCol w:w="60"/>
        <w:gridCol w:w="60"/>
        <w:gridCol w:w="755"/>
        <w:gridCol w:w="215"/>
        <w:gridCol w:w="60"/>
        <w:gridCol w:w="62"/>
        <w:gridCol w:w="588"/>
        <w:gridCol w:w="260"/>
        <w:gridCol w:w="60"/>
        <w:gridCol w:w="60"/>
        <w:gridCol w:w="980"/>
        <w:gridCol w:w="215"/>
        <w:gridCol w:w="60"/>
        <w:gridCol w:w="60"/>
        <w:gridCol w:w="875"/>
        <w:gridCol w:w="215"/>
        <w:gridCol w:w="60"/>
        <w:gridCol w:w="121"/>
        <w:gridCol w:w="529"/>
        <w:gridCol w:w="95"/>
      </w:tblGrid>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65" w:type="dxa"/>
            <w:gridSpan w:val="4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Three Months Ended August 31,</w:t>
            </w:r>
            <w:r>
              <w:rPr>
                <w:rFonts w:ascii="Times New Roman;Times;Serif" w:hAnsi="Times New Roman;Times;Serif"/>
                <w:sz w:val="20"/>
              </w:rPr>
              <w:t xml:space="preserve">  </w:t>
            </w:r>
          </w:p>
        </w:tc>
        <w:tc>
          <w:tcPr>
            <w:tcW w:w="9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Cartrack</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Carzuka</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Karooooo Logistics</w:t>
            </w:r>
            <w:r>
              <w:rPr>
                <w:rFonts w:ascii="Times New Roman;Times;Serif" w:hAnsi="Times New Roman;Times;Serif"/>
                <w:b/>
                <w:position w:val="7"/>
                <w:sz w:val="16"/>
                <w:sz w:val="20"/>
              </w:rPr>
              <w:t>1</w:t>
            </w:r>
            <w:r>
              <w:rPr>
                <w:rFonts w:ascii="Times New Roman;Times;Serif" w:hAnsi="Times New Roman;Times;Serif"/>
                <w:b/>
                <w:sz w:val="20"/>
              </w:rPr>
              <w:t xml:space="preserve">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Karooooo Consolidated</w:t>
            </w:r>
          </w:p>
        </w:tc>
        <w:tc>
          <w:tcPr>
            <w:tcW w:w="95" w:type="dxa"/>
            <w:tcBorders/>
            <w:vAlign w:val="center"/>
          </w:tcPr>
          <w:p>
            <w:pPr>
              <w:pStyle w:val="TableContents"/>
              <w:bidi w:val="0"/>
              <w:spacing w:before="0" w:after="283"/>
              <w:jc w:val="left"/>
              <w:rPr/>
            </w:pPr>
            <w:r>
              <w:rPr/>
              <w:t> </w:t>
            </w:r>
          </w:p>
        </w:tc>
      </w:tr>
      <w:tr>
        <w:trPr/>
        <w:tc>
          <w:tcPr>
            <w:tcW w:w="122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2023</w:t>
            </w:r>
            <w:r>
              <w:rPr>
                <w:rFonts w:ascii="Times New Roman;Times;Serif" w:hAnsi="Times New Roman;Times;Serif"/>
                <w:sz w:val="20"/>
              </w:rPr>
              <w:t xml:space="preserve">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2022</w:t>
            </w:r>
            <w:r>
              <w:rPr>
                <w:rFonts w:ascii="Times New Roman;Times;Serif" w:hAnsi="Times New Roman;Times;Serif"/>
                <w:sz w:val="20"/>
              </w:rPr>
              <w:t xml:space="preserve">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Y-o-Y </w:t>
              <w:b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95" w:type="dxa"/>
            <w:tcBorders/>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pPr>
            <w:r>
              <w:rPr/>
              <w:t>Subscription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857,655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732,750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17</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2,676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83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860,331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734,216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revenue</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25,943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19,727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32</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25,943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19,727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32</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Vehicle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84,673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65,406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29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84,673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65,406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pPr>
            <w:r>
              <w:rPr/>
              <w:t>Delivery service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69,266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39,933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8" w:type="dxa"/>
            <w:tcBorders>
              <w:bottom w:val="single" w:sz="12" w:space="0" w:color="000000"/>
            </w:tcBorders>
            <w:shd w:fill="FFFFFF" w:val="clear"/>
            <w:tcMar>
              <w:bottom w:w="28" w:type="dxa"/>
            </w:tcMar>
            <w:vAlign w:val="center"/>
          </w:tcPr>
          <w:p>
            <w:pPr>
              <w:pStyle w:val="TableContents"/>
              <w:bidi w:val="0"/>
              <w:spacing w:before="0" w:after="283"/>
              <w:jc w:val="right"/>
              <w:rPr/>
            </w:pPr>
            <w:r>
              <w:rPr/>
              <w:t>73</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69,266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39,933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FFFFFF" w:val="clear"/>
            <w:tcMar>
              <w:bottom w:w="28" w:type="dxa"/>
            </w:tcMar>
            <w:vAlign w:val="center"/>
          </w:tcPr>
          <w:p>
            <w:pPr>
              <w:pStyle w:val="TableContents"/>
              <w:bidi w:val="0"/>
              <w:spacing w:before="0" w:after="283"/>
              <w:jc w:val="right"/>
              <w:rPr/>
            </w:pPr>
            <w:r>
              <w:rPr/>
              <w:t>73</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883,598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752,477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84,673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65,406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71,942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41,399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8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74</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1,040,213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859,282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w:t>
            </w:r>
          </w:p>
        </w:tc>
        <w:tc>
          <w:tcPr>
            <w:tcW w:w="95" w:type="dxa"/>
            <w:tcBorders/>
            <w:shd w:fill="CCEEFF" w:val="clear"/>
            <w:vAlign w:val="center"/>
          </w:tcPr>
          <w:p>
            <w:pPr>
              <w:pStyle w:val="TableContents"/>
              <w:bidi w:val="0"/>
              <w:spacing w:before="0" w:after="283"/>
              <w:ind w:left="0" w:right="0" w:hanging="180"/>
              <w:jc w:val="left"/>
              <w:rPr>
                <w:b/>
              </w:rPr>
            </w:pPr>
            <w:r>
              <w:rPr>
                <w:b/>
              </w:rPr>
              <w:t>%</w:t>
            </w:r>
          </w:p>
        </w:tc>
      </w:tr>
      <w:tr>
        <w:trPr/>
        <w:tc>
          <w:tcPr>
            <w:tcW w:w="122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(253,189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(200,111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27</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(78,175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(58,819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t>33</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(48,312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(31,139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55</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(379,676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(290,069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630,409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552,366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14</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6,498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6,587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23,630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10,260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130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660,537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569,213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pPr>
            <w:r>
              <w:rPr/>
              <w:t>Gross Profit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pPr>
            <w:r>
              <w:rPr/>
              <w:t>Operating Profit/(loss)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252,455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223,812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(12,896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(6,198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108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1,384</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247,186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218,128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pPr>
            <w:r>
              <w:rPr/>
              <w:t>Operating Profit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(a non-IFRS measure)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416,952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382,324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(11,792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(5,865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101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8,104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787</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413,264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377,373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b/>
              </w:rPr>
            </w:pPr>
            <w:r>
              <w:rPr>
                <w:b/>
              </w:rPr>
              <w:t>Adjusted EBITDA Margin (a non-IFRS measure)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185"/>
        <w:gridCol w:w="8435"/>
      </w:tblGrid>
      <w:tr>
        <w:trPr/>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843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Karooooo acquired 70.1% of Picup in September 2021, subsequently re-named as Karooooo Logistics.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2.</w:t>
            </w:r>
          </w:p>
        </w:tc>
        <w:tc>
          <w:tcPr>
            <w:tcW w:w="10043"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Other revenue is non-subscription-based revenue and relates predominantly to the sale of telematics devices to a large enterprise customer opting for a non-bundled contract. Cartrack remains focused on bundled sales.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Revenue and Subscription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grew revenue by 21% to ZAR1,040 million and subscription revenue by 17% to ZAR860 million in Q2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grew revenue by 17% to ZAR884 million (Q2 2023: ZAR752 million) and subscription revenue by 17% to a record of ZAR858 million in Q2 2024 (Q2 2023: ZAR733 million). Subscription revenue equated to 97% of total revenue. Cartrack continues to build on its solid track record of growing at scale and experienced strong customer acquisition in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Carzuka grew revenue by 29% to ZAR85 million (Q2 2023: ZAR65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quarter end, despite the growth experienced by Carzuka in South Africa, a decision was made to cease buying second hand vehicles in South Africa. Further commentary is provided in the section below titled “Events subsequent to the end of the Second Quarter of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 grew revenue by 74% to ZAR72 million (Q2 2023: ZAR41 million). Karooooo Logistics focuses on delivery-as-a-service (“DaaS”) through selected third-party crowd sourced drivers and logistics companies, and charges per delivery. The business model has been highly scalable and is delivering substantial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enhancing the logistics capabilities of our customers, we continue to integrate Karooooo Logistics’ technology stack into the Cartrack platform. This enables Cartrack’s customers to manage their logistics capacity with ease, using Cartrack’s API architecture to augment their fleet capacity. The Karooooo Logistics stack will be offered to Cartrack customers on a subscription-based model and is expected to deliver a long-term revenue stream to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Expenses </w:t>
      </w:r>
    </w:p>
    <w:p>
      <w:pPr>
        <w:pStyle w:val="TextBody"/>
        <w:bidi w:val="0"/>
        <w:spacing w:before="0" w:after="0"/>
        <w:ind w:left="0" w:right="0" w:hanging="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3305"/>
        <w:gridCol w:w="60"/>
        <w:gridCol w:w="60"/>
        <w:gridCol w:w="800"/>
        <w:gridCol w:w="60"/>
        <w:gridCol w:w="60"/>
        <w:gridCol w:w="60"/>
        <w:gridCol w:w="800"/>
        <w:gridCol w:w="60"/>
        <w:gridCol w:w="60"/>
        <w:gridCol w:w="121"/>
        <w:gridCol w:w="529"/>
        <w:gridCol w:w="230"/>
      </w:tblGrid>
      <w:tr>
        <w:trPr/>
        <w:tc>
          <w:tcPr>
            <w:tcW w:w="33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1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August 31,</w:t>
            </w:r>
          </w:p>
        </w:tc>
        <w:tc>
          <w:tcPr>
            <w:tcW w:w="230" w:type="dxa"/>
            <w:tcBorders/>
            <w:vAlign w:val="center"/>
          </w:tcPr>
          <w:p>
            <w:pPr>
              <w:pStyle w:val="TableContents"/>
              <w:bidi w:val="0"/>
              <w:spacing w:before="0" w:after="283"/>
              <w:jc w:val="left"/>
              <w:rPr/>
            </w:pPr>
            <w:r>
              <w:rPr/>
              <w:t> </w:t>
            </w:r>
          </w:p>
        </w:tc>
      </w:tr>
      <w:tr>
        <w:trPr/>
        <w:tc>
          <w:tcPr>
            <w:tcW w:w="330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3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b/>
              </w:rPr>
            </w:pPr>
            <w:r>
              <w:rPr>
                <w:b/>
              </w:rPr>
              <w:t>Karooooo’s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418,290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354,505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18</w:t>
            </w:r>
          </w:p>
        </w:tc>
        <w:tc>
          <w:tcPr>
            <w:tcW w:w="230"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left"/>
              <w:rPr/>
            </w:pPr>
            <w:r>
              <w:rPr/>
              <w:t>- Cartrack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382,891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331,949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15</w:t>
            </w:r>
          </w:p>
        </w:tc>
        <w:tc>
          <w:tcPr>
            <w:tcW w:w="230" w:type="dxa"/>
            <w:tcBorders/>
            <w:shd w:fill="FFFFFF" w:val="clear"/>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left"/>
              <w:rPr/>
            </w:pPr>
            <w:r>
              <w:rPr/>
              <w:t>- Carzuka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52</w:t>
            </w:r>
          </w:p>
        </w:tc>
        <w:tc>
          <w:tcPr>
            <w:tcW w:w="230"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left"/>
              <w:rPr/>
            </w:pPr>
            <w:r>
              <w:rPr/>
              <w:t>- Karooooo Logistics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16,005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9,771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FFFFFF" w:val="clear"/>
            <w:tcMar>
              <w:bottom w:w="28" w:type="dxa"/>
            </w:tcMar>
            <w:vAlign w:val="center"/>
          </w:tcPr>
          <w:p>
            <w:pPr>
              <w:pStyle w:val="TableContents"/>
              <w:bidi w:val="0"/>
              <w:spacing w:before="0" w:after="283"/>
              <w:jc w:val="right"/>
              <w:rPr/>
            </w:pPr>
            <w:r>
              <w:rPr/>
              <w:t>64</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operating expenses increased 18% to ZAR418 million (Q2 2023: ZAR355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ZAR383 million, was attributable to Cartrack (Q2 2023: ZAR332 million). This comprised prudent investment in sales headcount for territorial expansion and growth. We continued to invest cautiously in brand building and infrastructure to scale Carzuka and Karooooo Logistics, respectively incurring ZAR19 million (Q2 2023: ZAR13 million) and ZAR16 million (Q2 2023: ZAR10 million) of total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sales and marketing operating expenses increased 19% to ZAR118 million (Q2 2023: ZAR99 million). We believe this strategic investment for customer acquisition positions us well for continued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general and administration operating expenses increased 13% to ZAR187 million (Q2 2023: ZAR166 million). This planned increase reflects management’s commitment to build a strong support infrastructure to support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R&amp;D operating expenses increased 24% to ZAR52 million (Q2 2023: ZAR42 million). We are focused on driving substantial benefit from our R&amp;D capital allocation.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prudently provided for expected credit losses of ZAR26 million (Q2 2023: ZAR25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expenses as a proportion of subscription revenue aligns with Karooooo’s long-term financial goals, and reflects our investment in growth.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sales and marketing expenses as a percentage of Cartrack’s subscription revenue remained constant at 14% (Q2 2023: 13%)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general and administration expenses as a percentage of Cartrack’s subscription revenue decreased to 22% (Q2 2023: 23%)</w:t>
            </w:r>
          </w:p>
        </w:tc>
      </w:tr>
    </w:tbl>
    <w:p>
      <w:pPr>
        <w:pStyle w:val="TextBody"/>
        <w:bidi w:val="0"/>
        <w:spacing w:before="0" w:after="0"/>
        <w:ind w:left="0" w:right="0" w:hanging="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R&amp;D expenses as a percentage of Cartrack’s subscription revenue remained constant at 6% (Q2 2023: 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Profit and Earnings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operating profit grew to ZAR247 million (Q2 2023: ZAR218 million), and earnings per share grew to ZAR5.61 (Q2 2023: ZAR4.93).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our strong investment for growth, Cartrack delivered a record operating profit of ZAR252 million, up 13%, in Q2 2024 (Q2 2023: ZAR224 million). Gross profit margin was steady at 71% (Q2 2023: 73%), with an operating profit margin of 29% (Q2 2023: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 delivered a record operating profit of ZAR8 million (Q2 2023: ZAR1 million) as it builds for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Carzuka’s operating loss amounted to ZAR13 million (Q2 2023: ZAR6 million operating loss), mainly due to our prudent investment in infrastructure and brand building.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Adjusted EBITDA and Adjusted EBITDA margin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Adjusted EBITDA (a non-IFRS measure) for the period increased 10% to ZAR413 million (Q2 2023: ZAR377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Adjusted EBITDA (a non-IFRS measure) for the period increased 9% to ZAR417 million (Q2 2023: ZAR382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Carzuka’s Adjusted EBITDA (a non-IFRS measure) amounted to a loss of ZAR12 million (Q2 2023: ZAR6 million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 Adjusted EBITDA (a non-IFRS measure) was ZAR8 million (Q2 2023: ZAR1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“Reconciliation of Profit for the Period to Adjusted EBITDA (a non-IFRS measure)” below for a reconciliation of Adjusted EBITDA to profit, its most directly comparable IFRS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Half-Year 2024 Financial Overview (Unaudited)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(Comparisons are relative to HY 2023,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SCALE</w:t>
      </w:r>
    </w:p>
    <w:p>
      <w:pPr>
        <w:pStyle w:val="TextBody"/>
        <w:bidi w:val="0"/>
        <w:spacing w:before="0" w:after="0"/>
        <w:ind w:left="0" w:right="0" w:hanging="0"/>
        <w:jc w:val="both"/>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38"/>
        <w:gridCol w:w="17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1,832,708 Cartrack subscribers at August 31, 2023, up 15% (HY 2023: 1,600,013)</w:t>
            </w:r>
          </w:p>
        </w:tc>
      </w:tr>
    </w:tbl>
    <w:p>
      <w:pPr>
        <w:pStyle w:val="TextBody"/>
        <w:bidi w:val="0"/>
        <w:spacing w:before="0" w:after="0"/>
        <w:ind w:left="0" w:right="0" w:hanging="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Cartrack subscriber additions of 115,631, up 56% (HY 2023: 74,041)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w:t>
      </w:r>
    </w:p>
    <w:p>
      <w:pPr>
        <w:pStyle w:val="TextBody"/>
        <w:bidi w:val="0"/>
        <w:spacing w:before="0" w:after="0"/>
        <w:ind w:left="0" w:right="0" w:hanging="0"/>
        <w:jc w:val="both"/>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17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revenue increased 23% to ZAR2,037 million (HY 2023: ZAR1,661 million)</w:t>
            </w:r>
          </w:p>
        </w:tc>
      </w:tr>
    </w:tbl>
    <w:p>
      <w:pPr>
        <w:pStyle w:val="TextBody"/>
        <w:bidi w:val="0"/>
        <w:spacing w:before="0" w:after="0"/>
        <w:ind w:left="0" w:right="0" w:hanging="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revenue increased 18% on a constant currency basis (a non-IFRS measure)</w:t>
            </w:r>
          </w:p>
        </w:tc>
      </w:tr>
    </w:tbl>
    <w:p>
      <w:pPr>
        <w:pStyle w:val="TextBody"/>
        <w:bidi w:val="0"/>
        <w:spacing w:before="0" w:after="0"/>
        <w:ind w:left="0" w:right="0" w:hanging="0"/>
        <w:jc w:val="left"/>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 revenue increased 18% to ZAR1,697 million (HY 2023: ZAR1,443 million)</w:t>
            </w:r>
          </w:p>
        </w:tc>
      </w:tr>
    </w:tbl>
    <w:p>
      <w:pPr>
        <w:pStyle w:val="TextBody"/>
        <w:bidi w:val="0"/>
        <w:spacing w:before="0" w:after="0"/>
        <w:ind w:left="0" w:right="0" w:hanging="0"/>
        <w:jc w:val="left"/>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Subscription revenue increased 13% on a constant currency basis (a non-IFRS measure)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Half-Year 2024 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Financial Information and Business Metrics</w:t>
      </w:r>
    </w:p>
    <w:p>
      <w:pPr>
        <w:pStyle w:val="TextBody"/>
        <w:bidi w:val="0"/>
        <w:spacing w:before="0" w:after="0"/>
        <w:ind w:left="0" w:right="0" w:hanging="0"/>
        <w:jc w:val="left"/>
        <w:rPr>
          <w:caps w:val="false"/>
          <w:smallCaps w:val="false"/>
        </w:rPr>
      </w:pPr>
      <w:r>
        <w:rPr>
          <w:caps w:val="false"/>
          <w:smallCaps w:val="false"/>
        </w:rPr>
        <w:t>  </w:t>
      </w:r>
    </w:p>
    <w:tbl>
      <w:tblPr>
        <w:tblW w:w="14685" w:type="dxa"/>
        <w:jc w:val="left"/>
        <w:tblInd w:w="0" w:type="dxa"/>
        <w:tblLayout w:type="fixed"/>
        <w:tblCellMar>
          <w:top w:w="0" w:type="dxa"/>
          <w:left w:w="0" w:type="dxa"/>
          <w:bottom w:w="0" w:type="dxa"/>
          <w:right w:w="0" w:type="dxa"/>
        </w:tblCellMar>
      </w:tblPr>
      <w:tblGrid>
        <w:gridCol w:w="1220"/>
        <w:gridCol w:w="60"/>
        <w:gridCol w:w="60"/>
        <w:gridCol w:w="980"/>
        <w:gridCol w:w="215"/>
        <w:gridCol w:w="60"/>
        <w:gridCol w:w="60"/>
        <w:gridCol w:w="980"/>
        <w:gridCol w:w="215"/>
        <w:gridCol w:w="60"/>
        <w:gridCol w:w="121"/>
        <w:gridCol w:w="529"/>
        <w:gridCol w:w="215"/>
        <w:gridCol w:w="60"/>
        <w:gridCol w:w="60"/>
        <w:gridCol w:w="875"/>
        <w:gridCol w:w="215"/>
        <w:gridCol w:w="60"/>
        <w:gridCol w:w="60"/>
        <w:gridCol w:w="875"/>
        <w:gridCol w:w="215"/>
        <w:gridCol w:w="60"/>
        <w:gridCol w:w="88"/>
        <w:gridCol w:w="562"/>
        <w:gridCol w:w="215"/>
        <w:gridCol w:w="60"/>
        <w:gridCol w:w="60"/>
        <w:gridCol w:w="800"/>
        <w:gridCol w:w="215"/>
        <w:gridCol w:w="60"/>
        <w:gridCol w:w="60"/>
        <w:gridCol w:w="755"/>
        <w:gridCol w:w="215"/>
        <w:gridCol w:w="60"/>
        <w:gridCol w:w="62"/>
        <w:gridCol w:w="588"/>
        <w:gridCol w:w="215"/>
        <w:gridCol w:w="60"/>
        <w:gridCol w:w="60"/>
        <w:gridCol w:w="980"/>
        <w:gridCol w:w="215"/>
        <w:gridCol w:w="60"/>
        <w:gridCol w:w="60"/>
        <w:gridCol w:w="980"/>
        <w:gridCol w:w="215"/>
        <w:gridCol w:w="60"/>
        <w:gridCol w:w="121"/>
        <w:gridCol w:w="529"/>
        <w:gridCol w:w="75"/>
      </w:tblGrid>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30" w:type="dxa"/>
            <w:gridSpan w:val="46"/>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Six Months Ended August 31,</w:t>
            </w:r>
            <w:r>
              <w:rPr>
                <w:rFonts w:ascii="Times New Roman;Times;Serif" w:hAnsi="Times New Roman;Times;Serif"/>
                <w:sz w:val="20"/>
              </w:rPr>
              <w:t xml:space="preserve">  </w:t>
            </w:r>
          </w:p>
        </w:tc>
        <w:tc>
          <w:tcPr>
            <w:tcW w:w="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Cartrack</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Carzuka</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Karooooo Logistics</w:t>
            </w:r>
            <w:r>
              <w:rPr>
                <w:rFonts w:ascii="Times New Roman;Times;Serif" w:hAnsi="Times New Roman;Times;Serif"/>
                <w:b/>
                <w:position w:val="7"/>
                <w:sz w:val="16"/>
                <w:sz w:val="20"/>
              </w:rPr>
              <w:t>1</w:t>
            </w:r>
            <w:r>
              <w:rPr>
                <w:rFonts w:ascii="Times New Roman;Times;Serif" w:hAnsi="Times New Roman;Times;Serif"/>
                <w:b/>
                <w:sz w:val="20"/>
              </w:rPr>
              <w:t xml:space="preserve">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Karooooo Consolidated</w:t>
            </w:r>
          </w:p>
        </w:tc>
        <w:tc>
          <w:tcPr>
            <w:tcW w:w="75" w:type="dxa"/>
            <w:tcBorders/>
            <w:vAlign w:val="center"/>
          </w:tcPr>
          <w:p>
            <w:pPr>
              <w:pStyle w:val="TableContents"/>
              <w:bidi w:val="0"/>
              <w:spacing w:before="0" w:after="283"/>
              <w:jc w:val="left"/>
              <w:rPr/>
            </w:pPr>
            <w:r>
              <w:rPr/>
              <w:t> </w:t>
            </w:r>
          </w:p>
        </w:tc>
      </w:tr>
      <w:tr>
        <w:trPr/>
        <w:tc>
          <w:tcPr>
            <w:tcW w:w="122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2023</w:t>
            </w:r>
            <w:r>
              <w:rPr>
                <w:rFonts w:ascii="Times New Roman;Times;Serif" w:hAnsi="Times New Roman;Times;Serif"/>
                <w:sz w:val="20"/>
              </w:rPr>
              <w:t xml:space="preserve">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2022</w:t>
            </w:r>
            <w:r>
              <w:rPr>
                <w:rFonts w:ascii="Times New Roman;Times;Serif" w:hAnsi="Times New Roman;Times;Serif"/>
                <w:sz w:val="20"/>
              </w:rPr>
              <w:t xml:space="preserve">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Y-o-Y </w:t>
              <w:b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75" w:type="dxa"/>
            <w:tcBorders/>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pPr>
            <w:r>
              <w:rPr/>
              <w:t>Subscription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1,691,887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1,440,231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4,841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2,888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68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1,696,728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1,443,119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18</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revenue</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45,140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35,964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26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45,140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35,964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26</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Vehicle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166,236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115,411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166,236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115,411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44</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pPr>
            <w:r>
              <w:rPr/>
              <w:t>Delivery service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128,896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66,225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8" w:type="dxa"/>
            <w:tcBorders>
              <w:bottom w:val="single" w:sz="12" w:space="0" w:color="000000"/>
            </w:tcBorders>
            <w:shd w:fill="FFFFFF" w:val="clear"/>
            <w:tcMar>
              <w:bottom w:w="28" w:type="dxa"/>
            </w:tcMar>
            <w:vAlign w:val="center"/>
          </w:tcPr>
          <w:p>
            <w:pPr>
              <w:pStyle w:val="TableContents"/>
              <w:bidi w:val="0"/>
              <w:spacing w:before="0" w:after="283"/>
              <w:jc w:val="right"/>
              <w:rPr/>
            </w:pPr>
            <w:r>
              <w:rPr/>
              <w:t>95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128,896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66,225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FFFFFF" w:val="clear"/>
            <w:tcMar>
              <w:bottom w:w="28" w:type="dxa"/>
            </w:tcMar>
            <w:vAlign w:val="center"/>
          </w:tcPr>
          <w:p>
            <w:pPr>
              <w:pStyle w:val="TableContents"/>
              <w:bidi w:val="0"/>
              <w:spacing w:before="0" w:after="283"/>
              <w:jc w:val="right"/>
              <w:rPr/>
            </w:pPr>
            <w:r>
              <w:rPr/>
              <w:t>95</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1,737,027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1,476,195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CCEEFF" w:val="clear"/>
            <w:tcMar>
              <w:bottom w:w="28" w:type="dxa"/>
            </w:tcMar>
            <w:vAlign w:val="center"/>
          </w:tcPr>
          <w:p>
            <w:pPr>
              <w:pStyle w:val="TableContents"/>
              <w:bidi w:val="0"/>
              <w:spacing w:before="0" w:after="283"/>
              <w:jc w:val="right"/>
              <w:rPr/>
            </w:pPr>
            <w:r>
              <w:rPr/>
              <w:t>18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166,236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115,411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2" w:type="dxa"/>
            <w:tcBorders>
              <w:bottom w:val="double" w:sz="10" w:space="0" w:color="000000"/>
            </w:tcBorders>
            <w:shd w:fill="CCEEFF" w:val="clear"/>
            <w:tcMar>
              <w:bottom w:w="28" w:type="dxa"/>
            </w:tcMar>
            <w:vAlign w:val="center"/>
          </w:tcPr>
          <w:p>
            <w:pPr>
              <w:pStyle w:val="TableContents"/>
              <w:bidi w:val="0"/>
              <w:spacing w:before="0" w:after="283"/>
              <w:jc w:val="right"/>
              <w:rPr/>
            </w:pPr>
            <w:r>
              <w:rPr/>
              <w:t>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133,737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69,113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88" w:type="dxa"/>
            <w:tcBorders>
              <w:bottom w:val="double" w:sz="10" w:space="0" w:color="000000"/>
            </w:tcBorders>
            <w:shd w:fill="CCEEFF" w:val="clear"/>
            <w:tcMar>
              <w:bottom w:w="28" w:type="dxa"/>
            </w:tcMar>
            <w:vAlign w:val="center"/>
          </w:tcPr>
          <w:p>
            <w:pPr>
              <w:pStyle w:val="TableContents"/>
              <w:bidi w:val="0"/>
              <w:spacing w:before="0" w:after="283"/>
              <w:jc w:val="right"/>
              <w:rPr/>
            </w:pPr>
            <w:r>
              <w:rPr/>
              <w:t>94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2,037,000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1,660,719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CCEEFF" w:val="clear"/>
            <w:tcMar>
              <w:bottom w:w="28" w:type="dxa"/>
            </w:tcMar>
            <w:vAlign w:val="center"/>
          </w:tcPr>
          <w:p>
            <w:pPr>
              <w:pStyle w:val="TableContents"/>
              <w:bidi w:val="0"/>
              <w:spacing w:before="0" w:after="283"/>
              <w:jc w:val="right"/>
              <w:rPr/>
            </w:pPr>
            <w:r>
              <w:rPr/>
              <w:t>23</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(506,154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(406,765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24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(152,620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(103,071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t>48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(91,150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(51,784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76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(749,924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(561,620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34</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1,230,873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1,069,430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13,616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12,340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42,587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17,329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146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1,287,076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1,099,099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17</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pPr>
            <w:r>
              <w:rPr/>
              <w:t>Gross Profit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pPr>
            <w:r>
              <w:rPr/>
              <w:t>Operating Profit/(loss)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484,356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445,064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(24,952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(9,867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153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12,156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2,787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471,560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435,618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8</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pPr>
            <w:r>
              <w:rPr/>
              <w:t>Operating Profit Margin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b/>
              </w:rPr>
            </w:pPr>
            <w:r>
              <w:rPr>
                <w:b/>
              </w:rPr>
              <w:t>Adjusted EBITDA (a non-IFRS measure)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809,042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739,293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(22,750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(9,289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145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13,096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1,113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1,077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799,388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731,117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9</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b/>
              </w:rPr>
            </w:pPr>
            <w:r>
              <w:rPr>
                <w:b/>
              </w:rPr>
              <w:t>Adjusted EBITDA Margin (a non-IFRS measure)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185"/>
        <w:gridCol w:w="8435"/>
      </w:tblGrid>
      <w:tr>
        <w:trPr/>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843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Karooooo acquired 70.1% of Picup in September 2021, subsequently re-named as Karooooo Logistics.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2.</w:t>
            </w:r>
          </w:p>
        </w:tc>
        <w:tc>
          <w:tcPr>
            <w:tcW w:w="10043"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Other revenue is non-subscription-based revenue and relates predominantly to the sale of telematics devices to a large enterprise customer opting for a non-bundled contract. Cartrack remains focused on bundled sales.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Revenue and Subscription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grew revenue by 23% to ZAR2,037 million (HY 2023: ZAR1,661 million) and subscription revenue by 18% to ZAR1,697 million in HY 2024 (HY 2023: ZAR1,443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grew revenue by 18% to ZAR1,737 million (HY 2023: ZAR1,476 million) and subscription revenue by 17% to a record of ZAR1,692 million in HY 2024 (HY 2023: ZAR1,440 million) . Subscription revenue equated to 97% of total revenue (HY 2023: 98%). Cartrack continues to build on its strong track record of growing at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planned, Carzuka and Karooooo Logistics continued to scale and bolster Karooooo’s revenue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Carzuka’s revenue grew 44% to ZAR166 million in HY 2024 (HY 2023: ZAR115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 (trading as Picup in South Africa) generated record revenue of ZAR134 million in HY 2024 (HY 2023: ZAR69 million), growth of 94%.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Expenses </w:t>
      </w:r>
    </w:p>
    <w:p>
      <w:pPr>
        <w:pStyle w:val="TextBody"/>
        <w:bidi w:val="0"/>
        <w:spacing w:before="0" w:after="0"/>
        <w:ind w:left="0" w:right="0" w:hanging="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3305"/>
        <w:gridCol w:w="60"/>
        <w:gridCol w:w="60"/>
        <w:gridCol w:w="800"/>
        <w:gridCol w:w="60"/>
        <w:gridCol w:w="60"/>
        <w:gridCol w:w="60"/>
        <w:gridCol w:w="800"/>
        <w:gridCol w:w="60"/>
        <w:gridCol w:w="60"/>
        <w:gridCol w:w="121"/>
        <w:gridCol w:w="529"/>
        <w:gridCol w:w="230"/>
      </w:tblGrid>
      <w:tr>
        <w:trPr/>
        <w:tc>
          <w:tcPr>
            <w:tcW w:w="33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61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August 31,</w:t>
            </w:r>
          </w:p>
        </w:tc>
        <w:tc>
          <w:tcPr>
            <w:tcW w:w="230" w:type="dxa"/>
            <w:tcBorders/>
            <w:vAlign w:val="center"/>
          </w:tcPr>
          <w:p>
            <w:pPr>
              <w:pStyle w:val="TableContents"/>
              <w:bidi w:val="0"/>
              <w:spacing w:before="0" w:after="283"/>
              <w:jc w:val="left"/>
              <w:rPr/>
            </w:pPr>
            <w:r>
              <w:rPr/>
              <w:t> </w:t>
            </w:r>
          </w:p>
        </w:tc>
      </w:tr>
      <w:tr>
        <w:trPr/>
        <w:tc>
          <w:tcPr>
            <w:tcW w:w="330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3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b/>
              </w:rPr>
            </w:pPr>
            <w:r>
              <w:rPr>
                <w:b/>
              </w:rPr>
              <w:t>Karooooo’s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822,783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667,638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230"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left"/>
              <w:rPr/>
            </w:pPr>
            <w:r>
              <w:rPr/>
              <w:t>- Cartrack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753,770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628,345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20</w:t>
            </w:r>
          </w:p>
        </w:tc>
        <w:tc>
          <w:tcPr>
            <w:tcW w:w="230" w:type="dxa"/>
            <w:tcBorders/>
            <w:shd w:fill="FFFFFF" w:val="clear"/>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left"/>
              <w:rPr/>
            </w:pPr>
            <w:r>
              <w:rPr/>
              <w:t>- Carzuka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38,568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74</w:t>
            </w:r>
          </w:p>
        </w:tc>
        <w:tc>
          <w:tcPr>
            <w:tcW w:w="230"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left"/>
              <w:rPr/>
            </w:pPr>
            <w:r>
              <w:rPr/>
              <w:t>- Karooooo Logistics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30,445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17,086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FFFFFF" w:val="clear"/>
            <w:tcMar>
              <w:bottom w:w="28" w:type="dxa"/>
            </w:tcMar>
            <w:vAlign w:val="center"/>
          </w:tcPr>
          <w:p>
            <w:pPr>
              <w:pStyle w:val="TableContents"/>
              <w:bidi w:val="0"/>
              <w:spacing w:before="0" w:after="283"/>
              <w:jc w:val="right"/>
              <w:rPr/>
            </w:pPr>
            <w:r>
              <w:rPr/>
              <w:t>78</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operating expenses increased 23% to ZAR823 million in HY 2024 (HY 2023: ZAR668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ZAR754 million, was attributable to Cartrack (HY 2023: ZAR628 million), comprising prudent investment in infrastructure and headcount for territorial expansion. We continued to invest in brand building and infrastructure in Carzuka and Karooooo Logistics, which incurred ZAR39 million and ZAR30 million, respectively, of the group’s total operating expenses (HY 2023: ZAR22 million and ZAR17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sales and marketing expenses increased 23% to ZAR233 million in HY 2024 (HY 2023: ZAR190 million). We expect to see future benefit in customer acquisition from this investment in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general and administration operating expenses were 17% higher at ZAR365 million (HY 2023: ZAR312 million). This reflects our investment in infrastructure to meet our growth plans. General and administration operating expenses were predominantly impacted by an increase of ZAR34 million in salaries.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R&amp;D operating expenses were 21% higher at ZAR98 million (HY 2023: ZAR81 million). Our planned investment in improving, enriching and expanding our Operations Cloud and internal management systems is focused on enhancing our value proposition to our customers.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provided for expected credit losses of ZAR57 million (HY 2023: ZAR45 million), with expected credit losses for the year at 3.3% of revenue (HY 2023: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Profit and Earnings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grew operating profit by 8% to a record of ZAR472 million (HY 2023: ZAR436 million) and earnings per share by 8% to ZAR10.70 (HY 2023: ZAR9.89).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grew operating profit by 9% to a record of ZAR484 million (HY 2023: ZAR445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Carzuka’s operating loss was ZAR25 million (HY 2023: ZAR10 million operating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 delivered a record operating profit of ZAR12 million (HY 2023: ZAR0.4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Adjusted EBITDA and Adjusted EBITDA margin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Adjusted EBITDA (a non-IFRS measure) for the year increased 9% to ZAR799 million (HY 2023: ZAR731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Adjusted EBITDA (a non-IFRS measure) increased 9% to ZAR809 million (HY 2023: ZAR739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investment in expansion, Carzuka’s Adjusted EBITDA (a non-IFRS measure) amounted to a loss of ZAR23 million (HY 2023: ZAR9 million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 Adjusted EBITDA (a non-IFRS measure) was ZAR13 million (HY 2023: ZAR1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“Reconciliation of Profit for the Period to Adjusted EBITDA (a non-IFRS measure)” below for a reconciliation of Adjusted EBITDA to profit, its most directly comparable IFRS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Outlook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be a leading on-the-ground Operations Cloud service provider.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Karooooo is well positioned for growth. We operate in a growing and largely underpenetrated market, with strong demand from customers across diverse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proven, robust and consistently profitable business model, underpinned by a strong balance sheet and healthy cash position, gives us multiple levers for expansion. We expect our investment in marketing and sales, and the realization of economies of scale across our business segments, to continue to generate robust results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remain confident that our track record of success, specifically our ability to generate healthy cash flows, is sustainable.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may differ materially from Karooooo’s outlook due to various factors, including those described under “Forward-Looking Statements” below and described under “Risk Factors” in our latest Annual Report on Form 20-F filed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Cartrack’s revenue making up the majority of group revenue, the outlook below relates to Cartrack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guidance for FY 2024 remains:</w:t>
      </w:r>
    </w:p>
    <w:p>
      <w:pPr>
        <w:pStyle w:val="TextBody"/>
        <w:bidi w:val="0"/>
        <w:spacing w:before="0" w:after="0"/>
        <w:ind w:left="0" w:right="0" w:hanging="0"/>
        <w:jc w:val="both"/>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Number of subscribers between 1,900,000 and 2,100,000</w:t>
            </w:r>
          </w:p>
        </w:tc>
      </w:tr>
    </w:tbl>
    <w:p>
      <w:pPr>
        <w:pStyle w:val="TextBody"/>
        <w:bidi w:val="0"/>
        <w:spacing w:before="0" w:after="0"/>
        <w:ind w:left="720" w:right="0" w:hanging="360"/>
        <w:jc w:val="both"/>
        <w:rPr>
          <w:caps w:val="false"/>
          <w:smallCaps w:val="false"/>
        </w:rPr>
      </w:pPr>
      <w:r>
        <w:rPr>
          <w:caps w:val="false"/>
          <w:smallCaps w:val="false"/>
        </w:rPr>
        <w:t> </w:t>
      </w:r>
    </w:p>
    <w:tbl>
      <w:tblPr>
        <w:tblW w:w="6963" w:type="dxa"/>
        <w:jc w:val="left"/>
        <w:tblInd w:w="0" w:type="dxa"/>
        <w:tblLayout w:type="fixed"/>
        <w:tblCellMar>
          <w:top w:w="0" w:type="dxa"/>
          <w:left w:w="0" w:type="dxa"/>
          <w:bottom w:w="0" w:type="dxa"/>
          <w:right w:w="0" w:type="dxa"/>
        </w:tblCellMar>
      </w:tblPr>
      <w:tblGrid>
        <w:gridCol w:w="38"/>
        <w:gridCol w:w="170"/>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subscription revenue between ZAR3,400 million and ZAR3,600 million</w:t>
            </w:r>
          </w:p>
        </w:tc>
      </w:tr>
    </w:tbl>
    <w:p>
      <w:pPr>
        <w:pStyle w:val="TextBody"/>
        <w:bidi w:val="0"/>
        <w:spacing w:before="0" w:after="0"/>
        <w:ind w:left="720" w:right="0" w:hanging="360"/>
        <w:jc w:val="both"/>
        <w:rPr>
          <w:caps w:val="false"/>
          <w:smallCaps w:val="false"/>
        </w:rPr>
      </w:pPr>
      <w:r>
        <w:rPr>
          <w:caps w:val="false"/>
          <w:smallCaps w:val="false"/>
        </w:rPr>
        <w:t> </w:t>
      </w:r>
    </w:p>
    <w:tbl>
      <w:tblPr>
        <w:tblW w:w="4908" w:type="dxa"/>
        <w:jc w:val="left"/>
        <w:tblInd w:w="0" w:type="dxa"/>
        <w:tblLayout w:type="fixed"/>
        <w:tblCellMar>
          <w:top w:w="0" w:type="dxa"/>
          <w:left w:w="0" w:type="dxa"/>
          <w:bottom w:w="0" w:type="dxa"/>
          <w:right w:w="0" w:type="dxa"/>
        </w:tblCellMar>
      </w:tblPr>
      <w:tblGrid>
        <w:gridCol w:w="38"/>
        <w:gridCol w:w="17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operating profit margin between 28% and 31%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 Liquidity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approach to capital allocation supports Karooooo’s strong growth at scale, profitability and high cash-generation. Given our balanced capital structure and healthy operating profit margins, we have ample runway to accelerate our customer acquisition strategy while remaining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31, 2023, the increase in Karooooo’s property, plant and equipment is primarily as a result of an increase in in-vehicle capitalized telematic devices by ZAR61 million to ZAR937 million (February 28, 2023: ZAR876 million) and the development cost of ZAR87 million in respect of the new South African central office in Rosebank, Johannesburg (February 28, 2023: ZAR72 million). Karooooo’s property, plant and equipment of uninstalled telematic devices for future sales was ZAR321 million (February 28, 2023: ZAR307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business growth and currency fluctuations, trade and other payables increased to ZAR449 million (February 28, 2023: ZAR374 million). Trade receivables increased to ZAR479 million (February 28, 2023: ZAR409 million), with debtor’s collection days improving to 29 days (February 28, 2023: 31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the cash management policy of the group’s capital allocation committee, Karooooo’s excess cash reserves on hand are held in US Dollars. This will be translated into ZAR for reporting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paying a dividend of USD26.3 million, investing ZAR54 million to develop our South African central office in Rosebank and strategically allocating capital for organic growth in the quarter, Karooooo reported a strong net cash and cash equivalents balance of ZAR651 million at August 31, 2023 (August 31, 2022: ZAR1,001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August 31, 2023, the group had bank facilities for growth initiatives and other general corporate purposes of ZAR925 million with The Standard Bank of South Africa Limited and ZAR75 million with Capitec Bank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Free Cash Flow (a non-IFRS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generated cash from operating activities of ZAR304 million for the quarter ended August 31, 2023 (August 31, 2022: ZAR 240 million). The group generated Free Cash Flow (a non-IFRS measure) of ZAR68 million for the quarter ended August 31, 2023 (August 31, 2022: ZAR 106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result was achieved notwithstanding the group’s strategic investment for sustainable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and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has 30,951,106 ordinary shares issued with paid-up share capital of USD505,956,659 plus SGD1,000.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negative common control reserve of ZAR2.7 billion on the balance sheet relates to a common control transaction on November 18, 2020, in which the loan of USD194 million from Isaias Jose Calisto was converted into Karooooo share capital. Consequently, Karooooo acquired control of Cartrack. On that date, 20,331,894 shares were issued to Isaias Jose Calisto and Karooooo registered ZAR2.7 billion in paid-up capital, resulting in the common control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ZAR3.6 billion negative capital reserve on the balance sheet relates to the buyout of 95,350,657 Cartrack shares at ZAR42.00 per share from minorities when Cartrack delisted from the JSE totaling ZAR4.0 billion. This was offset by the ZAR0.4 billion previously reported in the non-controlling interest. The ZAR0.4 billion relates to the net asset value of 95,350,657 Cartrack minority shares bought by Karooooo.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Geographical Overview for Cartrack for Second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South Africa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number of subscribers in this region increased 14% to 1,393,353 at August 31, 2023 (August 31, 2022: 1,227,586) with subscription revenue growth of 12% and ARR growth of 13% (a non-IFRS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South African economy remains under pressure. We are acutely focused on maintaining our strong unit economics. Given that we continuously pass on additional benefits to our customers and have a rich data pool, we believe we will continue to see strong customer demand in this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the largest and fastest growing enterprise mobility SaaS provider on the African continent.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Asia Pacific, Middle East and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number of subscribers in this region increased 26% to 206,946 at August 31, 2023 (August 31, 2022: 164,791). This translates to 44% growth in subscription revenue (26% on a constant currency basis, a non-IFRS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that Southeast Asian economies only began to open up towards the end of Q1 2023, we are pleased with the traction gained in this region. As the second largest contributor to group revenue, Southeast Asia presents the group’s most compelling growth opportunity in the medium to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our scalable business model, internationally recognized brand and track record as a technology partner able to localize and adapt to specific market nuances, we believe our value proposition will continue finding favor in this region. As such, we believe this region should deliver increasing and sustainable income to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office in the United States yields key insights that contribute to Cartrack’s competitiveness.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Europe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number of subscribers in this region increased 14% to 155,671 at August 31, 2023 (August 31, 2022: 136,483). This translates to 40% growth in subscription revenue (13% on a constant currency basis, a non-IFRS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is building the leading mobility and connected-vehicle platform to give our customers easier access to valuable insights. Demonstrating Karooooo’s standing as a platform of choice, leading OEMs have partnered with us to give their customers access to our platform, seamlessly integrating their connected vehicle data. We are poised to leverage our extensive offerings to further develop the connected-vehicle ecosystem, and expect these partnerships to contribute to our results in the medium term. In addition, we are experiencing encouraging demand for our proprietary compliance technology in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Africa (excluding South Africa)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number of subscribers in this region increased 8% to 76,738 at August 31, 2023 (August 31, 2022: 71,153).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region remains a positive cash generator and is strategic to Karooooo’s South African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subsequent to the end of the Second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quarter end, and despite the growth experienced by Carzuka in South Africa, a decision was made to cease buying second hand vehicles in South Africa. This follows considerable interaction with motor dealerships across South Africa over the last few months, in conjunction with Carzuka’s expansion, as some of the motor dealerships started perceiving Carzuka’s business interests to conflict with their business interests. We maintain that the Carzuka business model is robust, but we do not want to risk the long-standing strategic relationships that Cartrack has forged with motor dealerships across South Africa.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many components within the Carzuka’s platform that had been built and developed and will continue to provide substantial value to the existing Cartrack fleet platform. In a seamless transition, we intend to integrate the majority of Carzuka’s dedicated staff into Cartrack.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positive about the potential of this business model and endeavor to pursue opportunities in different geographical markets should the right prospects arise.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recognizes the importance to the group of investment in achieving growth at scale, and endeavors to avoid swings in dividend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aims to reinvest retained earnings to the extent that it aligns with the group’s required return on incrementally reinvested capital, return on equity, and short- to medium-term 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Karooooo’s constitution and in accordance with the Singapore Companies Act, the Board may, without the approval of shareholders, declare and pay interim dividends. Any final dividends must be approved by an ordinary resolution at a general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review and amend the dividend policy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Corruption, bribery and whistleblowing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Karooooo Anti-Bribery and Corruption policy, Code of Ethics, Whistleblowing policy and employment contracts contain clear guidelines with regard to bribery, corruption, client confidentiality and acceptable behavior towards fellow employees, customers, contractors and suppliers. Annual awareness and practical training are provided to all employees, reinforced by individual affirmations on an annual basis. These measures ensure awareness and understanding of our business principles and the consequences of non-compliance. Our policies also apply to third-party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 contact email and hotline for whistleblowing and reporters are assured of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Webinar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Karooooo management will host a Zoom webinar on </w:t>
      </w:r>
      <w:r>
        <w:rPr>
          <w:rFonts w:ascii="Times New Roman;Times;Serif" w:hAnsi="Times New Roman;Times;Serif"/>
          <w:b/>
          <w:i w:val="false"/>
          <w:caps w:val="false"/>
          <w:smallCaps w:val="false"/>
          <w:sz w:val="20"/>
        </w:rPr>
        <w:t xml:space="preserve">Thursday, October 12, 2023 </w:t>
      </w:r>
      <w:r>
        <w:rPr>
          <w:rFonts w:ascii="Times New Roman;Times;Serif" w:hAnsi="Times New Roman;Times;Serif"/>
          <w:b w:val="false"/>
          <w:i w:val="false"/>
          <w:caps w:val="false"/>
          <w:smallCaps w:val="false"/>
          <w:sz w:val="20"/>
        </w:rPr>
        <w:t>at 08:00 a.m. Eastern Time (02:00 p.m. South African time; 08:00 p.m. Singaporean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invited to join the Zoom at: https://us02web.zoom.us/j/84199795783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Webinar ID: </w:t>
      </w:r>
      <w:r>
        <w:rPr>
          <w:rFonts w:ascii="Times New Roman;Times;Serif" w:hAnsi="Times New Roman;Times;Serif"/>
          <w:b/>
          <w:i w:val="false"/>
          <w:caps w:val="false"/>
          <w:smallCaps w:val="false"/>
          <w:sz w:val="20"/>
        </w:rPr>
        <w:t>841 9979 5783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r>
    </w:p>
    <w:p>
      <w:pPr>
        <w:pStyle w:val="TextBody"/>
        <w:bidi w:val="0"/>
        <w:spacing w:before="0" w:after="0"/>
        <w:ind w:left="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17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(New York) Toll-free: +1 646 558 8656</w:t>
            </w:r>
          </w:p>
        </w:tc>
      </w:tr>
    </w:tbl>
    <w:p>
      <w:pPr>
        <w:pStyle w:val="TextBody"/>
        <w:bidi w:val="0"/>
        <w:spacing w:before="0" w:after="0"/>
        <w:ind w:left="0" w:right="0" w:hanging="0"/>
        <w:jc w:val="left"/>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38"/>
        <w:gridCol w:w="17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South Africa Toll-free: +27 87 551 7702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will be available at www.karooooo.com approximately three hours after the conclusion of the live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IFRS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IFRS as issued by the IASB. The summary consolidated financial information presented has been derived from the consolidated financial statements of Karooooo.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Karooooo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headquartered in Singapore, assists thousands of enterprise customers to digitally transform their on-the-ground operations. We are a leading global provider of an on-the-ground operational IoT SaaS cloud that maximizes the value of transportation, operations and workflow data by providing insightful real-time data analytics, with over 1,875,000 connected vehicles and equipment to-date.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of Karooooo Logistics’ technology stack into the Cartrack platform will enable our customers to manage and enhance their logistics capacity with ease. Cartrack customers will be able to augment their own fleet capacity using Cartrack’s API architecture for third-party courier and long-distance logistics, with crowd-sourced drivers doing last mile deliveries. This solution will be charged on a subscription-based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www.karooooo.com.</w:t>
      </w:r>
    </w:p>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285"/>
        <w:gridCol w:w="1880"/>
      </w:tblGrid>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Investor Relations Contact</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IR@karooooo.com</w:t>
            </w:r>
          </w:p>
        </w:tc>
      </w:tr>
      <w:tr>
        <w:trPr/>
        <w:tc>
          <w:tcPr>
            <w:tcW w:w="228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Media Contact</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media@karooooo.com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CONSOLIDATED STATEMENT OF PROFIT AND LOSS</w:t>
        <w:br/>
        <w:t>(UNAUDITED)</w:t>
      </w:r>
    </w:p>
    <w:p>
      <w:pPr>
        <w:pStyle w:val="TextBody"/>
        <w:bidi w:val="0"/>
        <w:spacing w:before="0" w:after="0"/>
        <w:ind w:left="0" w:right="0" w:hanging="0"/>
        <w:jc w:val="center"/>
        <w:rPr>
          <w:caps w:val="false"/>
          <w:smallCaps w:val="false"/>
        </w:rPr>
      </w:pPr>
      <w:r>
        <w:rPr>
          <w:caps w:val="false"/>
          <w:smallCaps w:val="false"/>
        </w:rPr>
        <w:t> </w:t>
      </w:r>
    </w:p>
    <w:tbl>
      <w:tblPr>
        <w:tblW w:w="8835" w:type="dxa"/>
        <w:jc w:val="left"/>
        <w:tblInd w:w="0" w:type="dxa"/>
        <w:tblLayout w:type="fixed"/>
        <w:tblCellMar>
          <w:top w:w="0" w:type="dxa"/>
          <w:left w:w="0" w:type="dxa"/>
          <w:bottom w:w="0" w:type="dxa"/>
          <w:right w:w="0" w:type="dxa"/>
        </w:tblCellMar>
      </w:tblPr>
      <w:tblGrid>
        <w:gridCol w:w="4145"/>
        <w:gridCol w:w="60"/>
        <w:gridCol w:w="60"/>
        <w:gridCol w:w="980"/>
        <w:gridCol w:w="95"/>
        <w:gridCol w:w="60"/>
        <w:gridCol w:w="60"/>
        <w:gridCol w:w="875"/>
        <w:gridCol w:w="95"/>
        <w:gridCol w:w="60"/>
        <w:gridCol w:w="60"/>
        <w:gridCol w:w="980"/>
        <w:gridCol w:w="95"/>
        <w:gridCol w:w="60"/>
        <w:gridCol w:w="60"/>
        <w:gridCol w:w="980"/>
        <w:gridCol w:w="110"/>
      </w:tblGrid>
      <w:tr>
        <w:trPr/>
        <w:tc>
          <w:tcPr>
            <w:tcW w:w="41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August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August 31,</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20" w:type="dxa"/>
            <w:gridSpan w:val="14"/>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1,040,213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859,282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2,037,000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1,660,719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(379,676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(290,069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(749,924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(561,620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660,537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569,213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1,287,076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1,099,099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4,157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(418,290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(354,505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(822,783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(667,638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14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(127,890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(107,514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(252,595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(203,473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pPr>
            <w:r>
              <w:rPr/>
              <w:t>General and administration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(208,759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(178,551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(407,022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(333,740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14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(56,035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(43,612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(105,686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(85,153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pPr>
            <w:r>
              <w:rPr/>
              <w:t>Expected Credit losses on financial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(25,606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(24,828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(57,480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(45,272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145" w:type="dxa"/>
            <w:tcBorders/>
            <w:shd w:fill="FFFFFF" w:val="clear"/>
            <w:vAlign w:val="center"/>
          </w:tcPr>
          <w:p>
            <w:pPr>
              <w:pStyle w:val="TableContents"/>
              <w:bidi w:val="0"/>
              <w:spacing w:before="0" w:after="283"/>
              <w:jc w:val="left"/>
              <w:rPr>
                <w:b/>
              </w:rPr>
            </w:pPr>
            <w:r>
              <w:rPr>
                <w:b/>
              </w:rPr>
              <w:t>Operating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247,186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218,128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471,560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435,618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4,763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7,605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(2,982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(3,193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(5,156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(6,812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b/>
              </w:rPr>
            </w:pPr>
            <w:r>
              <w:rPr>
                <w:b/>
              </w:rPr>
              <w:t>Profit before taxation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253,491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219,698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486,569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436,411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Taxation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(75,277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(64,221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(146,408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(124,595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b/>
              </w:rPr>
            </w:pPr>
            <w:r>
              <w:rPr>
                <w:b/>
              </w:rPr>
              <w:t>Profit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178,214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155,477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340,161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311,816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b/>
              </w:rPr>
            </w:pPr>
            <w:r>
              <w:rPr>
                <w:b/>
              </w:rPr>
              <w:t>Profit attributable to: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Owners of the parent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173,678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152,544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331,159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306,077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5,739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178,214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155,477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340,161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311,816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b/>
              </w:rPr>
            </w:pPr>
            <w:r>
              <w:rPr>
                <w:b/>
              </w:rPr>
              <w:t>Earnings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pPr>
            <w:r>
              <w:rPr/>
              <w:t>Basic and diluted earnings per share (ZAR)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9.89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CONSOLIDATED STATEMENT OF FINANCIAL POSITION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854" w:type="dxa"/>
        <w:jc w:val="left"/>
        <w:tblInd w:w="0" w:type="dxa"/>
        <w:tblLayout w:type="fixed"/>
        <w:tblCellMar>
          <w:top w:w="0" w:type="dxa"/>
          <w:left w:w="0" w:type="dxa"/>
          <w:bottom w:w="0" w:type="dxa"/>
          <w:right w:w="0" w:type="dxa"/>
        </w:tblCellMar>
      </w:tblPr>
      <w:tblGrid>
        <w:gridCol w:w="4730"/>
        <w:gridCol w:w="60"/>
        <w:gridCol w:w="60"/>
        <w:gridCol w:w="1055"/>
        <w:gridCol w:w="95"/>
        <w:gridCol w:w="60"/>
        <w:gridCol w:w="76"/>
        <w:gridCol w:w="1338"/>
        <w:gridCol w:w="95"/>
        <w:gridCol w:w="60"/>
        <w:gridCol w:w="60"/>
        <w:gridCol w:w="1055"/>
        <w:gridCol w:w="110"/>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August 31,</w:t>
              <w:b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4" w:type="dxa"/>
            <w:gridSpan w:val="2"/>
            <w:tcBorders>
              <w:bottom w:val="single" w:sz="12" w:space="0" w:color="000000"/>
            </w:tcBorders>
            <w:tcMar>
              <w:bottom w:w="28" w:type="dxa"/>
            </w:tcMar>
            <w:vAlign w:val="center"/>
          </w:tcPr>
          <w:p>
            <w:pPr>
              <w:pStyle w:val="TableContents"/>
              <w:bidi w:val="0"/>
              <w:jc w:val="center"/>
              <w:rPr>
                <w:b/>
              </w:rPr>
            </w:pPr>
            <w:r>
              <w:rPr>
                <w:b/>
              </w:rPr>
              <w:t>As of</w:t>
            </w:r>
          </w:p>
          <w:p>
            <w:pPr>
              <w:pStyle w:val="TableContents"/>
              <w:bidi w:val="0"/>
              <w:spacing w:before="0" w:after="283"/>
              <w:jc w:val="center"/>
              <w:rPr>
                <w:b/>
              </w:rPr>
            </w:pPr>
            <w:r>
              <w:rPr>
                <w:b/>
              </w:rPr>
              <w:t xml:space="preserve">February 28, </w:t>
              <w:b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August 31,</w:t>
              <w:br/>
              <w:t>2022</w:t>
            </w:r>
          </w:p>
        </w:tc>
        <w:tc>
          <w:tcPr>
            <w:tcW w:w="110" w:type="dxa"/>
            <w:tcBorders/>
            <w:vAlign w:val="center"/>
          </w:tcPr>
          <w:p>
            <w:pPr>
              <w:pStyle w:val="TableContents"/>
              <w:bidi w:val="0"/>
              <w:spacing w:before="0" w:after="283"/>
              <w:jc w:val="center"/>
              <w:rPr/>
            </w:pPr>
            <w:r>
              <w:rPr/>
              <w:t> </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4" w:type="dxa"/>
            <w:gridSpan w:val="10"/>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b/>
              </w:rPr>
            </w:pPr>
            <w:r>
              <w:rPr>
                <w:b/>
              </w:rPr>
              <w:t>Non-current assets</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1,789,501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1,591,814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1,451,841</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Capitalized commission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326,488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287,054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251,409</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81,897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85,642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76,813</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223,605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212,481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198,302</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Loans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25,800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19,400</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Long-term other receivables and prepayments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21,376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24,715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27,964</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Non-current financial asset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1,359</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55,534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FFFFFF" w:val="clear"/>
            <w:tcMar>
              <w:bottom w:w="28" w:type="dxa"/>
            </w:tcMar>
            <w:vAlign w:val="center"/>
          </w:tcPr>
          <w:p>
            <w:pPr>
              <w:pStyle w:val="TableContents"/>
              <w:bidi w:val="0"/>
              <w:spacing w:before="0" w:after="283"/>
              <w:jc w:val="right"/>
              <w:rPr/>
            </w:pPr>
            <w:r>
              <w:rPr/>
              <w:t>60,919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59,217</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2,524,589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CCEEFF" w:val="clear"/>
            <w:tcMar>
              <w:bottom w:w="28" w:type="dxa"/>
            </w:tcMar>
            <w:vAlign w:val="center"/>
          </w:tcPr>
          <w:p>
            <w:pPr>
              <w:pStyle w:val="TableContents"/>
              <w:bidi w:val="0"/>
              <w:spacing w:before="0" w:after="283"/>
              <w:jc w:val="right"/>
              <w:rPr/>
            </w:pPr>
            <w:r>
              <w:rPr/>
              <w:t>2,288,813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2,086,305</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110,146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79,159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68,268</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Trade and other receivables and prepayments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479,085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409,191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386,420</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Other financial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7,500</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Income tax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10,883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8,627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15,305</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651,115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CCEEFF" w:val="clear"/>
            <w:tcMar>
              <w:bottom w:w="28" w:type="dxa"/>
            </w:tcMar>
            <w:vAlign w:val="center"/>
          </w:tcPr>
          <w:p>
            <w:pPr>
              <w:pStyle w:val="TableContents"/>
              <w:bidi w:val="0"/>
              <w:spacing w:before="0" w:after="283"/>
              <w:jc w:val="right"/>
              <w:rPr/>
            </w:pPr>
            <w:r>
              <w:rPr/>
              <w:t>965,790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1,001,243</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1,251,229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FFFFFF" w:val="clear"/>
            <w:tcMar>
              <w:bottom w:w="28" w:type="dxa"/>
            </w:tcMar>
            <w:vAlign w:val="center"/>
          </w:tcPr>
          <w:p>
            <w:pPr>
              <w:pStyle w:val="TableContents"/>
              <w:bidi w:val="0"/>
              <w:spacing w:before="0" w:after="283"/>
              <w:jc w:val="right"/>
              <w:rPr/>
            </w:pPr>
            <w:r>
              <w:rPr/>
              <w:t>1,462,767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1,478,736</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3,775,818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double" w:sz="10" w:space="0" w:color="000000"/>
            </w:tcBorders>
            <w:shd w:fill="CCEEFF" w:val="clear"/>
            <w:tcMar>
              <w:bottom w:w="28" w:type="dxa"/>
            </w:tcMar>
            <w:vAlign w:val="center"/>
          </w:tcPr>
          <w:p>
            <w:pPr>
              <w:pStyle w:val="TableContents"/>
              <w:bidi w:val="0"/>
              <w:spacing w:before="0" w:after="283"/>
              <w:jc w:val="right"/>
              <w:rPr/>
            </w:pPr>
            <w:r>
              <w:rPr/>
              <w:t>3,751,580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3,565,041</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EQUITY AND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Share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7,142,853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7,142,853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7,142,853</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reserve</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(3,582,568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(3,582,568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(3,582,568</w:t>
            </w:r>
          </w:p>
        </w:tc>
        <w:tc>
          <w:tcPr>
            <w:tcW w:w="110" w:type="dxa"/>
            <w:tcBorders/>
            <w:shd w:fill="CCEEFF" w:val="clear"/>
            <w:vAlign w:val="center"/>
          </w:tcPr>
          <w:p>
            <w:pPr>
              <w:pStyle w:val="TableContents"/>
              <w:bidi w:val="0"/>
              <w:spacing w:before="0" w:after="283"/>
              <w:jc w:val="left"/>
              <w:rPr/>
            </w:pPr>
            <w:r>
              <w:rPr/>
              <w:t>)</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control reserve</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(2,709,236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(2,709,236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(2,709,236</w:t>
            </w:r>
          </w:p>
        </w:tc>
        <w:tc>
          <w:tcPr>
            <w:tcW w:w="110" w:type="dxa"/>
            <w:tcBorders/>
            <w:shd w:fill="FFFFFF" w:val="clear"/>
            <w:vAlign w:val="center"/>
          </w:tcPr>
          <w:p>
            <w:pPr>
              <w:pStyle w:val="TableContents"/>
              <w:bidi w:val="0"/>
              <w:spacing w:before="0" w:after="283"/>
              <w:jc w:val="left"/>
              <w:rPr/>
            </w:pPr>
            <w:r>
              <w:rPr/>
              <w:t>)</w:t>
            </w:r>
          </w:p>
        </w:tc>
      </w:tr>
      <w:tr>
        <w:trPr/>
        <w:tc>
          <w:tcPr>
            <w:tcW w:w="4730" w:type="dxa"/>
            <w:tcBorders/>
            <w:shd w:fill="CCEEFF" w:val="clear"/>
            <w:vAlign w:val="center"/>
          </w:tcPr>
          <w:p>
            <w:pPr>
              <w:pStyle w:val="TableContents"/>
              <w:bidi w:val="0"/>
              <w:spacing w:before="0" w:after="283"/>
              <w:jc w:val="left"/>
              <w:rPr/>
            </w:pPr>
            <w:r>
              <w:rPr/>
              <w:t>Foreign currency translation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277,276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245,109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125,890</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1,396,449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FFFFFF" w:val="clear"/>
            <w:tcMar>
              <w:bottom w:w="28" w:type="dxa"/>
            </w:tcMar>
            <w:vAlign w:val="center"/>
          </w:tcPr>
          <w:p>
            <w:pPr>
              <w:pStyle w:val="TableContents"/>
              <w:bidi w:val="0"/>
              <w:spacing w:before="0" w:after="283"/>
              <w:jc w:val="right"/>
              <w:rPr/>
            </w:pPr>
            <w:r>
              <w:rPr/>
              <w:t>1,564,809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1,289,038</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Equity attributable to equity holders of parent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2,524,774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2,660,967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2,265,977</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41,764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FFFFFF" w:val="clear"/>
            <w:tcMar>
              <w:bottom w:w="28" w:type="dxa"/>
            </w:tcMar>
            <w:vAlign w:val="center"/>
          </w:tcPr>
          <w:p>
            <w:pPr>
              <w:pStyle w:val="TableContents"/>
              <w:bidi w:val="0"/>
              <w:spacing w:before="0" w:after="283"/>
              <w:jc w:val="right"/>
              <w:rPr/>
            </w:pPr>
            <w:r>
              <w:rPr/>
              <w:t>30,908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23,412</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2,566,538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CCEEFF" w:val="clear"/>
            <w:tcMar>
              <w:bottom w:w="28" w:type="dxa"/>
            </w:tcMar>
            <w:vAlign w:val="center"/>
          </w:tcPr>
          <w:p>
            <w:pPr>
              <w:pStyle w:val="TableContents"/>
              <w:bidi w:val="0"/>
              <w:spacing w:before="0" w:after="283"/>
              <w:jc w:val="right"/>
              <w:rPr/>
            </w:pPr>
            <w:r>
              <w:rPr/>
              <w:t>2,691,875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2,289,389</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Term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44,967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38,304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43,530</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108,628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67,882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62,588</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115,843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112,185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116,156</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54,301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CCEEFF" w:val="clear"/>
            <w:tcMar>
              <w:bottom w:w="28" w:type="dxa"/>
            </w:tcMar>
            <w:vAlign w:val="center"/>
          </w:tcPr>
          <w:p>
            <w:pPr>
              <w:pStyle w:val="TableContents"/>
              <w:bidi w:val="0"/>
              <w:spacing w:before="0" w:after="283"/>
              <w:jc w:val="right"/>
              <w:rPr/>
            </w:pPr>
            <w:r>
              <w:rPr/>
              <w:t>51,894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35,760</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323,739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FFFFFF" w:val="clear"/>
            <w:tcMar>
              <w:bottom w:w="28" w:type="dxa"/>
            </w:tcMar>
            <w:vAlign w:val="center"/>
          </w:tcPr>
          <w:p>
            <w:pPr>
              <w:pStyle w:val="TableContents"/>
              <w:bidi w:val="0"/>
              <w:spacing w:before="0" w:after="283"/>
              <w:jc w:val="right"/>
              <w:rPr/>
            </w:pPr>
            <w:r>
              <w:rPr/>
              <w:t>270,265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258,034</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Term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8,736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21,643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20,475</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449,001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374,047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630,267</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Loans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607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1,908</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57,250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52,845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51,891</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308,743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283,682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246,128</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Bank overdraft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38" w:type="dxa"/>
            <w:tcBorders/>
            <w:shd w:fill="CCEEFF" w:val="cle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pPr>
            <w:r>
              <w:rPr/>
              <w:t>Income tax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59,304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38" w:type="dxa"/>
            <w:tcBorders/>
            <w:shd w:fill="FFFFFF" w:val="clear"/>
            <w:vAlign w:val="center"/>
          </w:tcPr>
          <w:p>
            <w:pPr>
              <w:pStyle w:val="TableContents"/>
              <w:bidi w:val="0"/>
              <w:spacing w:before="0" w:after="283"/>
              <w:jc w:val="right"/>
              <w:rPr/>
            </w:pPr>
            <w:r>
              <w:rPr/>
              <w:t>55,996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64,974</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pPr>
            <w:r>
              <w:rPr/>
              <w:t>Provision for warranties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1,632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CCEEFF" w:val="clear"/>
            <w:tcMar>
              <w:bottom w:w="28" w:type="dxa"/>
            </w:tcMar>
            <w:vAlign w:val="center"/>
          </w:tcPr>
          <w:p>
            <w:pPr>
              <w:pStyle w:val="TableContents"/>
              <w:bidi w:val="0"/>
              <w:spacing w:before="0" w:after="283"/>
              <w:jc w:val="right"/>
              <w:rPr/>
            </w:pPr>
            <w:r>
              <w:rPr/>
              <w:t>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1,974</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885,541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FFFFFF" w:val="clear"/>
            <w:tcMar>
              <w:bottom w:w="28" w:type="dxa"/>
            </w:tcMar>
            <w:vAlign w:val="center"/>
          </w:tcPr>
          <w:p>
            <w:pPr>
              <w:pStyle w:val="TableContents"/>
              <w:bidi w:val="0"/>
              <w:spacing w:before="0" w:after="283"/>
              <w:jc w:val="right"/>
              <w:rPr/>
            </w:pPr>
            <w:r>
              <w:rPr/>
              <w:t>789,440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1,017,618</w:t>
            </w:r>
          </w:p>
        </w:tc>
        <w:tc>
          <w:tcPr>
            <w:tcW w:w="110"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1,209,280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8" w:type="dxa"/>
            <w:tcBorders>
              <w:bottom w:val="single" w:sz="12" w:space="0" w:color="000000"/>
            </w:tcBorders>
            <w:shd w:fill="CCEEFF" w:val="clear"/>
            <w:tcMar>
              <w:bottom w:w="28" w:type="dxa"/>
            </w:tcMar>
            <w:vAlign w:val="center"/>
          </w:tcPr>
          <w:p>
            <w:pPr>
              <w:pStyle w:val="TableContents"/>
              <w:bidi w:val="0"/>
              <w:spacing w:before="0" w:after="283"/>
              <w:jc w:val="right"/>
              <w:rPr/>
            </w:pPr>
            <w:r>
              <w:rPr/>
              <w:t>1,059,705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1,275,652</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equity and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3,775,818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8" w:type="dxa"/>
            <w:tcBorders>
              <w:bottom w:val="double" w:sz="10" w:space="0" w:color="000000"/>
            </w:tcBorders>
            <w:shd w:fill="FFFFFF" w:val="clear"/>
            <w:tcMar>
              <w:bottom w:w="28" w:type="dxa"/>
            </w:tcMar>
            <w:vAlign w:val="center"/>
          </w:tcPr>
          <w:p>
            <w:pPr>
              <w:pStyle w:val="TableContents"/>
              <w:bidi w:val="0"/>
              <w:spacing w:before="0" w:after="283"/>
              <w:jc w:val="right"/>
              <w:rPr/>
            </w:pPr>
            <w:r>
              <w:rPr/>
              <w:t>3,751,580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3,565,041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10054"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CONDENSED CONSOLIDATED STATEMENT OF CASH FLOWS</w:t>
        <w:b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15"/>
        <w:gridCol w:w="60"/>
        <w:gridCol w:w="60"/>
        <w:gridCol w:w="980"/>
        <w:gridCol w:w="95"/>
        <w:gridCol w:w="60"/>
        <w:gridCol w:w="60"/>
        <w:gridCol w:w="980"/>
        <w:gridCol w:w="95"/>
        <w:gridCol w:w="60"/>
        <w:gridCol w:w="60"/>
        <w:gridCol w:w="875"/>
        <w:gridCol w:w="95"/>
        <w:gridCol w:w="60"/>
        <w:gridCol w:w="60"/>
        <w:gridCol w:w="980"/>
        <w:gridCol w:w="110"/>
      </w:tblGrid>
      <w:tr>
        <w:trPr/>
        <w:tc>
          <w:tcPr>
            <w:tcW w:w="55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August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August 31,</w:t>
            </w:r>
          </w:p>
        </w:tc>
        <w:tc>
          <w:tcPr>
            <w:tcW w:w="110"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20" w:type="dxa"/>
            <w:gridSpan w:val="14"/>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5515" w:type="dxa"/>
            <w:tcBorders/>
            <w:shd w:fill="CCEEFF" w:val="clear"/>
            <w:vAlign w:val="center"/>
          </w:tcPr>
          <w:p>
            <w:pPr>
              <w:pStyle w:val="TableContents"/>
              <w:bidi w:val="0"/>
              <w:spacing w:before="0" w:after="283"/>
              <w:jc w:val="left"/>
              <w:rPr/>
            </w:pPr>
            <w:r>
              <w:rPr/>
              <w:t>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303,867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240,318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644,079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559,310</w:t>
            </w:r>
          </w:p>
        </w:tc>
        <w:tc>
          <w:tcPr>
            <w:tcW w:w="110" w:type="dxa"/>
            <w:tcBorders/>
            <w:shd w:fill="CCEEFF" w:val="clear"/>
            <w:vAlign w:val="center"/>
          </w:tcPr>
          <w:p>
            <w:pPr>
              <w:pStyle w:val="TableContents"/>
              <w:bidi w:val="0"/>
              <w:spacing w:before="0" w:after="283"/>
              <w:jc w:val="left"/>
              <w:rPr/>
            </w:pPr>
            <w:r>
              <w:rPr/>
              <w:t> </w:t>
            </w:r>
          </w:p>
        </w:tc>
      </w:tr>
      <w:tr>
        <w:trPr/>
        <w:tc>
          <w:tcPr>
            <w:tcW w:w="5515" w:type="dxa"/>
            <w:tcBorders/>
            <w:shd w:fill="FFFFFF" w:val="clear"/>
            <w:vAlign w:val="center"/>
          </w:tcPr>
          <w:p>
            <w:pPr>
              <w:pStyle w:val="TableContents"/>
              <w:bidi w:val="0"/>
              <w:spacing w:before="0" w:after="283"/>
              <w:jc w:val="left"/>
              <w:rPr/>
            </w:pPr>
            <w:r>
              <w:rPr/>
              <w:t>Net cash flows utilized by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(245,615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(140,873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(442,929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(309,390</w:t>
            </w:r>
          </w:p>
        </w:tc>
        <w:tc>
          <w:tcPr>
            <w:tcW w:w="110" w:type="dxa"/>
            <w:tcBorders/>
            <w:shd w:fill="FFFFFF" w:val="clear"/>
            <w:vAlign w:val="center"/>
          </w:tcPr>
          <w:p>
            <w:pPr>
              <w:pStyle w:val="TableContents"/>
              <w:bidi w:val="0"/>
              <w:spacing w:before="0" w:after="283"/>
              <w:jc w:val="left"/>
              <w:rPr/>
            </w:pPr>
            <w:r>
              <w:rPr/>
              <w:t>)</w:t>
            </w:r>
          </w:p>
        </w:tc>
      </w:tr>
      <w:tr>
        <w:trPr/>
        <w:tc>
          <w:tcPr>
            <w:tcW w:w="5515" w:type="dxa"/>
            <w:tcBorders/>
            <w:shd w:fill="CCEEFF" w:val="clear"/>
            <w:vAlign w:val="center"/>
          </w:tcPr>
          <w:p>
            <w:pPr>
              <w:pStyle w:val="TableContents"/>
              <w:bidi w:val="0"/>
              <w:spacing w:before="0" w:after="283"/>
              <w:jc w:val="left"/>
              <w:rPr/>
            </w:pPr>
            <w:r>
              <w:rPr/>
              <w:t>Net cash flows utilized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(517,968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(15,461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(536,297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(51,464</w:t>
            </w:r>
          </w:p>
        </w:tc>
        <w:tc>
          <w:tcPr>
            <w:tcW w:w="110" w:type="dxa"/>
            <w:tcBorders/>
            <w:shd w:fill="CCEEFF" w:val="clear"/>
            <w:vAlign w:val="center"/>
          </w:tcPr>
          <w:p>
            <w:pPr>
              <w:pStyle w:val="TableContents"/>
              <w:bidi w:val="0"/>
              <w:spacing w:before="0" w:after="283"/>
              <w:jc w:val="left"/>
              <w:rPr/>
            </w:pPr>
            <w:r>
              <w:rPr/>
              <w:t>)</w:t>
            </w:r>
          </w:p>
        </w:tc>
      </w:tr>
      <w:tr>
        <w:trPr/>
        <w:tc>
          <w:tcPr>
            <w:tcW w:w="5515" w:type="dxa"/>
            <w:tcBorders/>
            <w:shd w:fill="FFFFFF" w:val="clear"/>
            <w:vAlign w:val="center"/>
          </w:tcPr>
          <w:p>
            <w:pPr>
              <w:pStyle w:val="TableContents"/>
              <w:bidi w:val="0"/>
              <w:spacing w:before="0" w:after="283"/>
              <w:jc w:val="left"/>
              <w:rPr/>
            </w:pPr>
            <w:r>
              <w:rPr/>
              <w:t>Net cash and cash equivalents movements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(459,716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83,984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(335,147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198,456</w:t>
            </w:r>
          </w:p>
        </w:tc>
        <w:tc>
          <w:tcPr>
            <w:tcW w:w="110" w:type="dxa"/>
            <w:tcBorders/>
            <w:shd w:fill="FFFFFF" w:val="clear"/>
            <w:vAlign w:val="center"/>
          </w:tcPr>
          <w:p>
            <w:pPr>
              <w:pStyle w:val="TableContents"/>
              <w:bidi w:val="0"/>
              <w:spacing w:before="0" w:after="283"/>
              <w:jc w:val="left"/>
              <w:rPr/>
            </w:pPr>
            <w:r>
              <w:rPr/>
              <w:t> </w:t>
            </w:r>
          </w:p>
        </w:tc>
      </w:tr>
      <w:tr>
        <w:trPr/>
        <w:tc>
          <w:tcPr>
            <w:tcW w:w="5515" w:type="dxa"/>
            <w:tcBorders/>
            <w:shd w:fill="CCEEFF" w:val="clear"/>
            <w:vAlign w:val="center"/>
          </w:tcPr>
          <w:p>
            <w:pPr>
              <w:pStyle w:val="TableContents"/>
              <w:bidi w:val="0"/>
              <w:spacing w:before="0" w:after="283"/>
              <w:jc w:val="left"/>
              <w:rPr/>
            </w:pPr>
            <w:r>
              <w:rPr/>
              <w:t>Cash and cash equivalents as at the beginning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1,137,444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854,221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965,750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718,026</w:t>
            </w:r>
          </w:p>
        </w:tc>
        <w:tc>
          <w:tcPr>
            <w:tcW w:w="110" w:type="dxa"/>
            <w:tcBorders/>
            <w:shd w:fill="CCEEFF" w:val="clear"/>
            <w:vAlign w:val="center"/>
          </w:tcPr>
          <w:p>
            <w:pPr>
              <w:pStyle w:val="TableContents"/>
              <w:bidi w:val="0"/>
              <w:spacing w:before="0" w:after="283"/>
              <w:jc w:val="left"/>
              <w:rPr/>
            </w:pPr>
            <w:r>
              <w:rPr/>
              <w:t> </w:t>
            </w:r>
          </w:p>
        </w:tc>
      </w:tr>
      <w:tr>
        <w:trPr/>
        <w:tc>
          <w:tcPr>
            <w:tcW w:w="5515" w:type="dxa"/>
            <w:tcBorders/>
            <w:shd w:fill="FFFFFF" w:val="clear"/>
            <w:vAlign w:val="center"/>
          </w:tcPr>
          <w:p>
            <w:pPr>
              <w:pStyle w:val="TableContents"/>
              <w:bidi w:val="0"/>
              <w:spacing w:before="0" w:after="283"/>
              <w:jc w:val="left"/>
              <w:rPr/>
            </w:pPr>
            <w:r>
              <w:rPr/>
              <w:t>Translation differences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(26,613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63,037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20,512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84,760</w:t>
            </w:r>
          </w:p>
        </w:tc>
        <w:tc>
          <w:tcPr>
            <w:tcW w:w="110" w:type="dxa"/>
            <w:tcBorders/>
            <w:shd w:fill="FFFFFF" w:val="clear"/>
            <w:vAlign w:val="center"/>
          </w:tcPr>
          <w:p>
            <w:pPr>
              <w:pStyle w:val="TableContents"/>
              <w:bidi w:val="0"/>
              <w:spacing w:before="0" w:after="283"/>
              <w:jc w:val="left"/>
              <w:rPr/>
            </w:pPr>
            <w:r>
              <w:rPr/>
              <w:t> </w:t>
            </w:r>
          </w:p>
        </w:tc>
      </w:tr>
      <w:tr>
        <w:trPr/>
        <w:tc>
          <w:tcPr>
            <w:tcW w:w="5515" w:type="dxa"/>
            <w:tcBorders/>
            <w:shd w:fill="CCEEFF" w:val="clear"/>
            <w:vAlign w:val="center"/>
          </w:tcPr>
          <w:p>
            <w:pPr>
              <w:pStyle w:val="TableContents"/>
              <w:bidi w:val="0"/>
              <w:spacing w:before="0" w:after="283"/>
              <w:jc w:val="left"/>
              <w:rPr/>
            </w:pPr>
            <w:r>
              <w:rPr/>
              <w:t>Total 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651,115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1,001,242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651,115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1,001,242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RECONCILIATION OF FREE CASH FLOW (A NON-IFRS MEASURE)</w:t>
        <w:br/>
        <w:t>(UNAUDITED)</w:t>
      </w:r>
    </w:p>
    <w:p>
      <w:pPr>
        <w:pStyle w:val="TextBody"/>
        <w:bidi w:val="0"/>
        <w:spacing w:before="0" w:after="0"/>
        <w:ind w:left="0" w:right="0" w:hanging="0"/>
        <w:jc w:val="left"/>
        <w:rPr>
          <w:caps w:val="false"/>
          <w:smallCaps w:val="false"/>
        </w:rPr>
      </w:pPr>
      <w:r>
        <w:rPr>
          <w:caps w:val="false"/>
          <w:smallCaps w:val="false"/>
        </w:rPr>
        <w:t>  </w:t>
      </w:r>
    </w:p>
    <w:tbl>
      <w:tblPr>
        <w:tblW w:w="8731" w:type="dxa"/>
        <w:jc w:val="left"/>
        <w:tblInd w:w="0" w:type="dxa"/>
        <w:tblLayout w:type="fixed"/>
        <w:tblCellMar>
          <w:top w:w="0" w:type="dxa"/>
          <w:left w:w="0" w:type="dxa"/>
          <w:bottom w:w="0" w:type="dxa"/>
          <w:right w:w="0" w:type="dxa"/>
        </w:tblCellMar>
      </w:tblPr>
      <w:tblGrid>
        <w:gridCol w:w="4175"/>
        <w:gridCol w:w="60"/>
        <w:gridCol w:w="65"/>
        <w:gridCol w:w="954"/>
        <w:gridCol w:w="103"/>
        <w:gridCol w:w="65"/>
        <w:gridCol w:w="65"/>
        <w:gridCol w:w="954"/>
        <w:gridCol w:w="95"/>
        <w:gridCol w:w="60"/>
        <w:gridCol w:w="60"/>
        <w:gridCol w:w="875"/>
        <w:gridCol w:w="95"/>
        <w:gridCol w:w="60"/>
        <w:gridCol w:w="60"/>
        <w:gridCol w:w="875"/>
        <w:gridCol w:w="110"/>
      </w:tblGrid>
      <w:tr>
        <w:trPr/>
        <w:tc>
          <w:tcPr>
            <w:tcW w:w="4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August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Six Months Ended </w:t>
              <w:br/>
              <w:t>August 31,</w:t>
            </w:r>
          </w:p>
        </w:tc>
        <w:tc>
          <w:tcPr>
            <w:tcW w:w="11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386" w:type="dxa"/>
            <w:gridSpan w:val="14"/>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Net cash generated from operating activities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303,867</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240,318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644,079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559,310</w:t>
            </w:r>
          </w:p>
        </w:tc>
        <w:tc>
          <w:tcPr>
            <w:tcW w:w="11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purchase of property, plant and equipment</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pPr>
            <w:r>
              <w:rPr/>
              <w:t>(236,354</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FFFFFF" w:val="clear"/>
            <w:tcMar>
              <w:bottom w:w="28" w:type="dxa"/>
            </w:tcMar>
            <w:vAlign w:val="center"/>
          </w:tcPr>
          <w:p>
            <w:pPr>
              <w:pStyle w:val="TableContents"/>
              <w:bidi w:val="0"/>
              <w:spacing w:before="0" w:after="283"/>
              <w:jc w:val="right"/>
              <w:rPr/>
            </w:pPr>
            <w:r>
              <w:rPr/>
              <w:t>(134,293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(418,833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(296,021</w:t>
            </w:r>
          </w:p>
        </w:tc>
        <w:tc>
          <w:tcPr>
            <w:tcW w:w="110" w:type="dxa"/>
            <w:tcBorders/>
            <w:shd w:fill="FFFFFF" w:val="clear"/>
            <w:vAlign w:val="center"/>
          </w:tcPr>
          <w:p>
            <w:pPr>
              <w:pStyle w:val="TableContents"/>
              <w:bidi w:val="0"/>
              <w:spacing w:before="0" w:after="283"/>
              <w:jc w:val="left"/>
              <w:rPr/>
            </w:pPr>
            <w:r>
              <w:rPr/>
              <w:t>)</w:t>
            </w:r>
          </w:p>
        </w:tc>
      </w:tr>
      <w:tr>
        <w:trPr/>
        <w:tc>
          <w:tcPr>
            <w:tcW w:w="4175" w:type="dxa"/>
            <w:tcBorders/>
            <w:shd w:fill="CCEEFF" w:val="clear"/>
            <w:vAlign w:val="center"/>
          </w:tcPr>
          <w:p>
            <w:pPr>
              <w:pStyle w:val="TableContents"/>
              <w:bidi w:val="0"/>
              <w:spacing w:before="0" w:after="283"/>
              <w:jc w:val="left"/>
              <w:rPr>
                <w:b/>
              </w:rPr>
            </w:pPr>
            <w:r>
              <w:rPr>
                <w:b/>
              </w:rPr>
              <w:t xml:space="preserve">Free Cash Flow </w:t>
            </w:r>
            <w:r>
              <w:rPr>
                <w:rFonts w:ascii="Times New Roman;Times;Serif" w:hAnsi="Times New Roman;Times;Serif"/>
                <w:b w:val="false"/>
                <w:i w:val="false"/>
                <w:caps w:val="false"/>
                <w:smallCaps w:val="false"/>
                <w:sz w:val="20"/>
              </w:rPr>
              <w:t>(a non-IFRS measure)</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pPr>
            <w:r>
              <w:rPr/>
              <w:t>67,513</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shd w:fill="CCEEFF" w:val="clear"/>
            <w:tcMar>
              <w:bottom w:w="28" w:type="dxa"/>
            </w:tcMar>
            <w:vAlign w:val="center"/>
          </w:tcPr>
          <w:p>
            <w:pPr>
              <w:pStyle w:val="TableContents"/>
              <w:bidi w:val="0"/>
              <w:spacing w:before="0" w:after="283"/>
              <w:jc w:val="right"/>
              <w:rPr/>
            </w:pPr>
            <w:r>
              <w:rPr/>
              <w:t>106,025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225,246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263,289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i/>
              </w:rPr>
            </w:pPr>
            <w:r>
              <w:rPr>
                <w:i/>
              </w:rPr>
              <w:t>1.</w:t>
            </w:r>
          </w:p>
        </w:tc>
        <w:tc>
          <w:tcPr>
            <w:tcW w:w="10027" w:type="dxa"/>
            <w:tcBorders/>
            <w:vAlign w:val="center"/>
          </w:tcPr>
          <w:p>
            <w:pPr>
              <w:pStyle w:val="TableContents"/>
              <w:bidi w:val="0"/>
              <w:spacing w:before="0" w:after="283"/>
              <w:jc w:val="both"/>
              <w:rPr>
                <w:i/>
              </w:rPr>
            </w:pPr>
            <w:r>
              <w:rPr>
                <w:i/>
              </w:rPr>
              <w:t>For the quarter ended August 31, 2023, included in the purchase of property, plant and equipment are development cost of ZAR 54 million (August 31, 2022: ZAR 10 million) for the new South African Central Office in Rosebank, Johannesburg.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RECONCILIATION OF PROFIT FOR THE PERIOD TO ADJUSTED EBITDA (A NON-IFRS MEASURE)</w:t>
        <w:b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13"/>
        <w:gridCol w:w="60"/>
        <w:gridCol w:w="63"/>
        <w:gridCol w:w="855"/>
        <w:gridCol w:w="229"/>
        <w:gridCol w:w="63"/>
        <w:gridCol w:w="63"/>
        <w:gridCol w:w="855"/>
        <w:gridCol w:w="215"/>
        <w:gridCol w:w="60"/>
        <w:gridCol w:w="60"/>
        <w:gridCol w:w="800"/>
        <w:gridCol w:w="215"/>
        <w:gridCol w:w="60"/>
        <w:gridCol w:w="60"/>
        <w:gridCol w:w="800"/>
        <w:gridCol w:w="234"/>
      </w:tblGrid>
      <w:tr>
        <w:trPr/>
        <w:tc>
          <w:tcPr>
            <w:tcW w:w="55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128" w:type="dxa"/>
            <w:gridSpan w:val="6"/>
            <w:tcBorders>
              <w:bottom w:val="single" w:sz="12"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August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August 31,</w:t>
            </w:r>
          </w:p>
        </w:tc>
        <w:tc>
          <w:tcPr>
            <w:tcW w:w="234" w:type="dxa"/>
            <w:tcBorders/>
            <w:vAlign w:val="center"/>
          </w:tcPr>
          <w:p>
            <w:pPr>
              <w:pStyle w:val="TableContents"/>
              <w:bidi w:val="0"/>
              <w:spacing w:before="0" w:after="283"/>
              <w:jc w:val="left"/>
              <w:rPr/>
            </w:pPr>
            <w:r>
              <w:rPr/>
              <w:t> </w:t>
            </w:r>
          </w:p>
        </w:tc>
      </w:tr>
      <w:tr>
        <w:trPr/>
        <w:tc>
          <w:tcPr>
            <w:tcW w:w="55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2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4" w:type="dxa"/>
            <w:tcBorders/>
            <w:vAlign w:val="center"/>
          </w:tcPr>
          <w:p>
            <w:pPr>
              <w:pStyle w:val="TableContents"/>
              <w:bidi w:val="0"/>
              <w:spacing w:before="0" w:after="283"/>
              <w:jc w:val="left"/>
              <w:rPr/>
            </w:pPr>
            <w:r>
              <w:rPr/>
              <w:t> </w:t>
            </w:r>
          </w:p>
        </w:tc>
      </w:tr>
      <w:tr>
        <w:trPr/>
        <w:tc>
          <w:tcPr>
            <w:tcW w:w="551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398" w:type="dxa"/>
            <w:gridSpan w:val="14"/>
            <w:tcBorders/>
            <w:vAlign w:val="center"/>
          </w:tcPr>
          <w:p>
            <w:pPr>
              <w:pStyle w:val="TableContents"/>
              <w:bidi w:val="0"/>
              <w:spacing w:before="0" w:after="283"/>
              <w:jc w:val="center"/>
              <w:rPr>
                <w:b/>
              </w:rPr>
            </w:pPr>
            <w:r>
              <w:rPr>
                <w:b/>
              </w:rPr>
              <w:t>(Rand Thousands)</w:t>
            </w:r>
          </w:p>
        </w:tc>
        <w:tc>
          <w:tcPr>
            <w:tcW w:w="234" w:type="dxa"/>
            <w:tcBorders/>
            <w:vAlign w:val="center"/>
          </w:tcPr>
          <w:p>
            <w:pPr>
              <w:pStyle w:val="TableContents"/>
              <w:bidi w:val="0"/>
              <w:spacing w:before="0" w:after="283"/>
              <w:ind w:left="0" w:right="0" w:hanging="180"/>
              <w:jc w:val="left"/>
              <w:rPr/>
            </w:pPr>
            <w:r>
              <w:rPr/>
              <w:t> </w:t>
            </w:r>
          </w:p>
        </w:tc>
      </w:tr>
      <w:tr>
        <w:trPr/>
        <w:tc>
          <w:tcPr>
            <w:tcW w:w="5513" w:type="dxa"/>
            <w:tcBorders/>
            <w:shd w:fill="CCEEFF" w:val="clear"/>
            <w:vAlign w:val="center"/>
          </w:tcPr>
          <w:p>
            <w:pPr>
              <w:pStyle w:val="TableContents"/>
              <w:bidi w:val="0"/>
              <w:spacing w:before="0" w:after="283"/>
              <w:jc w:val="left"/>
              <w:rPr>
                <w:b/>
              </w:rPr>
            </w:pPr>
            <w:r>
              <w:rPr>
                <w:b/>
              </w:rPr>
              <w:t>Profit for the period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178,214</w:t>
            </w:r>
          </w:p>
        </w:tc>
        <w:tc>
          <w:tcPr>
            <w:tcW w:w="22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155,477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340,161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311,816</w:t>
            </w:r>
          </w:p>
        </w:tc>
        <w:tc>
          <w:tcPr>
            <w:tcW w:w="234" w:type="dxa"/>
            <w:tcBorders/>
            <w:shd w:fill="CCEEFF" w:val="clear"/>
            <w:vAlign w:val="center"/>
          </w:tcPr>
          <w:p>
            <w:pPr>
              <w:pStyle w:val="TableContents"/>
              <w:bidi w:val="0"/>
              <w:spacing w:before="0" w:after="283"/>
              <w:ind w:left="0" w:right="0" w:hanging="180"/>
              <w:jc w:val="left"/>
              <w:rPr/>
            </w:pPr>
            <w:r>
              <w:rPr/>
              <w:t> </w:t>
            </w:r>
          </w:p>
        </w:tc>
      </w:tr>
      <w:tr>
        <w:trPr/>
        <w:tc>
          <w:tcPr>
            <w:tcW w:w="5513" w:type="dxa"/>
            <w:tcBorders/>
            <w:shd w:fill="FFFFFF" w:val="clear"/>
            <w:vAlign w:val="center"/>
          </w:tcPr>
          <w:p>
            <w:pPr>
              <w:pStyle w:val="TableContents"/>
              <w:bidi w:val="0"/>
              <w:spacing w:before="0" w:after="283"/>
              <w:jc w:val="left"/>
              <w:rPr/>
            </w:pPr>
            <w:r>
              <w:rPr/>
              <w:t>Taxation</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75,277</w:t>
            </w:r>
          </w:p>
        </w:tc>
        <w:tc>
          <w:tcPr>
            <w:tcW w:w="22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64,221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146,408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124,595</w:t>
            </w:r>
          </w:p>
        </w:tc>
        <w:tc>
          <w:tcPr>
            <w:tcW w:w="234" w:type="dxa"/>
            <w:tcBorders/>
            <w:shd w:fill="FFFFFF" w:val="clear"/>
            <w:vAlign w:val="center"/>
          </w:tcPr>
          <w:p>
            <w:pPr>
              <w:pStyle w:val="TableContents"/>
              <w:bidi w:val="0"/>
              <w:spacing w:before="0" w:after="283"/>
              <w:ind w:left="0" w:right="0" w:hanging="180"/>
              <w:jc w:val="left"/>
              <w:rPr/>
            </w:pPr>
            <w:r>
              <w:rPr/>
              <w:t> </w:t>
            </w:r>
          </w:p>
        </w:tc>
      </w:tr>
      <w:tr>
        <w:trPr/>
        <w:tc>
          <w:tcPr>
            <w:tcW w:w="5513"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(9,287</w:t>
            </w:r>
          </w:p>
        </w:tc>
        <w:tc>
          <w:tcPr>
            <w:tcW w:w="22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(4,763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(20,165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(7,605</w:t>
            </w:r>
          </w:p>
        </w:tc>
        <w:tc>
          <w:tcPr>
            <w:tcW w:w="234" w:type="dxa"/>
            <w:tcBorders/>
            <w:shd w:fill="CCEEFF" w:val="clear"/>
            <w:vAlign w:val="center"/>
          </w:tcPr>
          <w:p>
            <w:pPr>
              <w:pStyle w:val="TableContents"/>
              <w:bidi w:val="0"/>
              <w:spacing w:before="0" w:after="283"/>
              <w:ind w:left="0" w:right="0" w:hanging="180"/>
              <w:jc w:val="left"/>
              <w:rPr/>
            </w:pPr>
            <w:r>
              <w:rPr/>
              <w:t>)</w:t>
            </w:r>
          </w:p>
        </w:tc>
      </w:tr>
      <w:tr>
        <w:trPr/>
        <w:tc>
          <w:tcPr>
            <w:tcW w:w="5513"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2,982</w:t>
            </w:r>
          </w:p>
        </w:tc>
        <w:tc>
          <w:tcPr>
            <w:tcW w:w="22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3,193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5,156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6,812</w:t>
            </w:r>
          </w:p>
        </w:tc>
        <w:tc>
          <w:tcPr>
            <w:tcW w:w="234" w:type="dxa"/>
            <w:tcBorders/>
            <w:shd w:fill="FFFFFF" w:val="clear"/>
            <w:vAlign w:val="center"/>
          </w:tcPr>
          <w:p>
            <w:pPr>
              <w:pStyle w:val="TableContents"/>
              <w:bidi w:val="0"/>
              <w:spacing w:before="0" w:after="283"/>
              <w:ind w:left="0" w:right="0" w:hanging="180"/>
              <w:jc w:val="left"/>
              <w:rPr/>
            </w:pPr>
            <w:r>
              <w:rPr/>
              <w:t> </w:t>
            </w:r>
          </w:p>
        </w:tc>
      </w:tr>
      <w:tr>
        <w:trPr/>
        <w:tc>
          <w:tcPr>
            <w:tcW w:w="5513" w:type="dxa"/>
            <w:tcBorders/>
            <w:shd w:fill="CCEEFF" w:val="clear"/>
            <w:vAlign w:val="center"/>
          </w:tcPr>
          <w:p>
            <w:pPr>
              <w:pStyle w:val="TableContents"/>
              <w:bidi w:val="0"/>
              <w:spacing w:before="0" w:after="283"/>
              <w:jc w:val="left"/>
              <w:rPr/>
            </w:pPr>
            <w:r>
              <w:rPr/>
              <w:t>Depreciation of property, plant and equipment and amortization of intangible assets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center"/>
          </w:tcPr>
          <w:p>
            <w:pPr>
              <w:pStyle w:val="TableContents"/>
              <w:bidi w:val="0"/>
              <w:spacing w:before="0" w:after="283"/>
              <w:jc w:val="right"/>
              <w:rPr/>
            </w:pPr>
            <w:r>
              <w:rPr/>
              <w:t>166,078</w:t>
            </w:r>
          </w:p>
        </w:tc>
        <w:tc>
          <w:tcPr>
            <w:tcW w:w="22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12" w:space="0" w:color="000000"/>
            </w:tcBorders>
            <w:shd w:fill="CCEEFF" w:val="clear"/>
            <w:tcMar>
              <w:bottom w:w="28" w:type="dxa"/>
            </w:tcMar>
            <w:vAlign w:val="center"/>
          </w:tcPr>
          <w:p>
            <w:pPr>
              <w:pStyle w:val="TableContents"/>
              <w:bidi w:val="0"/>
              <w:spacing w:before="0" w:after="283"/>
              <w:jc w:val="right"/>
              <w:rPr/>
            </w:pPr>
            <w:r>
              <w:rPr/>
              <w:t>159,245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327,828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295,499</w:t>
            </w:r>
          </w:p>
        </w:tc>
        <w:tc>
          <w:tcPr>
            <w:tcW w:w="234" w:type="dxa"/>
            <w:tcBorders/>
            <w:shd w:fill="CCEEFF" w:val="clear"/>
            <w:vAlign w:val="center"/>
          </w:tcPr>
          <w:p>
            <w:pPr>
              <w:pStyle w:val="TableContents"/>
              <w:bidi w:val="0"/>
              <w:spacing w:before="0" w:after="283"/>
              <w:ind w:left="0" w:right="0" w:hanging="180"/>
              <w:jc w:val="left"/>
              <w:rPr/>
            </w:pPr>
            <w:r>
              <w:rPr/>
              <w:t> </w:t>
            </w:r>
          </w:p>
        </w:tc>
      </w:tr>
      <w:tr>
        <w:trPr/>
        <w:tc>
          <w:tcPr>
            <w:tcW w:w="5513" w:type="dxa"/>
            <w:tcBorders/>
            <w:shd w:fill="FFFFFF" w:val="clear"/>
            <w:vAlign w:val="center"/>
          </w:tcPr>
          <w:p>
            <w:pPr>
              <w:pStyle w:val="TableContents"/>
              <w:bidi w:val="0"/>
              <w:spacing w:before="0" w:after="283"/>
              <w:jc w:val="left"/>
              <w:rPr>
                <w:b/>
              </w:rPr>
            </w:pPr>
            <w:r>
              <w:rPr>
                <w:b/>
              </w:rPr>
              <w:t xml:space="preserve">Adjusted EBITDA </w:t>
            </w:r>
            <w:r>
              <w:rPr>
                <w:b w:val="false"/>
                <w:i w:val="false"/>
                <w:caps w:val="false"/>
                <w:smallCaps w:val="false"/>
              </w:rPr>
              <w:t>(a non-IFRS measure)</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double" w:sz="10" w:space="0" w:color="000000"/>
            </w:tcBorders>
            <w:shd w:fill="FFFFFF" w:val="clear"/>
            <w:tcMar>
              <w:bottom w:w="28" w:type="dxa"/>
            </w:tcMar>
            <w:vAlign w:val="center"/>
          </w:tcPr>
          <w:p>
            <w:pPr>
              <w:pStyle w:val="TableContents"/>
              <w:bidi w:val="0"/>
              <w:spacing w:before="0" w:after="283"/>
              <w:jc w:val="right"/>
              <w:rPr/>
            </w:pPr>
            <w:r>
              <w:rPr/>
              <w:t>413,264</w:t>
            </w:r>
          </w:p>
        </w:tc>
        <w:tc>
          <w:tcPr>
            <w:tcW w:w="22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double" w:sz="10" w:space="0" w:color="000000"/>
            </w:tcBorders>
            <w:shd w:fill="FFFFFF" w:val="clear"/>
            <w:tcMar>
              <w:bottom w:w="28" w:type="dxa"/>
            </w:tcMar>
            <w:vAlign w:val="center"/>
          </w:tcPr>
          <w:p>
            <w:pPr>
              <w:pStyle w:val="TableContents"/>
              <w:bidi w:val="0"/>
              <w:spacing w:before="0" w:after="283"/>
              <w:jc w:val="right"/>
              <w:rPr/>
            </w:pPr>
            <w:r>
              <w:rPr/>
              <w:t>377,373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799,388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731,117</w:t>
            </w:r>
          </w:p>
        </w:tc>
        <w:tc>
          <w:tcPr>
            <w:tcW w:w="234" w:type="dxa"/>
            <w:tcBorders/>
            <w:shd w:fill="FFFFFF" w:val="clear"/>
            <w:vAlign w:val="center"/>
          </w:tcPr>
          <w:p>
            <w:pPr>
              <w:pStyle w:val="TableContents"/>
              <w:bidi w:val="0"/>
              <w:spacing w:before="0" w:after="283"/>
              <w:ind w:left="0" w:right="0" w:hanging="180"/>
              <w:jc w:val="left"/>
              <w:rPr/>
            </w:pPr>
            <w:r>
              <w:rPr/>
              <w:t> </w:t>
            </w:r>
          </w:p>
        </w:tc>
      </w:tr>
      <w:tr>
        <w:trPr/>
        <w:tc>
          <w:tcPr>
            <w:tcW w:w="5513" w:type="dxa"/>
            <w:tcBorders/>
            <w:shd w:fill="CCEEFF" w:val="clear"/>
            <w:vAlign w:val="center"/>
          </w:tcPr>
          <w:p>
            <w:pPr>
              <w:pStyle w:val="TableContents"/>
              <w:bidi w:val="0"/>
              <w:spacing w:before="0" w:after="283"/>
              <w:jc w:val="left"/>
              <w:rPr>
                <w:b/>
              </w:rPr>
            </w:pPr>
            <w:r>
              <w:rPr>
                <w:b/>
              </w:rPr>
              <w:t>Profit margin</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17</w:t>
            </w:r>
          </w:p>
        </w:tc>
        <w:tc>
          <w:tcPr>
            <w:tcW w:w="22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18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w:t>
            </w:r>
          </w:p>
        </w:tc>
        <w:tc>
          <w:tcPr>
            <w:tcW w:w="234" w:type="dxa"/>
            <w:tcBorders/>
            <w:shd w:fill="CCEEFF" w:val="clear"/>
            <w:vAlign w:val="center"/>
          </w:tcPr>
          <w:p>
            <w:pPr>
              <w:pStyle w:val="TableContents"/>
              <w:bidi w:val="0"/>
              <w:spacing w:before="0" w:after="283"/>
              <w:ind w:left="0" w:right="0" w:hanging="180"/>
              <w:jc w:val="left"/>
              <w:rPr/>
            </w:pPr>
            <w:r>
              <w:rPr/>
              <w:t>%</w:t>
            </w:r>
          </w:p>
        </w:tc>
      </w:tr>
      <w:tr>
        <w:trPr/>
        <w:tc>
          <w:tcPr>
            <w:tcW w:w="5513" w:type="dxa"/>
            <w:tcBorders/>
            <w:shd w:fill="FFFFFF" w:val="clear"/>
            <w:vAlign w:val="center"/>
          </w:tcPr>
          <w:p>
            <w:pPr>
              <w:pStyle w:val="TableContents"/>
              <w:bidi w:val="0"/>
              <w:spacing w:before="0" w:after="283"/>
              <w:jc w:val="left"/>
              <w:rPr>
                <w:b/>
              </w:rPr>
            </w:pPr>
            <w:r>
              <w:rPr>
                <w:b/>
              </w:rPr>
              <w:t xml:space="preserve">Adjusted EBITDA margin </w:t>
            </w:r>
            <w:r>
              <w:rPr>
                <w:rFonts w:ascii="Times New Roman;Times;Serif" w:hAnsi="Times New Roman;Times;Serif"/>
                <w:b w:val="false"/>
                <w:i w:val="false"/>
                <w:caps w:val="false"/>
                <w:smallCaps w:val="false"/>
                <w:sz w:val="20"/>
              </w:rPr>
              <w:t>(a non-IFRS measure)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40</w:t>
            </w:r>
          </w:p>
        </w:tc>
        <w:tc>
          <w:tcPr>
            <w:tcW w:w="229"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44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44</w:t>
            </w:r>
          </w:p>
        </w:tc>
        <w:tc>
          <w:tcPr>
            <w:tcW w:w="23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BASIC AND DILUTED EARNINGS PER SHARE</w:t>
        <w:b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05"/>
        <w:gridCol w:w="60"/>
        <w:gridCol w:w="65"/>
        <w:gridCol w:w="871"/>
        <w:gridCol w:w="65"/>
        <w:gridCol w:w="65"/>
        <w:gridCol w:w="65"/>
        <w:gridCol w:w="871"/>
        <w:gridCol w:w="60"/>
        <w:gridCol w:w="60"/>
        <w:gridCol w:w="60"/>
        <w:gridCol w:w="800"/>
        <w:gridCol w:w="60"/>
        <w:gridCol w:w="60"/>
        <w:gridCol w:w="60"/>
        <w:gridCol w:w="800"/>
        <w:gridCol w:w="78"/>
      </w:tblGrid>
      <w:tr>
        <w:trPr/>
        <w:tc>
          <w:tcPr>
            <w:tcW w:w="61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00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August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br/>
              <w:t>August 31,</w:t>
            </w:r>
          </w:p>
        </w:tc>
        <w:tc>
          <w:tcPr>
            <w:tcW w:w="78" w:type="dxa"/>
            <w:tcBorders/>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8" w:type="dxa"/>
            <w:tcBorders/>
            <w:vAlign w:val="center"/>
          </w:tcPr>
          <w:p>
            <w:pPr>
              <w:pStyle w:val="TableContents"/>
              <w:bidi w:val="0"/>
              <w:spacing w:before="0" w:after="283"/>
              <w:jc w:val="left"/>
              <w:rPr/>
            </w:pPr>
            <w:r>
              <w:rPr/>
              <w:t> </w:t>
            </w:r>
          </w:p>
        </w:tc>
      </w:tr>
      <w:tr>
        <w:trPr/>
        <w:tc>
          <w:tcPr>
            <w:tcW w:w="61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962" w:type="dxa"/>
            <w:gridSpan w:val="14"/>
            <w:tcBorders/>
            <w:vAlign w:val="center"/>
          </w:tcPr>
          <w:p>
            <w:pPr>
              <w:pStyle w:val="TableContents"/>
              <w:bidi w:val="0"/>
              <w:spacing w:before="0" w:after="283"/>
              <w:jc w:val="center"/>
              <w:rPr>
                <w:b/>
              </w:rPr>
            </w:pPr>
            <w:r>
              <w:rPr>
                <w:b/>
              </w:rPr>
              <w:t>(Rand Thousands)</w:t>
            </w:r>
          </w:p>
        </w:tc>
        <w:tc>
          <w:tcPr>
            <w:tcW w:w="78" w:type="dxa"/>
            <w:tcBorders/>
            <w:vAlign w:val="center"/>
          </w:tcPr>
          <w:p>
            <w:pPr>
              <w:pStyle w:val="TableContents"/>
              <w:bidi w:val="0"/>
              <w:spacing w:before="0" w:after="283"/>
              <w:ind w:left="0" w:right="0" w:hanging="180"/>
              <w:jc w:val="left"/>
              <w:rPr/>
            </w:pPr>
            <w:r>
              <w:rPr/>
              <w:t> </w:t>
            </w:r>
          </w:p>
        </w:tc>
      </w:tr>
      <w:tr>
        <w:trPr/>
        <w:tc>
          <w:tcPr>
            <w:tcW w:w="6105" w:type="dxa"/>
            <w:tcBorders/>
            <w:shd w:fill="CCEEFF" w:val="clear"/>
            <w:vAlign w:val="center"/>
          </w:tcPr>
          <w:p>
            <w:pPr>
              <w:pStyle w:val="TableContents"/>
              <w:bidi w:val="0"/>
              <w:spacing w:before="0" w:after="283"/>
              <w:jc w:val="left"/>
              <w:rPr>
                <w:b/>
              </w:rPr>
            </w:pPr>
            <w:r>
              <w:rPr>
                <w:b/>
              </w:rPr>
              <w:t>Profit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CCEEFF" w:val="clear"/>
            <w:tcMar>
              <w:bottom w:w="28" w:type="dxa"/>
            </w:tcMar>
            <w:vAlign w:val="center"/>
          </w:tcPr>
          <w:p>
            <w:pPr>
              <w:pStyle w:val="TableContents"/>
              <w:bidi w:val="0"/>
              <w:spacing w:before="0" w:after="283"/>
              <w:jc w:val="right"/>
              <w:rPr/>
            </w:pPr>
            <w:r>
              <w:rPr/>
              <w:t>173,678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1" w:type="dxa"/>
            <w:tcBorders>
              <w:bottom w:val="single" w:sz="12" w:space="0" w:color="000000"/>
            </w:tcBorders>
            <w:shd w:fill="CCEEFF" w:val="clear"/>
            <w:tcMar>
              <w:bottom w:w="28" w:type="dxa"/>
            </w:tcMar>
            <w:vAlign w:val="center"/>
          </w:tcPr>
          <w:p>
            <w:pPr>
              <w:pStyle w:val="TableContents"/>
              <w:bidi w:val="0"/>
              <w:spacing w:before="0" w:after="283"/>
              <w:jc w:val="right"/>
              <w:rPr/>
            </w:pPr>
            <w:r>
              <w:rPr/>
              <w:t>152,544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331,159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306,077</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6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6105" w:type="dxa"/>
            <w:tcBorders/>
            <w:shd w:fill="CCEEFF" w:val="clear"/>
            <w:vAlign w:val="center"/>
          </w:tcPr>
          <w:p>
            <w:pPr>
              <w:pStyle w:val="TableContents"/>
              <w:bidi w:val="0"/>
              <w:spacing w:before="0" w:after="283"/>
              <w:jc w:val="left"/>
              <w:rPr/>
            </w:pPr>
            <w:r>
              <w:rPr/>
              <w:t>Weighted average number of ordinary shares in issue at period end (000’s) on which the per share figures have been calculated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30,951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30,951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30,951</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6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ind w:left="0" w:right="0" w:hanging="180"/>
              <w:jc w:val="left"/>
              <w:rPr/>
            </w:pPr>
            <w:r>
              <w:rPr/>
              <w:t> </w:t>
            </w:r>
          </w:p>
        </w:tc>
      </w:tr>
      <w:tr>
        <w:trPr/>
        <w:tc>
          <w:tcPr>
            <w:tcW w:w="6105" w:type="dxa"/>
            <w:tcBorders/>
            <w:shd w:fill="CCEEFF" w:val="clear"/>
            <w:vAlign w:val="center"/>
          </w:tcPr>
          <w:p>
            <w:pPr>
              <w:pStyle w:val="TableContents"/>
              <w:bidi w:val="0"/>
              <w:spacing w:before="0" w:after="283"/>
              <w:jc w:val="left"/>
              <w:rPr>
                <w:b/>
              </w:rPr>
            </w:pPr>
            <w:r>
              <w:rPr>
                <w:b/>
              </w:rPr>
              <w:t>Basic and diluted earnings per share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5.61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9.89</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inclusion of headline earnings per share (“HEPS”), a non-IFRS measure, in this announcement is a requirement of our inward listing on the JSE. Basic and diluted HEPS is calculated using profit attributable to ordinary shareholders which has been determined based on IFRS. Accordingly, this may differ from the headline earnings per share calculation of other companies listed on the JSE as these companies may report their financial results under a different financial reporting framework.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or diluted HEPS is calculated using profit attributable to shareholders adjusted for (gain)/loss on disposal of property, plant and equipment divided by the weighted average number of ordinary shares in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provided a reconciliation between our profit attributable to shareholders used to calculate basic and diluted earnings per share and headline earnings used to calculate the HEPS and have included the weighted average number of shares in issue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RECONCILIATION OF BASIC AND DILUTED EARNINGS PER SHARE TO HEADLINE EARNINGS PER SHARE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NON-IFRS MEASURE)</w:t>
        <w:b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07"/>
        <w:gridCol w:w="60"/>
        <w:gridCol w:w="64"/>
        <w:gridCol w:w="861"/>
        <w:gridCol w:w="101"/>
        <w:gridCol w:w="64"/>
        <w:gridCol w:w="64"/>
        <w:gridCol w:w="861"/>
        <w:gridCol w:w="95"/>
        <w:gridCol w:w="60"/>
        <w:gridCol w:w="60"/>
        <w:gridCol w:w="800"/>
        <w:gridCol w:w="95"/>
        <w:gridCol w:w="60"/>
        <w:gridCol w:w="60"/>
        <w:gridCol w:w="800"/>
        <w:gridCol w:w="93"/>
      </w:tblGrid>
      <w:tr>
        <w:trPr/>
        <w:tc>
          <w:tcPr>
            <w:tcW w:w="600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0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August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31,</w:t>
            </w:r>
          </w:p>
        </w:tc>
        <w:tc>
          <w:tcPr>
            <w:tcW w:w="93" w:type="dxa"/>
            <w:tcBorders/>
            <w:vAlign w:val="center"/>
          </w:tcPr>
          <w:p>
            <w:pPr>
              <w:pStyle w:val="TableContents"/>
              <w:bidi w:val="0"/>
              <w:spacing w:before="0" w:after="283"/>
              <w:jc w:val="left"/>
              <w:rPr/>
            </w:pPr>
            <w:r>
              <w:rPr/>
              <w:t> </w:t>
            </w:r>
          </w:p>
        </w:tc>
      </w:tr>
      <w:tr>
        <w:trPr/>
        <w:tc>
          <w:tcPr>
            <w:tcW w:w="60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1"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3" w:type="dxa"/>
            <w:tcBorders/>
            <w:vAlign w:val="center"/>
          </w:tcPr>
          <w:p>
            <w:pPr>
              <w:pStyle w:val="TableContents"/>
              <w:bidi w:val="0"/>
              <w:spacing w:before="0" w:after="283"/>
              <w:ind w:left="0" w:right="0" w:hanging="180"/>
              <w:jc w:val="center"/>
              <w:rPr/>
            </w:pPr>
            <w:r>
              <w:rPr/>
              <w:t> </w:t>
            </w:r>
          </w:p>
        </w:tc>
      </w:tr>
      <w:tr>
        <w:trPr/>
        <w:tc>
          <w:tcPr>
            <w:tcW w:w="60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5" w:type="dxa"/>
            <w:gridSpan w:val="14"/>
            <w:tcBorders/>
            <w:vAlign w:val="center"/>
          </w:tcPr>
          <w:p>
            <w:pPr>
              <w:pStyle w:val="TableContents"/>
              <w:bidi w:val="0"/>
              <w:spacing w:before="0" w:after="283"/>
              <w:jc w:val="center"/>
              <w:rPr>
                <w:b/>
              </w:rPr>
            </w:pPr>
            <w:r>
              <w:rPr>
                <w:b/>
              </w:rPr>
              <w:t>(Rand Thousands)</w:t>
            </w:r>
          </w:p>
        </w:tc>
        <w:tc>
          <w:tcPr>
            <w:tcW w:w="93" w:type="dxa"/>
            <w:tcBorders/>
            <w:vAlign w:val="center"/>
          </w:tcPr>
          <w:p>
            <w:pPr>
              <w:pStyle w:val="TableContents"/>
              <w:bidi w:val="0"/>
              <w:spacing w:before="0" w:after="283"/>
              <w:ind w:left="0" w:right="0" w:hanging="180"/>
              <w:jc w:val="left"/>
              <w:rPr/>
            </w:pPr>
            <w:r>
              <w:rPr/>
              <w:t> </w:t>
            </w:r>
          </w:p>
        </w:tc>
      </w:tr>
      <w:tr>
        <w:trPr/>
        <w:tc>
          <w:tcPr>
            <w:tcW w:w="6007" w:type="dxa"/>
            <w:tcBorders/>
            <w:vAlign w:val="center"/>
          </w:tcPr>
          <w:p>
            <w:pPr>
              <w:pStyle w:val="TableContents"/>
              <w:bidi w:val="0"/>
              <w:spacing w:before="0" w:after="283"/>
              <w:jc w:val="left"/>
              <w:rPr>
                <w:b/>
              </w:rPr>
            </w:pPr>
            <w:r>
              <w:rPr>
                <w:b/>
              </w:rPr>
              <w:t xml:space="preserve">Reconciliation between basic earnings to headline earnings </w:t>
            </w:r>
            <w:r>
              <w:rPr>
                <w:b w:val="false"/>
                <w:i w:val="false"/>
                <w:caps w:val="false"/>
                <w:smallCaps w:val="false"/>
              </w:rPr>
              <w:t>(a non-IFRS measure)</w:t>
            </w:r>
          </w:p>
        </w:tc>
        <w:tc>
          <w:tcPr>
            <w:tcW w:w="6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ind w:left="0" w:right="0" w:hanging="180"/>
              <w:jc w:val="left"/>
              <w:rPr/>
            </w:pPr>
            <w:r>
              <w:rPr/>
              <w:t> </w:t>
            </w:r>
          </w:p>
        </w:tc>
      </w:tr>
      <w:tr>
        <w:trPr/>
        <w:tc>
          <w:tcPr>
            <w:tcW w:w="6007" w:type="dxa"/>
            <w:tcBorders/>
            <w:shd w:fill="CCEEFF" w:val="clear"/>
            <w:vAlign w:val="center"/>
          </w:tcPr>
          <w:p>
            <w:pPr>
              <w:pStyle w:val="TableContents"/>
              <w:bidi w:val="0"/>
              <w:spacing w:before="0" w:after="283"/>
              <w:jc w:val="left"/>
              <w:rPr>
                <w:b/>
              </w:rPr>
            </w:pPr>
            <w:r>
              <w:rPr>
                <w:b/>
              </w:rPr>
              <w:t>Profit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173,678</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152,544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331,159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306,077</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6007" w:type="dxa"/>
            <w:tcBorders/>
            <w:shd w:fill="FFFFFF" w:val="clear"/>
            <w:vAlign w:val="center"/>
          </w:tcPr>
          <w:p>
            <w:pPr>
              <w:pStyle w:val="TableContents"/>
              <w:bidi w:val="0"/>
              <w:spacing w:before="0" w:after="283"/>
              <w:jc w:val="left"/>
              <w:rPr>
                <w:b/>
              </w:rPr>
            </w:pPr>
            <w:r>
              <w:rPr>
                <w:b/>
              </w:rPr>
              <w:t>Adjust for:</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6007" w:type="dxa"/>
            <w:tcBorders/>
            <w:shd w:fill="CCEEFF" w:val="clear"/>
            <w:vAlign w:val="center"/>
          </w:tcPr>
          <w:p>
            <w:pPr>
              <w:pStyle w:val="TableContents"/>
              <w:bidi w:val="0"/>
              <w:spacing w:before="0" w:after="283"/>
              <w:jc w:val="left"/>
              <w:rPr/>
            </w:pPr>
            <w:r>
              <w:rPr/>
              <w:t>Loss/ (gain) on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1,633</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(2,982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(3,314</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6007" w:type="dxa"/>
            <w:tcBorders/>
            <w:shd w:fill="FFFFFF" w:val="clear"/>
            <w:vAlign w:val="center"/>
          </w:tcPr>
          <w:p>
            <w:pPr>
              <w:pStyle w:val="TableContents"/>
              <w:bidi w:val="0"/>
              <w:spacing w:before="0" w:after="283"/>
              <w:jc w:val="left"/>
              <w:rPr/>
            </w:pPr>
            <w:r>
              <w:rPr/>
              <w:t>Tax effect on loss/ (gain) on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shd w:fill="FFFFFF" w:val="clear"/>
            <w:tcMar>
              <w:bottom w:w="28" w:type="dxa"/>
            </w:tcMar>
            <w:vAlign w:val="center"/>
          </w:tcPr>
          <w:p>
            <w:pPr>
              <w:pStyle w:val="TableContents"/>
              <w:bidi w:val="0"/>
              <w:spacing w:before="0" w:after="283"/>
              <w:jc w:val="right"/>
              <w:rPr/>
            </w:pPr>
            <w:r>
              <w:rPr/>
              <w:t>(439</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shd w:fill="FFFFFF" w:val="clear"/>
            <w:tcMar>
              <w:bottom w:w="28" w:type="dxa"/>
            </w:tcMar>
            <w:vAlign w:val="center"/>
          </w:tcPr>
          <w:p>
            <w:pPr>
              <w:pStyle w:val="TableContents"/>
              <w:bidi w:val="0"/>
              <w:spacing w:before="0" w:after="283"/>
              <w:jc w:val="right"/>
              <w:rPr/>
            </w:pPr>
            <w:r>
              <w:rPr/>
              <w:t>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928</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6007" w:type="dxa"/>
            <w:tcBorders/>
            <w:shd w:fill="CCEEFF" w:val="clear"/>
            <w:vAlign w:val="center"/>
          </w:tcPr>
          <w:p>
            <w:pPr>
              <w:pStyle w:val="TableContents"/>
              <w:bidi w:val="0"/>
              <w:spacing w:before="0" w:after="283"/>
              <w:jc w:val="left"/>
              <w:rPr>
                <w:b/>
              </w:rPr>
            </w:pPr>
            <w:r>
              <w:rPr>
                <w:b/>
              </w:rPr>
              <w:t xml:space="preserve">Headline earnings </w:t>
            </w:r>
            <w:r>
              <w:rPr>
                <w:b w:val="false"/>
                <w:i w:val="false"/>
                <w:caps w:val="false"/>
                <w:smallCaps w:val="false"/>
              </w:rPr>
              <w:t>(a non-IFRS measure)</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double" w:sz="10" w:space="0" w:color="000000"/>
            </w:tcBorders>
            <w:shd w:fill="CCEEFF" w:val="clear"/>
            <w:tcMar>
              <w:bottom w:w="28" w:type="dxa"/>
            </w:tcMar>
            <w:vAlign w:val="center"/>
          </w:tcPr>
          <w:p>
            <w:pPr>
              <w:pStyle w:val="TableContents"/>
              <w:bidi w:val="0"/>
              <w:spacing w:before="0" w:after="283"/>
              <w:jc w:val="right"/>
              <w:rPr/>
            </w:pPr>
            <w:r>
              <w:rPr/>
              <w:t>174,872</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double" w:sz="10" w:space="0" w:color="000000"/>
            </w:tcBorders>
            <w:shd w:fill="CCEEFF" w:val="clear"/>
            <w:tcMar>
              <w:bottom w:w="28" w:type="dxa"/>
            </w:tcMar>
            <w:vAlign w:val="center"/>
          </w:tcPr>
          <w:p>
            <w:pPr>
              <w:pStyle w:val="TableContents"/>
              <w:bidi w:val="0"/>
              <w:spacing w:before="0" w:after="283"/>
              <w:jc w:val="right"/>
              <w:rPr/>
            </w:pPr>
            <w:r>
              <w:rPr/>
              <w:t>150,397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331,610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303,691</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60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6007" w:type="dxa"/>
            <w:tcBorders/>
            <w:shd w:fill="CCEEFF" w:val="clear"/>
            <w:vAlign w:val="center"/>
          </w:tcPr>
          <w:p>
            <w:pPr>
              <w:pStyle w:val="TableContents"/>
              <w:bidi w:val="0"/>
              <w:spacing w:before="0" w:after="283"/>
              <w:jc w:val="left"/>
              <w:rPr/>
            </w:pPr>
            <w:r>
              <w:rPr/>
              <w:t>Weighted average number of ordinary shares in issue at period end (000’s) on which the per share figures have been calculated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30,951</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30,951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30,951</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60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6007" w:type="dxa"/>
            <w:tcBorders/>
            <w:shd w:fill="CCEEFF" w:val="clear"/>
            <w:vAlign w:val="center"/>
          </w:tcPr>
          <w:p>
            <w:pPr>
              <w:pStyle w:val="TableContents"/>
              <w:bidi w:val="0"/>
              <w:spacing w:before="0" w:after="283"/>
              <w:jc w:val="left"/>
              <w:rPr>
                <w:b/>
              </w:rPr>
            </w:pPr>
            <w:r>
              <w:rPr>
                <w:b/>
              </w:rPr>
              <w:t>Basic and diluted earnings per share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5.61</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9.89</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60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6007" w:type="dxa"/>
            <w:tcBorders/>
            <w:shd w:fill="CCEEFF" w:val="clear"/>
            <w:vAlign w:val="center"/>
          </w:tcPr>
          <w:p>
            <w:pPr>
              <w:pStyle w:val="TableContents"/>
              <w:bidi w:val="0"/>
              <w:spacing w:before="0" w:after="283"/>
              <w:jc w:val="left"/>
              <w:rPr>
                <w:b/>
              </w:rPr>
            </w:pPr>
            <w:r>
              <w:rPr>
                <w:b/>
              </w:rPr>
              <w:t xml:space="preserve">Basic and diluted headline earnings per share </w:t>
            </w:r>
            <w:r>
              <w:rPr>
                <w:b w:val="false"/>
                <w:i w:val="false"/>
                <w:caps w:val="false"/>
                <w:smallCaps w:val="false"/>
              </w:rPr>
              <w:t>(a non-IFRS measure)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5.65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9.81</w:t>
            </w:r>
          </w:p>
        </w:tc>
        <w:tc>
          <w:tcPr>
            <w:tcW w:w="9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CONSTANT CURRENCY (A NON-IFRS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Constant currency information has been presented to illustrate the impact of changes in currency rates on the group’s results. The tables below provide the unaudited constant currency reconciliation to the reported measure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and Half Year Ended August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constant currency information has been determined by adjusting the current financial reporting period results to the results reported for the three months and half year ended August 31, 2022, using the average of the monthly exchange rates applicable to that period. The measurement has been performed for each of the group’s operating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REVENUE</w:t>
      </w:r>
    </w:p>
    <w:p>
      <w:pPr>
        <w:pStyle w:val="TextBody"/>
        <w:bidi w:val="0"/>
        <w:spacing w:before="0" w:after="0"/>
        <w:ind w:left="0" w:right="0" w:hanging="0"/>
        <w:jc w:val="left"/>
        <w:rPr>
          <w:caps w:val="false"/>
          <w:smallCaps w:val="false"/>
        </w:rPr>
      </w:pPr>
      <w:r>
        <w:rPr>
          <w:caps w:val="false"/>
          <w:smallCaps w:val="false"/>
        </w:rPr>
        <w:t> </w:t>
      </w:r>
    </w:p>
    <w:tbl>
      <w:tblPr>
        <w:tblW w:w="9182" w:type="dxa"/>
        <w:jc w:val="left"/>
        <w:tblInd w:w="0" w:type="dxa"/>
        <w:tblLayout w:type="fixed"/>
        <w:tblCellMar>
          <w:top w:w="0" w:type="dxa"/>
          <w:left w:w="0" w:type="dxa"/>
          <w:bottom w:w="0" w:type="dxa"/>
          <w:right w:w="0" w:type="dxa"/>
        </w:tblCellMar>
      </w:tblPr>
      <w:tblGrid>
        <w:gridCol w:w="4745"/>
        <w:gridCol w:w="60"/>
        <w:gridCol w:w="87"/>
        <w:gridCol w:w="1162"/>
        <w:gridCol w:w="138"/>
        <w:gridCol w:w="87"/>
        <w:gridCol w:w="87"/>
        <w:gridCol w:w="1162"/>
        <w:gridCol w:w="87"/>
        <w:gridCol w:w="87"/>
        <w:gridCol w:w="234"/>
        <w:gridCol w:w="1016"/>
        <w:gridCol w:w="23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August 31,</w:t>
            </w:r>
          </w:p>
        </w:tc>
        <w:tc>
          <w:tcPr>
            <w:tcW w:w="23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Quarter-on-</w:t>
              <w:br/>
              <w:t>Quarter</w:t>
              <w:br/>
              <w:t>Change</w:t>
            </w:r>
          </w:p>
        </w:tc>
        <w:tc>
          <w:tcPr>
            <w:tcW w:w="23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3" w:type="dxa"/>
            <w:gridSpan w:val="6"/>
            <w:tcBorders/>
            <w:vAlign w:val="center"/>
          </w:tcPr>
          <w:p>
            <w:pPr>
              <w:pStyle w:val="TableContents"/>
              <w:bidi w:val="0"/>
              <w:spacing w:before="0" w:after="283"/>
              <w:jc w:val="center"/>
              <w:rPr>
                <w:b/>
              </w:rPr>
            </w:pPr>
            <w:r>
              <w:rPr>
                <w:b/>
              </w:rPr>
              <w:t>(Rand Thousands)</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Subscription revenue as reported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860,331</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734,216</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17</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Conversion impact of other currencies</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2" w:type="dxa"/>
            <w:tcBorders>
              <w:bottom w:val="single" w:sz="12" w:space="0" w:color="000000"/>
            </w:tcBorders>
            <w:shd w:fill="FFFFFF" w:val="clear"/>
            <w:tcMar>
              <w:bottom w:w="28" w:type="dxa"/>
            </w:tcMar>
            <w:vAlign w:val="center"/>
          </w:tcPr>
          <w:p>
            <w:pPr>
              <w:pStyle w:val="TableContents"/>
              <w:bidi w:val="0"/>
              <w:spacing w:before="0" w:after="283"/>
              <w:jc w:val="right"/>
              <w:rPr/>
            </w:pPr>
            <w:r>
              <w:rPr/>
              <w:t>(32,071</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Subscription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double" w:sz="10" w:space="0" w:color="000000"/>
            </w:tcBorders>
            <w:shd w:fill="CCEEFF" w:val="clear"/>
            <w:tcMar>
              <w:bottom w:w="28" w:type="dxa"/>
            </w:tcMar>
            <w:vAlign w:val="center"/>
          </w:tcPr>
          <w:p>
            <w:pPr>
              <w:pStyle w:val="TableContents"/>
              <w:bidi w:val="0"/>
              <w:spacing w:before="0" w:after="283"/>
              <w:jc w:val="right"/>
              <w:rPr/>
            </w:pPr>
            <w:r>
              <w:rPr/>
              <w:t>828,260</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double" w:sz="10" w:space="0" w:color="000000"/>
            </w:tcBorders>
            <w:shd w:fill="CCEEFF" w:val="clear"/>
            <w:tcMar>
              <w:bottom w:w="28" w:type="dxa"/>
            </w:tcMar>
            <w:vAlign w:val="center"/>
          </w:tcPr>
          <w:p>
            <w:pPr>
              <w:pStyle w:val="TableContents"/>
              <w:bidi w:val="0"/>
              <w:spacing w:before="0" w:after="283"/>
              <w:jc w:val="right"/>
              <w:rPr/>
            </w:pPr>
            <w:r>
              <w:rPr/>
              <w:t>734,216</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double" w:sz="10" w:space="0" w:color="000000"/>
            </w:tcBorders>
            <w:shd w:fill="CCEEFF" w:val="clear"/>
            <w:tcMar>
              <w:bottom w:w="28" w:type="dxa"/>
            </w:tcMar>
            <w:vAlign w:val="center"/>
          </w:tcPr>
          <w:p>
            <w:pPr>
              <w:pStyle w:val="TableContents"/>
              <w:bidi w:val="0"/>
              <w:spacing w:before="0" w:after="283"/>
              <w:jc w:val="right"/>
              <w:rPr/>
            </w:pPr>
            <w:r>
              <w:rPr/>
              <w:t>13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p>
      <w:pPr>
        <w:pStyle w:val="TextBody"/>
        <w:bidi w:val="0"/>
        <w:spacing w:before="0" w:after="0"/>
        <w:ind w:left="0" w:right="0" w:hanging="0"/>
        <w:jc w:val="left"/>
        <w:rPr>
          <w:caps w:val="false"/>
          <w:smallCaps w:val="false"/>
        </w:rPr>
      </w:pPr>
      <w:r>
        <w:rPr>
          <w:caps w:val="false"/>
          <w:smallCaps w:val="false"/>
        </w:rPr>
        <w:t> </w:t>
      </w:r>
    </w:p>
    <w:tbl>
      <w:tblPr>
        <w:tblW w:w="8522" w:type="dxa"/>
        <w:jc w:val="left"/>
        <w:tblInd w:w="0" w:type="dxa"/>
        <w:tblLayout w:type="fixed"/>
        <w:tblCellMar>
          <w:top w:w="0" w:type="dxa"/>
          <w:left w:w="0" w:type="dxa"/>
          <w:bottom w:w="0" w:type="dxa"/>
          <w:right w:w="0" w:type="dxa"/>
        </w:tblCellMar>
      </w:tblPr>
      <w:tblGrid>
        <w:gridCol w:w="4055"/>
        <w:gridCol w:w="60"/>
        <w:gridCol w:w="80"/>
        <w:gridCol w:w="1321"/>
        <w:gridCol w:w="128"/>
        <w:gridCol w:w="80"/>
        <w:gridCol w:w="80"/>
        <w:gridCol w:w="1078"/>
        <w:gridCol w:w="80"/>
        <w:gridCol w:w="80"/>
        <w:gridCol w:w="234"/>
        <w:gridCol w:w="1016"/>
        <w:gridCol w:w="230"/>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7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August 31,</w:t>
            </w:r>
          </w:p>
        </w:tc>
        <w:tc>
          <w:tcPr>
            <w:tcW w:w="23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Quarter-on-</w:t>
              <w:br/>
              <w:t>Quarter</w:t>
              <w:br/>
              <w:t>Change</w:t>
            </w:r>
          </w:p>
        </w:tc>
        <w:tc>
          <w:tcPr>
            <w:tcW w:w="23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7" w:type="dxa"/>
            <w:gridSpan w:val="6"/>
            <w:tcBorders/>
            <w:vAlign w:val="center"/>
          </w:tcPr>
          <w:p>
            <w:pPr>
              <w:pStyle w:val="TableContents"/>
              <w:bidi w:val="0"/>
              <w:spacing w:before="0" w:after="283"/>
              <w:jc w:val="center"/>
              <w:rPr>
                <w:b/>
              </w:rPr>
            </w:pPr>
            <w:r>
              <w:rPr>
                <w:b/>
              </w:rPr>
              <w:t>(Rand Thousands)</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ind w:left="0" w:right="0" w:hanging="180"/>
              <w:jc w:val="left"/>
              <w:rPr/>
            </w:pPr>
            <w:r>
              <w:rPr/>
              <w:t> </w:t>
            </w:r>
          </w:p>
        </w:tc>
      </w:tr>
      <w:tr>
        <w:trPr/>
        <w:tc>
          <w:tcPr>
            <w:tcW w:w="4055" w:type="dxa"/>
            <w:tcBorders/>
            <w:shd w:fill="CCEEFF" w:val="clear"/>
            <w:vAlign w:val="center"/>
          </w:tcPr>
          <w:p>
            <w:pPr>
              <w:pStyle w:val="TableContents"/>
              <w:bidi w:val="0"/>
              <w:spacing w:before="0" w:after="283"/>
              <w:jc w:val="left"/>
              <w:rPr/>
            </w:pPr>
            <w:r>
              <w:rPr/>
              <w:t>Total revenue as reported</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21" w:type="dxa"/>
            <w:tcBorders/>
            <w:shd w:fill="CCEEFF" w:val="clear"/>
            <w:vAlign w:val="center"/>
          </w:tcPr>
          <w:p>
            <w:pPr>
              <w:pStyle w:val="TableContents"/>
              <w:bidi w:val="0"/>
              <w:spacing w:before="0" w:after="283"/>
              <w:jc w:val="right"/>
              <w:rPr/>
            </w:pPr>
            <w:r>
              <w:rPr/>
              <w:t>1,040,213</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859,282</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21</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4055" w:type="dxa"/>
            <w:tcBorders/>
            <w:shd w:fill="FFFFFF" w:val="clear"/>
            <w:vAlign w:val="center"/>
          </w:tcPr>
          <w:p>
            <w:pPr>
              <w:pStyle w:val="TableContents"/>
              <w:bidi w:val="0"/>
              <w:spacing w:before="0" w:after="283"/>
              <w:jc w:val="left"/>
              <w:rPr/>
            </w:pPr>
            <w:r>
              <w:rPr/>
              <w:t>Conversion impact of other currencies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21" w:type="dxa"/>
            <w:tcBorders>
              <w:bottom w:val="single" w:sz="12" w:space="0" w:color="000000"/>
            </w:tcBorders>
            <w:shd w:fill="FFFFFF" w:val="clear"/>
            <w:tcMar>
              <w:bottom w:w="28" w:type="dxa"/>
            </w:tcMar>
            <w:vAlign w:val="center"/>
          </w:tcPr>
          <w:p>
            <w:pPr>
              <w:pStyle w:val="TableContents"/>
              <w:bidi w:val="0"/>
              <w:spacing w:before="0" w:after="283"/>
              <w:jc w:val="right"/>
              <w:rPr/>
            </w:pPr>
            <w:r>
              <w:rPr/>
              <w:t>(32,661</w:t>
            </w:r>
          </w:p>
        </w:tc>
        <w:tc>
          <w:tcPr>
            <w:tcW w:w="128" w:type="dxa"/>
            <w:tcBorders/>
            <w:shd w:fill="FFFFFF" w:val="clear"/>
            <w:vAlign w:val="center"/>
          </w:tcPr>
          <w:p>
            <w:pPr>
              <w:pStyle w:val="TableContents"/>
              <w:bidi w:val="0"/>
              <w:spacing w:before="0" w:after="283"/>
              <w:jc w:val="lef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055" w:type="dxa"/>
            <w:tcBorders/>
            <w:shd w:fill="CCEEFF" w:val="clear"/>
            <w:vAlign w:val="center"/>
          </w:tcPr>
          <w:p>
            <w:pPr>
              <w:pStyle w:val="TableContents"/>
              <w:bidi w:val="0"/>
              <w:spacing w:before="0" w:after="283"/>
              <w:jc w:val="left"/>
              <w:rPr/>
            </w:pPr>
            <w:r>
              <w:rPr/>
              <w:t>Total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21" w:type="dxa"/>
            <w:tcBorders>
              <w:bottom w:val="double" w:sz="10" w:space="0" w:color="000000"/>
            </w:tcBorders>
            <w:shd w:fill="CCEEFF" w:val="clear"/>
            <w:tcMar>
              <w:bottom w:w="28" w:type="dxa"/>
            </w:tcMar>
            <w:vAlign w:val="center"/>
          </w:tcPr>
          <w:p>
            <w:pPr>
              <w:pStyle w:val="TableContents"/>
              <w:bidi w:val="0"/>
              <w:spacing w:before="0" w:after="283"/>
              <w:jc w:val="right"/>
              <w:rPr/>
            </w:pPr>
            <w:r>
              <w:rPr/>
              <w:t>1,007,552</w:t>
            </w:r>
          </w:p>
        </w:tc>
        <w:tc>
          <w:tcPr>
            <w:tcW w:w="1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double" w:sz="10" w:space="0" w:color="000000"/>
            </w:tcBorders>
            <w:shd w:fill="CCEEFF" w:val="clear"/>
            <w:tcMar>
              <w:bottom w:w="28" w:type="dxa"/>
            </w:tcMar>
            <w:vAlign w:val="center"/>
          </w:tcPr>
          <w:p>
            <w:pPr>
              <w:pStyle w:val="TableContents"/>
              <w:bidi w:val="0"/>
              <w:spacing w:before="0" w:after="283"/>
              <w:jc w:val="right"/>
              <w:rPr/>
            </w:pPr>
            <w:r>
              <w:rPr/>
              <w:t>859,282</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double" w:sz="10" w:space="0" w:color="000000"/>
            </w:tcBorders>
            <w:shd w:fill="CCEEFF" w:val="clear"/>
            <w:tcMar>
              <w:bottom w:w="28" w:type="dxa"/>
            </w:tcMar>
            <w:vAlign w:val="center"/>
          </w:tcPr>
          <w:p>
            <w:pPr>
              <w:pStyle w:val="TableContents"/>
              <w:bidi w:val="0"/>
              <w:spacing w:before="0" w:after="283"/>
              <w:jc w:val="right"/>
              <w:rPr/>
            </w:pPr>
            <w:r>
              <w:rPr/>
              <w:t>17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REVENUE</w:t>
      </w:r>
    </w:p>
    <w:p>
      <w:pPr>
        <w:pStyle w:val="TextBody"/>
        <w:bidi w:val="0"/>
        <w:spacing w:before="0" w:after="0"/>
        <w:ind w:left="0" w:right="0" w:hanging="0"/>
        <w:jc w:val="left"/>
        <w:rPr>
          <w:caps w:val="false"/>
          <w:smallCaps w:val="false"/>
        </w:rPr>
      </w:pPr>
      <w:r>
        <w:rPr>
          <w:caps w:val="false"/>
          <w:smallCaps w:val="false"/>
        </w:rPr>
        <w:t> </w:t>
      </w:r>
    </w:p>
    <w:tbl>
      <w:tblPr>
        <w:tblW w:w="8872" w:type="dxa"/>
        <w:jc w:val="left"/>
        <w:tblInd w:w="0" w:type="dxa"/>
        <w:tblLayout w:type="fixed"/>
        <w:tblCellMar>
          <w:top w:w="0" w:type="dxa"/>
          <w:left w:w="0" w:type="dxa"/>
          <w:bottom w:w="0" w:type="dxa"/>
          <w:right w:w="0" w:type="dxa"/>
        </w:tblCellMar>
      </w:tblPr>
      <w:tblGrid>
        <w:gridCol w:w="4745"/>
        <w:gridCol w:w="60"/>
        <w:gridCol w:w="68"/>
        <w:gridCol w:w="1122"/>
        <w:gridCol w:w="108"/>
        <w:gridCol w:w="68"/>
        <w:gridCol w:w="68"/>
        <w:gridCol w:w="1122"/>
        <w:gridCol w:w="68"/>
        <w:gridCol w:w="68"/>
        <w:gridCol w:w="214"/>
        <w:gridCol w:w="931"/>
        <w:gridCol w:w="23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August 31,</w:t>
            </w:r>
          </w:p>
        </w:tc>
        <w:tc>
          <w:tcPr>
            <w:tcW w:w="23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Year-on-</w:t>
              <w:br/>
              <w:t>Year</w:t>
              <w:br/>
              <w:t>Change</w:t>
            </w:r>
          </w:p>
        </w:tc>
        <w:tc>
          <w:tcPr>
            <w:tcW w:w="23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6" w:type="dxa"/>
            <w:gridSpan w:val="6"/>
            <w:tcBorders/>
            <w:vAlign w:val="center"/>
          </w:tcPr>
          <w:p>
            <w:pPr>
              <w:pStyle w:val="TableContents"/>
              <w:bidi w:val="0"/>
              <w:spacing w:before="0" w:after="283"/>
              <w:jc w:val="center"/>
              <w:rPr>
                <w:b/>
              </w:rPr>
            </w:pPr>
            <w:r>
              <w:rPr>
                <w:b/>
              </w:rPr>
              <w:t>(Rand Thousands)</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Subscription revenue as reported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1,696,728</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1,443,119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18</w:t>
            </w:r>
          </w:p>
        </w:tc>
        <w:tc>
          <w:tcPr>
            <w:tcW w:w="23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Conversion impact of other currencies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FFFFFF" w:val="clear"/>
            <w:tcMar>
              <w:bottom w:w="28" w:type="dxa"/>
            </w:tcMar>
            <w:vAlign w:val="center"/>
          </w:tcPr>
          <w:p>
            <w:pPr>
              <w:pStyle w:val="TableContents"/>
              <w:bidi w:val="0"/>
              <w:spacing w:before="0" w:after="283"/>
              <w:jc w:val="right"/>
              <w:rPr/>
            </w:pPr>
            <w:r>
              <w:rPr/>
              <w:t>(71,029</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Subscription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double" w:sz="10" w:space="0" w:color="000000"/>
            </w:tcBorders>
            <w:shd w:fill="CCEEFF" w:val="clear"/>
            <w:tcMar>
              <w:bottom w:w="28" w:type="dxa"/>
            </w:tcMar>
            <w:vAlign w:val="center"/>
          </w:tcPr>
          <w:p>
            <w:pPr>
              <w:pStyle w:val="TableContents"/>
              <w:bidi w:val="0"/>
              <w:spacing w:before="0" w:after="283"/>
              <w:jc w:val="right"/>
              <w:rPr/>
            </w:pPr>
            <w:r>
              <w:rPr/>
              <w:t>1,625,699</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double" w:sz="10" w:space="0" w:color="000000"/>
            </w:tcBorders>
            <w:shd w:fill="CCEEFF" w:val="clear"/>
            <w:tcMar>
              <w:bottom w:w="28" w:type="dxa"/>
            </w:tcMar>
            <w:vAlign w:val="center"/>
          </w:tcPr>
          <w:p>
            <w:pPr>
              <w:pStyle w:val="TableContents"/>
              <w:bidi w:val="0"/>
              <w:spacing w:before="0" w:after="283"/>
              <w:jc w:val="right"/>
              <w:rPr/>
            </w:pPr>
            <w:r>
              <w:rPr/>
              <w:t>1,443,119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double" w:sz="10" w:space="0" w:color="000000"/>
            </w:tcBorders>
            <w:shd w:fill="CCEEFF" w:val="clear"/>
            <w:tcMar>
              <w:bottom w:w="28" w:type="dxa"/>
            </w:tcMar>
            <w:vAlign w:val="center"/>
          </w:tcPr>
          <w:p>
            <w:pPr>
              <w:pStyle w:val="TableContents"/>
              <w:bidi w:val="0"/>
              <w:spacing w:before="0" w:after="283"/>
              <w:jc w:val="right"/>
              <w:rPr/>
            </w:pPr>
            <w:r>
              <w:rPr/>
              <w:t>13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p>
      <w:pPr>
        <w:pStyle w:val="TextBody"/>
        <w:bidi w:val="0"/>
        <w:spacing w:before="0" w:after="0"/>
        <w:ind w:left="0" w:right="0" w:hanging="0"/>
        <w:jc w:val="left"/>
        <w:rPr>
          <w:caps w:val="false"/>
          <w:smallCaps w:val="false"/>
        </w:rPr>
      </w:pPr>
      <w:r>
        <w:rPr>
          <w:caps w:val="false"/>
          <w:smallCaps w:val="false"/>
        </w:rPr>
        <w:t> </w:t>
      </w:r>
    </w:p>
    <w:tbl>
      <w:tblPr>
        <w:tblW w:w="8182" w:type="dxa"/>
        <w:jc w:val="left"/>
        <w:tblInd w:w="0" w:type="dxa"/>
        <w:tblLayout w:type="fixed"/>
        <w:tblCellMar>
          <w:top w:w="0" w:type="dxa"/>
          <w:left w:w="0" w:type="dxa"/>
          <w:bottom w:w="0" w:type="dxa"/>
          <w:right w:w="0" w:type="dxa"/>
        </w:tblCellMar>
      </w:tblPr>
      <w:tblGrid>
        <w:gridCol w:w="4055"/>
        <w:gridCol w:w="60"/>
        <w:gridCol w:w="68"/>
        <w:gridCol w:w="1122"/>
        <w:gridCol w:w="108"/>
        <w:gridCol w:w="68"/>
        <w:gridCol w:w="68"/>
        <w:gridCol w:w="1122"/>
        <w:gridCol w:w="68"/>
        <w:gridCol w:w="68"/>
        <w:gridCol w:w="214"/>
        <w:gridCol w:w="931"/>
        <w:gridCol w:w="230"/>
      </w:tblGrid>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August 31,</w:t>
            </w:r>
          </w:p>
        </w:tc>
        <w:tc>
          <w:tcPr>
            <w:tcW w:w="23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Year-on-</w:t>
              <w:br/>
              <w:t xml:space="preserve">Year </w:t>
              <w:br/>
              <w:t>Change</w:t>
            </w:r>
          </w:p>
        </w:tc>
        <w:tc>
          <w:tcPr>
            <w:tcW w:w="230" w:type="dxa"/>
            <w:tcBorders/>
            <w:vAlign w:val="center"/>
          </w:tcPr>
          <w:p>
            <w:pPr>
              <w:pStyle w:val="TableContents"/>
              <w:bidi w:val="0"/>
              <w:spacing w:before="0" w:after="283"/>
              <w:jc w:val="left"/>
              <w:rPr/>
            </w:pPr>
            <w:r>
              <w:rPr/>
              <w:t> </w:t>
            </w:r>
          </w:p>
        </w:tc>
      </w:tr>
      <w:tr>
        <w:trPr/>
        <w:tc>
          <w:tcPr>
            <w:tcW w:w="4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6" w:type="dxa"/>
            <w:gridSpan w:val="6"/>
            <w:tcBorders/>
            <w:vAlign w:val="center"/>
          </w:tcPr>
          <w:p>
            <w:pPr>
              <w:pStyle w:val="TableContents"/>
              <w:bidi w:val="0"/>
              <w:spacing w:before="0" w:after="283"/>
              <w:jc w:val="center"/>
              <w:rPr>
                <w:b/>
              </w:rPr>
            </w:pPr>
            <w:r>
              <w:rPr>
                <w:b/>
              </w:rPr>
              <w:t>(Rand Thousands)</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ind w:left="0" w:right="0" w:hanging="180"/>
              <w:jc w:val="left"/>
              <w:rPr/>
            </w:pPr>
            <w:r>
              <w:rPr/>
              <w:t> </w:t>
            </w:r>
          </w:p>
        </w:tc>
      </w:tr>
      <w:tr>
        <w:trPr/>
        <w:tc>
          <w:tcPr>
            <w:tcW w:w="4055" w:type="dxa"/>
            <w:tcBorders/>
            <w:shd w:fill="CCEEFF" w:val="clear"/>
            <w:vAlign w:val="center"/>
          </w:tcPr>
          <w:p>
            <w:pPr>
              <w:pStyle w:val="TableContents"/>
              <w:bidi w:val="0"/>
              <w:spacing w:before="0" w:after="283"/>
              <w:jc w:val="left"/>
              <w:rPr/>
            </w:pPr>
            <w:r>
              <w:rPr/>
              <w:t>Total revenue as reported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2,037,000</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1,660,719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23</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4055" w:type="dxa"/>
            <w:tcBorders/>
            <w:shd w:fill="FFFFFF" w:val="clear"/>
            <w:vAlign w:val="center"/>
          </w:tcPr>
          <w:p>
            <w:pPr>
              <w:pStyle w:val="TableContents"/>
              <w:bidi w:val="0"/>
              <w:spacing w:before="0" w:after="283"/>
              <w:jc w:val="left"/>
              <w:rPr/>
            </w:pPr>
            <w:r>
              <w:rPr/>
              <w:t>Conversion impact of other currencies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FFFFFF" w:val="clear"/>
            <w:tcMar>
              <w:bottom w:w="28" w:type="dxa"/>
            </w:tcMar>
            <w:vAlign w:val="center"/>
          </w:tcPr>
          <w:p>
            <w:pPr>
              <w:pStyle w:val="TableContents"/>
              <w:bidi w:val="0"/>
              <w:spacing w:before="0" w:after="283"/>
              <w:jc w:val="right"/>
              <w:rPr/>
            </w:pPr>
            <w:r>
              <w:rPr/>
              <w:t>(71,732</w:t>
            </w:r>
          </w:p>
        </w:tc>
        <w:tc>
          <w:tcPr>
            <w:tcW w:w="108"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055" w:type="dxa"/>
            <w:tcBorders/>
            <w:shd w:fill="CCEEFF" w:val="clear"/>
            <w:vAlign w:val="center"/>
          </w:tcPr>
          <w:p>
            <w:pPr>
              <w:pStyle w:val="TableContents"/>
              <w:bidi w:val="0"/>
              <w:spacing w:before="0" w:after="283"/>
              <w:jc w:val="left"/>
              <w:rPr/>
            </w:pPr>
            <w:r>
              <w:rPr/>
              <w:t>Total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double" w:sz="10" w:space="0" w:color="000000"/>
            </w:tcBorders>
            <w:shd w:fill="CCEEFF" w:val="clear"/>
            <w:tcMar>
              <w:bottom w:w="28" w:type="dxa"/>
            </w:tcMar>
            <w:vAlign w:val="center"/>
          </w:tcPr>
          <w:p>
            <w:pPr>
              <w:pStyle w:val="TableContents"/>
              <w:bidi w:val="0"/>
              <w:spacing w:before="0" w:after="283"/>
              <w:jc w:val="right"/>
              <w:rPr/>
            </w:pPr>
            <w:r>
              <w:rPr/>
              <w:t>1,965,268</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double" w:sz="10" w:space="0" w:color="000000"/>
            </w:tcBorders>
            <w:shd w:fill="CCEEFF" w:val="clear"/>
            <w:tcMar>
              <w:bottom w:w="28" w:type="dxa"/>
            </w:tcMar>
            <w:vAlign w:val="center"/>
          </w:tcPr>
          <w:p>
            <w:pPr>
              <w:pStyle w:val="TableContents"/>
              <w:bidi w:val="0"/>
              <w:spacing w:before="0" w:after="283"/>
              <w:jc w:val="right"/>
              <w:rPr/>
            </w:pPr>
            <w:r>
              <w:rPr/>
              <w:t>1,660,719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double" w:sz="10" w:space="0" w:color="000000"/>
            </w:tcBorders>
            <w:shd w:fill="CCEEFF" w:val="clear"/>
            <w:tcMar>
              <w:bottom w:w="28" w:type="dxa"/>
            </w:tcMar>
            <w:vAlign w:val="center"/>
          </w:tcPr>
          <w:p>
            <w:pPr>
              <w:pStyle w:val="TableContents"/>
              <w:bidi w:val="0"/>
              <w:spacing w:before="0" w:after="283"/>
              <w:jc w:val="right"/>
              <w:rPr/>
            </w:pPr>
            <w:r>
              <w:rPr/>
              <w:t>18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DEFINITIONS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earnings per share, (a non-IFRS measure) is defined as, earnings per share defined by IFRS excluding the impact of non-recurring operational expenses,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(a non-IFRS measure) as profit less finance income, plus finance costs, taxation, depreciation and amortization, plus impact of non-recurring operational expenses, if any.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Annualized Recurring Revenue (SaaS ARR)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Average Revenue per Subscriber per month (ARPU)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Cartrack Holdings </w:t>
      </w:r>
      <w:r>
        <w:rPr>
          <w:rFonts w:ascii="Times New Roman;Times;Serif" w:hAnsi="Times New Roman;Times;Serif"/>
          <w:b w:val="false"/>
          <w:i w:val="false"/>
          <w:caps w:val="false"/>
          <w:smallCaps w:val="false"/>
          <w:sz w:val="20"/>
        </w:rPr>
        <w:t>(“Cartrack”)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in accordance with IFRS.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Free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Free Cash Flow (a non-IFRS measure) as net cash generated from operating activities less purchases of property, plant and equipment. In addition to our results determined in accordance with IFRS, we believe Free Cash Flow (a non-IFRS measure), is useful in evaluating our operating performance. We believe that Free Cash Flow is a useful indicator of liquidity and the ability of the group to turn revenues into Free Cash Flow, respectively,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to net cash generated operating activities and net cash generated from operating activities as a percentage of revenue, their most directly comparable IFRS financial measure, and not to rely on any single financial measure to evaluate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of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of revenue growth and operating margin for a period of 12-months sum to greater than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are non-IFRS financial measures that are used as reference of Cartrack’s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Lifetime value (LTV of a Customer) of customer relationships to customer acquisition costs (CAC)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Lifetime value (LTV of a Subscriber), cost of acquiring a subscriber (CAS) and </w:t>
      </w:r>
      <w:r>
        <w:rPr>
          <w:rFonts w:ascii="Times New Roman;Times;Serif" w:hAnsi="Times New Roman;Times;Serif"/>
          <w:b w:val="false"/>
          <w:i w:val="false"/>
          <w:caps w:val="false"/>
          <w:smallCaps w:val="false"/>
          <w:sz w:val="20"/>
        </w:rPr>
        <w:t>cost of servicing a subscriber (CSS)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CAS, which is calculated on a per subscriber basis, as (i) sales and marketing expenses, plus (ii) sales commissions, plus (iii) cost of installing IoT equipment, divided by (iv) the average subscriber base for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our long-term unit economics operational profit by multiplying i) the product of the expected life cycle of a subscriber on our connected cloud by ARPU, minus ii) CAS added to the product of the expected life cycle of a subscriber on our connected cloud by CSS.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announcement. In addition, even if our results of operations, financial condition and liquidity, the development of the industry in which we operate and the effect of acquisitions on us are consistent with the forward-looking statements contained in this announcement, those results or developments may not be indicative of results or developments in subsequent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performance or achievements to differ materially from those expressed or implied by these forward-looking statements are disclosed under the “Risk Factors” and “Cautionary Statement Regarding Forward-Looking Statements” sections of our latest Annual Report on Form 20-F filed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 titled measures used by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and Trade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 our business operations. Solely for convenience, trademarks and trade names referred to in this announcement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7985</Words>
  <Characters>44880</Characters>
  <CharactersWithSpaces>54194</CharactersWithSpaces>
  <Paragraphs>4071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