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18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6"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Y4600W108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 w:lineRule="exact"/>
        <w:rPr>
          <w:rFonts w:ascii="MS PGothic" w:cs="MS PGothic" w:eastAsia="MS PGothic" w:hAnsi="MS PGothic"/>
          <w:sz w:val="18"/>
          <w:szCs w:val="18"/>
          <w:color w:val="auto"/>
        </w:rPr>
      </w:pPr>
    </w:p>
    <w:p>
      <w:pPr>
        <w:jc w:val="both"/>
        <w:ind w:right="9960" w:firstLine="8"/>
        <w:spacing w:after="0" w:line="229" w:lineRule="exact"/>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20" w:firstLine="8"/>
        <w:spacing w:after="0" w:line="195" w:lineRule="auto"/>
        <w:tabs>
          <w:tab w:leader="none" w:pos="121"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 w:name="page2"/>
    <w:bookmarkEnd w:id="1"/>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2 of 9</w:t>
      </w:r>
    </w:p>
    <w:p>
      <w:pPr>
        <w:spacing w:after="0" w:line="387" w:lineRule="exact"/>
        <w:rPr>
          <w:sz w:val="20"/>
          <w:szCs w:val="20"/>
          <w:color w:val="auto"/>
        </w:rPr>
      </w:pPr>
    </w:p>
    <w:p>
      <w:pPr>
        <w:ind w:left="960" w:hanging="85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Gobi Capital LLC</w:t>
      </w:r>
    </w:p>
    <w:p>
      <w:pPr>
        <w:spacing w:after="0" w:line="31" w:lineRule="exact"/>
        <w:rPr>
          <w:rFonts w:ascii="Times New Roman" w:cs="Times New Roman" w:eastAsia="Times New Roman" w:hAnsi="Times New Roman"/>
          <w:sz w:val="18"/>
          <w:szCs w:val="18"/>
          <w:color w:val="auto"/>
        </w:rPr>
      </w:pPr>
    </w:p>
    <w:p>
      <w:pPr>
        <w:ind w:left="960" w:right="5320" w:hanging="855"/>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340" w:hanging="384"/>
        <w:spacing w:after="0" w:line="207" w:lineRule="exact"/>
        <w:tabs>
          <w:tab w:leader="none" w:pos="13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340" w:hanging="384"/>
        <w:spacing w:after="0" w:line="207" w:lineRule="exact"/>
        <w:tabs>
          <w:tab w:leader="none" w:pos="134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6"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31" w:lineRule="exact"/>
        <w:rPr>
          <w:rFonts w:ascii="Times New Roman" w:cs="Times New Roman" w:eastAsia="Times New Roman" w:hAnsi="Times New Roman"/>
          <w:sz w:val="18"/>
          <w:szCs w:val="18"/>
          <w:color w:val="auto"/>
        </w:rPr>
      </w:pPr>
    </w:p>
    <w:p>
      <w:pPr>
        <w:ind w:left="2340" w:hanging="777"/>
        <w:spacing w:after="0"/>
        <w:tabs>
          <w:tab w:leader="none" w:pos="23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3"/>
        </w:trPr>
        <w:tc>
          <w:tcPr>
            <w:tcW w:w="1460" w:type="dxa"/>
            <w:vAlign w:val="bottom"/>
            <w:gridSpan w:val="2"/>
            <w:vMerge w:val="continue"/>
          </w:tcPr>
          <w:p>
            <w:pPr>
              <w:spacing w:after="0"/>
              <w:rPr>
                <w:sz w:val="7"/>
                <w:szCs w:val="7"/>
                <w:color w:val="auto"/>
              </w:rPr>
            </w:pPr>
          </w:p>
        </w:tc>
        <w:tc>
          <w:tcPr>
            <w:tcW w:w="8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Pr>
          <w:p>
            <w:pPr>
              <w:spacing w:after="0"/>
              <w:rPr>
                <w:sz w:val="18"/>
                <w:szCs w:val="18"/>
                <w:color w:val="auto"/>
              </w:rPr>
            </w:pP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2,206,155</w:t>
            </w:r>
          </w:p>
        </w:tc>
        <w:tc>
          <w:tcPr>
            <w:tcW w:w="0" w:type="dxa"/>
            <w:vAlign w:val="bottom"/>
          </w:tcPr>
          <w:p>
            <w:pPr>
              <w:spacing w:after="0"/>
              <w:rPr>
                <w:sz w:val="1"/>
                <w:szCs w:val="1"/>
                <w:color w:val="auto"/>
              </w:rPr>
            </w:pPr>
          </w:p>
        </w:tc>
      </w:tr>
      <w:tr>
        <w:trPr>
          <w:trHeight w:val="126"/>
        </w:trPr>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60" w:type="dxa"/>
            <w:vAlign w:val="bottom"/>
            <w:gridSpan w:val="2"/>
            <w:vMerge w:val="continue"/>
          </w:tcPr>
          <w:p>
            <w:pPr>
              <w:spacing w:after="0"/>
              <w:rPr>
                <w:sz w:val="6"/>
                <w:szCs w:val="6"/>
                <w:color w:val="auto"/>
              </w:rPr>
            </w:pPr>
          </w:p>
        </w:tc>
        <w:tc>
          <w:tcPr>
            <w:tcW w:w="8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80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Pr>
          <w:p>
            <w:pPr>
              <w:spacing w:after="0"/>
              <w:rPr>
                <w:sz w:val="18"/>
                <w:szCs w:val="18"/>
                <w:color w:val="auto"/>
              </w:rPr>
            </w:pP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tcBorders>
          </w:tcPr>
          <w:p>
            <w:pPr>
              <w:spacing w:after="0"/>
              <w:rPr>
                <w:sz w:val="12"/>
                <w:szCs w:val="12"/>
                <w:color w:val="auto"/>
              </w:rPr>
            </w:pPr>
          </w:p>
        </w:tc>
        <w:tc>
          <w:tcPr>
            <w:tcW w:w="8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60" w:type="dxa"/>
            <w:vAlign w:val="bottom"/>
            <w:gridSpan w:val="2"/>
            <w:vMerge w:val="continue"/>
          </w:tcPr>
          <w:p>
            <w:pPr>
              <w:spacing w:after="0"/>
              <w:rPr>
                <w:sz w:val="6"/>
                <w:szCs w:val="6"/>
                <w:color w:val="auto"/>
              </w:rPr>
            </w:pPr>
          </w:p>
        </w:tc>
        <w:tc>
          <w:tcPr>
            <w:tcW w:w="8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2,206,155</w:t>
            </w:r>
          </w:p>
        </w:tc>
        <w:tc>
          <w:tcPr>
            <w:tcW w:w="0" w:type="dxa"/>
            <w:vAlign w:val="bottom"/>
          </w:tcPr>
          <w:p>
            <w:pPr>
              <w:spacing w:after="0"/>
              <w:rPr>
                <w:sz w:val="1"/>
                <w:szCs w:val="1"/>
                <w:color w:val="auto"/>
              </w:rPr>
            </w:pPr>
          </w:p>
        </w:tc>
      </w:tr>
      <w:tr>
        <w:trPr>
          <w:trHeight w:val="228"/>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108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2,206,155</w:t>
            </w:r>
          </w:p>
        </w:tc>
        <w:tc>
          <w:tcPr>
            <w:tcW w:w="8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10.</w:t>
            </w:r>
          </w:p>
        </w:tc>
        <w:tc>
          <w:tcPr>
            <w:tcW w:w="10880" w:type="dxa"/>
            <w:vAlign w:val="bottom"/>
            <w:gridSpan w:val="3"/>
          </w:tcPr>
          <w:p>
            <w:pPr>
              <w:ind w:left="600"/>
              <w:spacing w:after="0" w:line="156" w:lineRule="exact"/>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70"/>
        </w:trPr>
        <w:tc>
          <w:tcPr>
            <w:tcW w:w="3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(see instructions)</w:t>
            </w:r>
          </w:p>
        </w:tc>
        <w:tc>
          <w:tcPr>
            <w:tcW w:w="898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8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6"/>
              </w:rPr>
              <w:t>7.13%</w:t>
            </w:r>
          </w:p>
        </w:tc>
        <w:tc>
          <w:tcPr>
            <w:tcW w:w="80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108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3 of 9</w:t>
      </w:r>
    </w:p>
    <w:p>
      <w:pPr>
        <w:spacing w:after="0" w:line="374" w:lineRule="exact"/>
        <w:rPr>
          <w:sz w:val="20"/>
          <w:szCs w:val="20"/>
          <w:color w:val="auto"/>
        </w:rPr>
      </w:pPr>
    </w:p>
    <w:p>
      <w:pPr>
        <w:ind w:left="960" w:hanging="85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 Shan</w:t>
      </w:r>
    </w:p>
    <w:p>
      <w:pPr>
        <w:spacing w:after="0" w:line="31" w:lineRule="exact"/>
        <w:rPr>
          <w:rFonts w:ascii="Times New Roman" w:cs="Times New Roman" w:eastAsia="Times New Roman" w:hAnsi="Times New Roman"/>
          <w:sz w:val="18"/>
          <w:szCs w:val="18"/>
          <w:color w:val="auto"/>
        </w:rPr>
      </w:pPr>
    </w:p>
    <w:p>
      <w:pPr>
        <w:ind w:left="960" w:right="5320" w:hanging="855"/>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ind w:left="1340" w:hanging="384"/>
        <w:spacing w:after="0" w:line="207" w:lineRule="exact"/>
        <w:tabs>
          <w:tab w:leader="none" w:pos="13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340" w:hanging="384"/>
        <w:spacing w:after="0" w:line="207" w:lineRule="exact"/>
        <w:tabs>
          <w:tab w:leader="none" w:pos="134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7" w:lineRule="exact"/>
        <w:rPr>
          <w:rFonts w:ascii="Times New Roman" w:cs="Times New Roman" w:eastAsia="Times New Roman" w:hAnsi="Times New Roman"/>
          <w:sz w:val="18"/>
          <w:szCs w:val="18"/>
          <w:color w:val="auto"/>
        </w:rPr>
      </w:pPr>
    </w:p>
    <w:p>
      <w:pPr>
        <w:ind w:left="960" w:hanging="85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16"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w:t>
      </w:r>
    </w:p>
    <w:p>
      <w:pPr>
        <w:spacing w:after="0" w:line="31" w:lineRule="exact"/>
        <w:rPr>
          <w:rFonts w:ascii="Times New Roman" w:cs="Times New Roman" w:eastAsia="Times New Roman" w:hAnsi="Times New Roman"/>
          <w:sz w:val="18"/>
          <w:szCs w:val="18"/>
          <w:color w:val="auto"/>
        </w:rPr>
      </w:pPr>
    </w:p>
    <w:p>
      <w:pPr>
        <w:ind w:left="2340" w:hanging="777"/>
        <w:spacing w:after="0"/>
        <w:tabs>
          <w:tab w:leader="none" w:pos="23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-1253490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80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83"/>
        </w:trPr>
        <w:tc>
          <w:tcPr>
            <w:tcW w:w="1460" w:type="dxa"/>
            <w:vAlign w:val="bottom"/>
            <w:gridSpan w:val="2"/>
            <w:vMerge w:val="continue"/>
          </w:tcPr>
          <w:p>
            <w:pPr>
              <w:spacing w:after="0"/>
              <w:rPr>
                <w:sz w:val="7"/>
                <w:szCs w:val="7"/>
                <w:color w:val="auto"/>
              </w:rPr>
            </w:pPr>
          </w:p>
        </w:tc>
        <w:tc>
          <w:tcPr>
            <w:tcW w:w="8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360" w:type="dxa"/>
            <w:vAlign w:val="bottom"/>
          </w:tcPr>
          <w:p>
            <w:pPr>
              <w:spacing w:after="0"/>
              <w:rPr>
                <w:sz w:val="12"/>
                <w:szCs w:val="12"/>
                <w:color w:val="auto"/>
              </w:rPr>
            </w:pPr>
          </w:p>
        </w:tc>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800" w:type="dxa"/>
            <w:vAlign w:val="bottom"/>
            <w:vMerge w:val="continue"/>
          </w:tcPr>
          <w:p>
            <w:pPr>
              <w:spacing w:after="0"/>
              <w:rPr>
                <w:sz w:val="12"/>
                <w:szCs w:val="12"/>
                <w:color w:val="auto"/>
              </w:rPr>
            </w:pPr>
          </w:p>
        </w:tc>
        <w:tc>
          <w:tcPr>
            <w:tcW w:w="8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800" w:type="dxa"/>
            <w:vAlign w:val="bottom"/>
          </w:tcPr>
          <w:p>
            <w:pPr>
              <w:spacing w:after="0"/>
              <w:rPr>
                <w:sz w:val="18"/>
                <w:szCs w:val="18"/>
                <w:color w:val="auto"/>
              </w:rPr>
            </w:pP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2,206,155</w:t>
            </w:r>
          </w:p>
        </w:tc>
        <w:tc>
          <w:tcPr>
            <w:tcW w:w="0" w:type="dxa"/>
            <w:vAlign w:val="bottom"/>
          </w:tcPr>
          <w:p>
            <w:pPr>
              <w:spacing w:after="0"/>
              <w:rPr>
                <w:sz w:val="1"/>
                <w:szCs w:val="1"/>
                <w:color w:val="auto"/>
              </w:rPr>
            </w:pPr>
          </w:p>
        </w:tc>
      </w:tr>
      <w:tr>
        <w:trPr>
          <w:trHeight w:val="126"/>
        </w:trPr>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800" w:type="dxa"/>
            <w:vAlign w:val="bottom"/>
            <w:tcBorders>
              <w:bottom w:val="single" w:sz="8" w:color="auto"/>
            </w:tcBorders>
          </w:tcPr>
          <w:p>
            <w:pPr>
              <w:spacing w:after="0"/>
              <w:rPr>
                <w:sz w:val="10"/>
                <w:szCs w:val="10"/>
                <w:color w:val="auto"/>
              </w:rPr>
            </w:pPr>
          </w:p>
        </w:tc>
        <w:tc>
          <w:tcPr>
            <w:tcW w:w="89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60" w:type="dxa"/>
            <w:vAlign w:val="bottom"/>
            <w:gridSpan w:val="2"/>
            <w:vMerge w:val="continue"/>
          </w:tcPr>
          <w:p>
            <w:pPr>
              <w:spacing w:after="0"/>
              <w:rPr>
                <w:sz w:val="6"/>
                <w:szCs w:val="6"/>
                <w:color w:val="auto"/>
              </w:rPr>
            </w:pPr>
          </w:p>
        </w:tc>
        <w:tc>
          <w:tcPr>
            <w:tcW w:w="8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7.</w:t>
            </w: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11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80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8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800" w:type="dxa"/>
            <w:vAlign w:val="bottom"/>
          </w:tcPr>
          <w:p>
            <w:pPr>
              <w:spacing w:after="0"/>
              <w:rPr>
                <w:sz w:val="18"/>
                <w:szCs w:val="18"/>
                <w:color w:val="auto"/>
              </w:rPr>
            </w:pP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40"/>
        </w:trPr>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800" w:type="dxa"/>
            <w:vAlign w:val="bottom"/>
            <w:tcBorders>
              <w:bottom w:val="single" w:sz="8" w:color="auto"/>
            </w:tcBorders>
          </w:tcPr>
          <w:p>
            <w:pPr>
              <w:spacing w:after="0"/>
              <w:rPr>
                <w:sz w:val="12"/>
                <w:szCs w:val="12"/>
                <w:color w:val="auto"/>
              </w:rPr>
            </w:pPr>
          </w:p>
        </w:tc>
        <w:tc>
          <w:tcPr>
            <w:tcW w:w="8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460" w:type="dxa"/>
            <w:vAlign w:val="bottom"/>
            <w:gridSpan w:val="2"/>
            <w:vMerge w:val="continue"/>
          </w:tcPr>
          <w:p>
            <w:pPr>
              <w:spacing w:after="0"/>
              <w:rPr>
                <w:sz w:val="6"/>
                <w:szCs w:val="6"/>
                <w:color w:val="auto"/>
              </w:rPr>
            </w:pPr>
          </w:p>
        </w:tc>
        <w:tc>
          <w:tcPr>
            <w:tcW w:w="8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2,206,155</w:t>
            </w:r>
          </w:p>
        </w:tc>
        <w:tc>
          <w:tcPr>
            <w:tcW w:w="0" w:type="dxa"/>
            <w:vAlign w:val="bottom"/>
          </w:tcPr>
          <w:p>
            <w:pPr>
              <w:spacing w:after="0"/>
              <w:rPr>
                <w:sz w:val="1"/>
                <w:szCs w:val="1"/>
                <w:color w:val="auto"/>
              </w:rPr>
            </w:pPr>
          </w:p>
        </w:tc>
      </w:tr>
      <w:tr>
        <w:trPr>
          <w:trHeight w:val="228"/>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w:t>
            </w:r>
          </w:p>
        </w:tc>
        <w:tc>
          <w:tcPr>
            <w:tcW w:w="108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2,206,155</w:t>
            </w:r>
          </w:p>
        </w:tc>
        <w:tc>
          <w:tcPr>
            <w:tcW w:w="8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10.</w:t>
            </w:r>
          </w:p>
        </w:tc>
        <w:tc>
          <w:tcPr>
            <w:tcW w:w="10880" w:type="dxa"/>
            <w:vAlign w:val="bottom"/>
            <w:gridSpan w:val="3"/>
          </w:tcPr>
          <w:p>
            <w:pPr>
              <w:ind w:left="600"/>
              <w:spacing w:after="0" w:line="156" w:lineRule="exact"/>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70"/>
        </w:trPr>
        <w:tc>
          <w:tcPr>
            <w:tcW w:w="3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(see instructions)</w:t>
            </w:r>
          </w:p>
        </w:tc>
        <w:tc>
          <w:tcPr>
            <w:tcW w:w="898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8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6"/>
              </w:rPr>
              <w:t>7.13%</w:t>
            </w:r>
          </w:p>
        </w:tc>
        <w:tc>
          <w:tcPr>
            <w:tcW w:w="80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108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4 of 9</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4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Karooooo Ltd.</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36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Harbourfront Avenue Keppel Bay Tower #14-07 Singapore 098632</w:t>
      </w:r>
    </w:p>
    <w:p>
      <w:pPr>
        <w:spacing w:after="0" w:line="15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Item 2.</w:t>
      </w:r>
    </w:p>
    <w:p>
      <w:pPr>
        <w:spacing w:after="0" w:line="14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Gobi Capital LLC and Bo Shan together the “Reporting Persons”.</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the Principal Office of the Reporting Persons</w:t>
      </w:r>
    </w:p>
    <w:p>
      <w:pPr>
        <w:spacing w:after="0" w:line="221" w:lineRule="exact"/>
        <w:rPr>
          <w:rFonts w:ascii="Times New Roman" w:cs="Times New Roman" w:eastAsia="Times New Roman" w:hAnsi="Times New Roman"/>
          <w:sz w:val="18"/>
          <w:szCs w:val="18"/>
          <w:color w:val="auto"/>
        </w:rPr>
      </w:pPr>
    </w:p>
    <w:p>
      <w:pPr>
        <w:ind w:left="660" w:right="78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909 Montgomery Street, Suite 400 San Francisco, CA 94133</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Gobi is a Delaware limited liability company. Shan is a citizen of the United States.</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Ordinary Shares, No Par Value</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Y4600W108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4" w:name="page5"/>
    <w:bookmarkEnd w:id="4"/>
    <w:p>
      <w:pPr>
        <w:ind w:left="100"/>
        <w:spacing w:after="0"/>
        <w:tabs>
          <w:tab w:leader="none" w:pos="5420" w:val="left"/>
          <w:tab w:leader="none" w:pos="10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7"/>
          <w:szCs w:val="17"/>
          <w:color w:val="auto"/>
        </w:rPr>
        <w:t>Page5 of 9</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Sec. 240.13d-1(b) or 240.13d-2(b) or (c), check whether the person filing is a:</w:t>
      </w:r>
    </w:p>
    <w:p>
      <w:pPr>
        <w:spacing w:after="0" w:line="161" w:lineRule="exact"/>
        <w:rPr>
          <w:sz w:val="20"/>
          <w:szCs w:val="20"/>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U.S.D. 78o):</w:t>
      </w:r>
    </w:p>
    <w:p>
      <w:pPr>
        <w:spacing w:after="0" w:line="6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 240.13d-1(b)(1)(ii)(E);</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 240.13d-1(b)(1)(ii)(F);</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 240.13d-1(b)(1)(ii)(G);</w:t>
      </w:r>
    </w:p>
    <w:p>
      <w:pPr>
        <w:spacing w:after="0" w:line="9"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660" w:hanging="328"/>
        <w:spacing w:after="0" w:line="215"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 240.13d-1(b)(1)(ii)(J);</w:t>
      </w:r>
    </w:p>
    <w:p>
      <w:pPr>
        <w:spacing w:after="0" w:line="10"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 240.13d-1(b)(1)(ii)(J).</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statement is being filed with respect to an aggregate of 2,206,155 shares of Ordinary Shares, resulting in beneficial ownership of Ordinary Shares as follows:</w:t>
      </w:r>
    </w:p>
    <w:p>
      <w:pPr>
        <w:spacing w:after="0" w:line="8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Gobi Capital LLC</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2,206,155.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2,206,155.</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2,206,155.</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 Shan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2,206,155.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7.13%.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to which the person has: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2,206,155.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(vii)Sole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5" w:name="page6"/>
    <w:bookmarkEnd w:id="5"/>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6 of 9</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(viii) Shared power to dispose or to direct the disposition of: 2,206,155.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340" w:hanging="332"/>
        <w:spacing w:after="0"/>
        <w:tabs>
          <w:tab w:leader="none" w:pos="34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As of the date of this Report, the aggregate beneficial ownership of the Reporting Persons had been reduced to below five percent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Gobi Capital LLC (“Gobi”), an investment adviser registered under Section 203 of the Investment Advisers Act of 1940, is deemed to be the beneficial owner of 2,206,155 shares, or 7.13% of the Ordinary Shares believed to be outstanding, as a result of acting as investment adviser to various clients. Bo Shan is the managing member of Gobi and as such is deemed to be the beneficial owner of 2,206,155 shares, or 7.13% of the Ordinary Shares believed to be outstanding. Clients of Gobi have the right to receive and the ultimate power to direct the receipt of dividends from, or the proceeds of the sale of, such securities. Gobi Master Fund, Ltd., a Cayman Islands exempted company for which Gobi acts as an investment adviser, may be deemed to beneficially own 965,079 of these 2,206,155 shares, which equates to 3.12% of the Ordinary Shares believed to be outstanding. Druid Investment Partners LP, a Delaware limited partnership for which Gobi acts as investment adviser, may be deemed to beneficially own 223,145 of these 2,206,155 shares, which equates to 0.72% of the Ordinary Shares believed to be outstanding. Gobi Concentrated Master Fund Ltd., a business company incorporated and existing under the laws of the British Virgin Islands for which Gobi acts as investment adviser, may be deemed to beneficially own 1,017,931of these 2,206,155 shares, which equates to 3.29% of the Ordinary Shares believed to be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 w:name="page7"/>
    <w:bookmarkEnd w:id="6"/>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7 of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Certification with respect to Gobi Capital LLC and Bo Shan: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Joint Filing Agreement by and between the Reporting Persons dated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 w:name="page8"/>
    <w:bookmarkEnd w:id="7"/>
    <w:p>
      <w:pPr>
        <w:spacing w:after="0"/>
        <w:tabs>
          <w:tab w:leader="none" w:pos="5420" w:val="left"/>
          <w:tab w:leader="none" w:pos="10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8 of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 L. Shan, as Managing Member of Gobi Capital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 w:name="page9"/>
    <w:bookmarkEnd w:id="8"/>
    <w:p>
      <w:pPr>
        <w:ind w:left="100"/>
        <w:spacing w:after="0"/>
        <w:tabs>
          <w:tab w:leader="none" w:pos="5420" w:val="left"/>
          <w:tab w:leader="none" w:pos="103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9 of 9</w:t>
      </w: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w:t>
      </w:r>
    </w:p>
    <w:p>
      <w:pPr>
        <w:spacing w:after="0" w:line="225"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72" w:right="439" w:bottom="1440" w:gutter="0" w:footer="0" w:header="0"/>
        </w:sectPr>
      </w:pPr>
    </w:p>
    <w:bookmarkStart w:id="9" w:name="page10"/>
    <w:bookmarkEnd w:id="9"/>
    <w:p>
      <w:pPr>
        <w:ind w:left="100"/>
        <w:spacing w:after="0"/>
        <w:tabs>
          <w:tab w:leader="none" w:pos="5420" w:val="left"/>
          <w:tab w:leader="none" w:pos="10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Y4600W108</w:t>
      </w:r>
      <w:r>
        <w:rPr>
          <w:sz w:val="20"/>
          <w:szCs w:val="20"/>
          <w:color w:val="auto"/>
        </w:rPr>
        <w:tab/>
      </w:r>
      <w:r>
        <w:rPr>
          <w:rFonts w:ascii="Times New Roman" w:cs="Times New Roman" w:eastAsia="Times New Roman" w:hAnsi="Times New Roman"/>
          <w:sz w:val="18"/>
          <w:szCs w:val="18"/>
          <w:color w:val="auto"/>
        </w:rPr>
        <w:t>13G/A</w:t>
      </w:r>
      <w:r>
        <w:rPr>
          <w:sz w:val="20"/>
          <w:szCs w:val="20"/>
          <w:color w:val="auto"/>
        </w:rPr>
        <w:tab/>
      </w:r>
      <w:r>
        <w:rPr>
          <w:rFonts w:ascii="Times New Roman" w:cs="Times New Roman" w:eastAsia="Times New Roman" w:hAnsi="Times New Roman"/>
          <w:sz w:val="18"/>
          <w:szCs w:val="18"/>
          <w:color w:val="auto"/>
        </w:rPr>
        <w:t>Page 10 of 10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Gobi Capital LLC SC 13G/A</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13G/A with respect to the common stock of Karooooo Ltd., dated as of February 14, 2024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31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 L. Shan, as Managing Member of Gobi Capital LLC</w:t>
      </w: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Bo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7545E146"/>
    <w:multiLevelType w:val="hybridMultilevel"/>
    <w:lvl w:ilvl="0">
      <w:lvlJc w:val="left"/>
      <w:lvlText w:val="(%1)"/>
      <w:numFmt w:val="lowerLetter"/>
      <w:start w:val="1"/>
    </w:lvl>
    <w:lvl w:ilvl="1">
      <w:lvlJc w:val="left"/>
      <w:lvlText w:val="%2"/>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4DB127F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5"/>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2024-02-14T20:50:53Z</dcterms:created>
  <dcterms:modified xsi:type="dcterms:W3CDTF">2024-02-14T20:50:53Z</dcterms:modified>
</cp:coreProperties>
</file>