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Ong Siew Koon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KALLANG JUNCTION</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339274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02/28/2026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Karooooo Ltd.</w:t>
              </w:r>
            </w:hyperlink>
            <w:r>
              <w:rPr/>
              <w:t xml:space="preserve"> [ </w:t>
            </w:r>
            <w:r>
              <w:rPr>
                <w:rFonts w:ascii="Times;serif" w:hAnsi="Times;serif"/>
                <w:color w:val="0000FF"/>
                <w:sz w:val="24"/>
                <w:shd w:fill="FFFFFF" w:val="clear"/>
              </w:rPr>
              <w:t>KARO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Siew Koon 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28209001ex24.htm"/>
      <w:bookmarkStart w:id="3" w:name="ksea028209001ex24"/>
      <w:bookmarkEnd w:id="2"/>
      <w:bookmarkEnd w:id="3"/>
      <w:r>
        <w:rPr>
          <w:b/>
        </w:rPr>
        <w:t>Exhibit 24</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[Anname de Villiers, Hoe Shin Goy as the undersigned’s true and lawful attorneys-in-fact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left"/>
              <w:rPr/>
            </w:pPr>
            <w:r>
              <w:rPr/>
              <w:t>execute for and on behalf of the undersigned, in the undersigned’s capacity as a reporting person pursuant to Section 16 of the Securities Exchange Act of 1934, as amended (the “Exchange Act”), and the rules thereunder of Karooooo Ltd. (the “Company”), Forms 3, 4 and 5, including any amendments thereto, in accordance with Section 16(a)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left"/>
              <w:rPr/>
            </w:pPr>
            <w:r>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left"/>
              <w:rPr/>
            </w:pPr>
            <w:r>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(5)</w:t>
            </w:r>
          </w:p>
        </w:tc>
        <w:tc>
          <w:tcPr>
            <w:tcW w:w="9940" w:type="dxa"/>
            <w:tcBorders/>
            <w:vAlign w:val="center"/>
          </w:tcPr>
          <w:p>
            <w:pPr>
              <w:pStyle w:val="TableContents"/>
              <w:bidi w:val="0"/>
              <w:spacing w:before="0" w:after="283"/>
              <w:jc w:val="left"/>
              <w:rPr/>
            </w:pPr>
            <w:r>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left"/>
              <w:rPr/>
            </w:pPr>
            <w:r>
              <w:rPr/>
              <w:t>act as an account administrator for the undersigned’s EDGAR account, including: (i) appointing, removing and replacing account administrators, account users, technical administrators and delegated entities; (ii) maintaining the security of the undersigned’s EDGAR account, including modification of access codes; (iii) maintaining, modifying and certifying the accuracy of information on the undersigned’s EDGAR account dashboard; (iv) acting as the EDGAR point of contact with respect to the undersigned’s EDGAR account; and (v) performing any other actions contemplated by Rule 10 of Regulation S-T with respect to account administrators.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ceases to be affiliated with the Company and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2 March 2026.</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995"/>
        <w:gridCol w:w="1850"/>
        <w:gridCol w:w="75"/>
      </w:tblGrid>
      <w:tr>
        <w:trPr/>
        <w:tc>
          <w:tcPr>
            <w:tcW w:w="995"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Ong Siew Koon</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Signature:</w:t>
            </w:r>
          </w:p>
        </w:tc>
        <w:tc>
          <w:tcPr>
            <w:tcW w:w="1850" w:type="dxa"/>
            <w:tcBorders>
              <w:bottom w:val="single" w:sz="12" w:space="0" w:color="000000"/>
            </w:tcBorders>
            <w:tcMar>
              <w:bottom w:w="28" w:type="dxa"/>
            </w:tcMar>
            <w:vAlign w:val="center"/>
          </w:tcPr>
          <w:p>
            <w:pPr>
              <w:pStyle w:val="TableContents"/>
              <w:bidi w:val="0"/>
              <w:spacing w:before="0" w:after="283"/>
              <w:jc w:val="left"/>
              <w:rPr/>
            </w:pPr>
            <w:r>
              <w:rPr/>
              <w:t>/s/ Ong Siew Koon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9935" TargetMode="External"/><Relationship Id="rId3" Type="http://schemas.openxmlformats.org/officeDocument/2006/relationships/hyperlink" Target="http://www.sec.gov/cgi-bin/browse-edgar?action=getcompany&amp;CIK=000182810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1165</Words>
  <Characters>6302</Characters>
  <CharactersWithSpaces>7429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