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9002-6k_karooooo.htm"/>
      <w:bookmarkStart w:id="1" w:name="ksea03090026k_karooooo"/>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br/>
        <w:t>Singapore 098632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925" w:type="dxa"/>
        <w:jc w:val="left"/>
        <w:tblInd w:w="0" w:type="dxa"/>
        <w:tblLayout w:type="fixed"/>
        <w:tblCellMar>
          <w:top w:w="0" w:type="dxa"/>
          <w:left w:w="0" w:type="dxa"/>
          <w:bottom w:w="0" w:type="dxa"/>
          <w:right w:w="0" w:type="dxa"/>
        </w:tblCellMar>
      </w:tblPr>
      <w:tblGrid>
        <w:gridCol w:w="75"/>
        <w:gridCol w:w="320"/>
        <w:gridCol w:w="545"/>
        <w:gridCol w:w="1985"/>
      </w:tblGrid>
      <w:tr>
        <w:trPr/>
        <w:tc>
          <w:tcPr>
            <w:tcW w:w="75" w:type="dxa"/>
            <w:tcBorders/>
            <w:vAlign w:val="center"/>
          </w:tcPr>
          <w:p>
            <w:pPr>
              <w:pStyle w:val="TableContents"/>
              <w:bidi w:val="0"/>
              <w:spacing w:before="0" w:after="283"/>
              <w:jc w:val="left"/>
              <w:rPr/>
            </w:pPr>
            <w:r>
              <w:rPr/>
              <w:t> </w:t>
            </w:r>
          </w:p>
        </w:tc>
        <w:tc>
          <w:tcPr>
            <w:tcW w:w="285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Ltd.</w:t>
            </w:r>
          </w:p>
        </w:tc>
      </w:tr>
      <w:tr>
        <w:trPr/>
        <w:tc>
          <w:tcPr>
            <w:tcW w:w="75" w:type="dxa"/>
            <w:tcBorders/>
            <w:vAlign w:val="center"/>
          </w:tcPr>
          <w:p>
            <w:pPr>
              <w:pStyle w:val="TableContents"/>
              <w:bidi w:val="0"/>
              <w:spacing w:before="0" w:after="283"/>
              <w:jc w:val="left"/>
              <w:rPr/>
            </w:pPr>
            <w:r>
              <w:rPr/>
              <w:t> </w:t>
            </w:r>
          </w:p>
        </w:tc>
        <w:tc>
          <w:tcPr>
            <w:tcW w:w="28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900201ex99-1.htm">
              <w:r>
                <w:rPr>
                  <w:rStyle w:val="InternetLink"/>
                  <w:rFonts w:ascii="Times New Roman;Times;Serif" w:hAnsi="Times New Roman;Times;Serif"/>
                  <w:sz w:val="20"/>
                </w:rPr>
                <w:t>Press release dated October 19, 2026 - Karooooo Ltd. Announces Second Quarter and Half-Year 2027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900201ex99-1.htm"/>
      <w:bookmarkStart w:id="3" w:name="ksea030900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573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609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Q2 Cartrack Subscription Revenue growth accelerated to 20% Y/Y reaching ZAR1,415 million and 23% growth in constant currency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Q2 ARR increased 19% Y/Y reaching ZAR5,708 million and 30% Y/Y in USD equivalent reaching USD354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Karooooo delivered record quarterly operating profit of ZAR422 million with 19% growth Y/Y despite FX headwinds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Karooooo EPS increased 18% Y/Y to ZAR9.28 (Q2 2026: ZAR7.88)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Karooooo Adjusted EPS increased 12% Y/Y to ZAR9.28 (Q2 2026: ZAR8.28)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Cartrack Subscriber growth increased 18%, reaching 2.9 million subscribers (Q2 2026: 2.5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(October 19, 2026) - Karooooo Limited (“Karooooo”) reported strong results for the period ended August 31, 2026. Karooooo owns 100% of Cartrack and 91.5% of Karooooo Logistics, (collectively,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report another quarter of acceleration. Cartrack’s constant currency subscription revenue growth increased to 23% in Q2, compared to 21% in Q1, with constant currency growth acceleration across all regions. During the quarter, we continued to balance new customer acquisition while building our cross-sell capabilities. Cartrack’s constant currency subscription revenue growth of 23% in Q2 is in the upper band of the FY 2027 outlook of 18% to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strengthening ZAR, which continues to impact contributions from most of the countries in which we operate when reporting in ZAR, Cartrack’s subscription revenue and ARR increased 20% and 19%, respectively. In constant currency, ARR increased 22% and presented in USD, ARR increased 30%, reaching USD354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Q2 operating profit increased 19% to a record ZAR422 million despite the currency headwinds.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generate strong operating cash flow and remain committed to accelerating subscription revenue growth. In Q2, free cash flow was temporarily impacted by investment in capital expenditures to support accelerated subscription revenue growth and provide a buffer against ongoing significant increases in RAM and memory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enter the second half of FY 2027, we remain focused on building on the strong momentum established in the first half of the year and on driving the adoption of AI throughout the organization,” said Zak Calisto, Group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2027 Financial Overview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Q2 2026,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0" w:right="0" w:hanging="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Cartrack’s subscriber growth </w:t>
            </w:r>
            <w:r>
              <w:rPr>
                <w:rFonts w:ascii="Times New Roman;Times;Serif" w:hAnsi="Times New Roman;Times;Serif"/>
                <w:sz w:val="20"/>
              </w:rPr>
              <w:t>increased 18% reaching 2,899,210 (Q2 2026: 2,456,989).</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Net Cartrack subscriber additions </w:t>
            </w:r>
            <w:r>
              <w:rPr>
                <w:rFonts w:ascii="Times New Roman;Times;Serif" w:hAnsi="Times New Roman;Times;Serif"/>
                <w:sz w:val="20"/>
              </w:rPr>
              <w:t>of 94,516, a record for the second quarter (Q2 2026: 70,740).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70"/>
        <w:gridCol w:w="9874"/>
      </w:tblGrid>
      <w:tr>
        <w:trPr/>
        <w:tc>
          <w:tcPr>
            <w:tcW w:w="1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increased 20% to ZAR1,418 million (Q2 2026: ZAR1,182 million).</w:t>
            </w:r>
          </w:p>
        </w:tc>
      </w:tr>
      <w:tr>
        <w:trPr/>
        <w:tc>
          <w:tcPr>
            <w:tcW w:w="1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74" w:type="dxa"/>
            <w:tcBorders/>
            <w:vAlign w:val="center"/>
          </w:tcPr>
          <w:p>
            <w:pPr>
              <w:pStyle w:val="TableContents"/>
              <w:bidi w:val="0"/>
              <w:spacing w:before="0" w:after="283"/>
              <w:jc w:val="both"/>
              <w:rPr/>
            </w:pPr>
            <w:r>
              <w:rPr/>
              <w:t> </w:t>
            </w:r>
          </w:p>
        </w:tc>
      </w:tr>
      <w:tr>
        <w:trPr/>
        <w:tc>
          <w:tcPr>
            <w:tcW w:w="1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Cartrack’s subscription revenue</w:t>
            </w:r>
            <w:r>
              <w:rPr>
                <w:rFonts w:ascii="Times New Roman;Times;Serif" w:hAnsi="Times New Roman;Times;Serif"/>
                <w:sz w:val="20"/>
              </w:rPr>
              <w:t xml:space="preserve"> increased 20% to ZAR1,415 million (Q2 2026: ZAR1,180 million).</w:t>
            </w:r>
          </w:p>
        </w:tc>
      </w:tr>
      <w:tr>
        <w:trPr/>
        <w:tc>
          <w:tcPr>
            <w:tcW w:w="1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74" w:type="dxa"/>
            <w:tcBorders/>
            <w:vAlign w:val="center"/>
          </w:tcPr>
          <w:p>
            <w:pPr>
              <w:pStyle w:val="TableContents"/>
              <w:bidi w:val="0"/>
              <w:spacing w:before="0" w:after="283"/>
              <w:jc w:val="both"/>
              <w:rPr/>
            </w:pPr>
            <w:r>
              <w:rPr/>
              <w:t> </w:t>
            </w:r>
          </w:p>
        </w:tc>
      </w:tr>
      <w:tr>
        <w:trPr/>
        <w:tc>
          <w:tcPr>
            <w:tcW w:w="1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pPr>
            <w:r>
              <w:rPr>
                <w:b/>
              </w:rPr>
              <w:t>Cartrack’s annualized recurring revenue (“ARR”)</w:t>
            </w:r>
            <w:r>
              <w:rPr/>
              <w:t xml:space="preserve"> increased 19% to ZAR5,708 million (Q2 2026: ZAR4,806 million).</w:t>
            </w:r>
          </w:p>
        </w:tc>
      </w:tr>
      <w:tr>
        <w:trPr/>
        <w:tc>
          <w:tcPr>
            <w:tcW w:w="1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74" w:type="dxa"/>
            <w:tcBorders/>
            <w:vAlign w:val="center"/>
          </w:tcPr>
          <w:p>
            <w:pPr>
              <w:pStyle w:val="TableContents"/>
              <w:bidi w:val="0"/>
              <w:spacing w:before="0" w:after="283"/>
              <w:jc w:val="both"/>
              <w:rPr/>
            </w:pPr>
            <w:r>
              <w:rPr/>
              <w:t> </w:t>
            </w:r>
          </w:p>
        </w:tc>
      </w:tr>
      <w:tr>
        <w:trPr/>
        <w:tc>
          <w:tcPr>
            <w:tcW w:w="1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left"/>
              <w:rPr/>
            </w:pPr>
            <w:r>
              <w:rPr>
                <w:b/>
              </w:rPr>
              <w:t>Karooooo Logistics’s B2B delivery-as-a-service (“DaaS”) revenue</w:t>
            </w:r>
            <w:r>
              <w:rPr/>
              <w:t xml:space="preserve"> increased 36% to ZAR189 million (Q2 2026: ZAR139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Presented in the U.S. Dollar Equivalent</w:t>
      </w:r>
      <w:r>
        <w:rPr>
          <w:rFonts w:ascii="Times New Roman;Times;Serif" w:hAnsi="Times New Roman;Times;Serif"/>
          <w:b/>
          <w:i/>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increased 31% to USD88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b/>
              </w:rPr>
              <w:t>Cartrack’s subscription revenue</w:t>
            </w:r>
            <w:r>
              <w:rPr/>
              <w:t xml:space="preserve"> increased 31% to USD88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b/>
              </w:rPr>
              <w:t>Cartrack’s ARR</w:t>
            </w:r>
            <w:r>
              <w:rPr/>
              <w:t xml:space="preserve"> increased 30% to USD354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b/>
              </w:rPr>
              <w:t>Karooooo Logistics’s DaaS</w:t>
            </w:r>
            <w:r>
              <w:rPr/>
              <w:t xml:space="preserve"> revenue increased 49% to USD12 million.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PROFITABILITY</w:t>
      </w:r>
    </w:p>
    <w:p>
      <w:pPr>
        <w:pStyle w:val="TextBody"/>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operating profit</w:t>
            </w:r>
            <w:r>
              <w:rPr>
                <w:rFonts w:ascii="Times New Roman;Times;Serif" w:hAnsi="Times New Roman;Times;Serif"/>
                <w:sz w:val="20"/>
              </w:rPr>
              <w:t xml:space="preserve"> increased 19% to ZAR422 million (Q2 2026: ZAR356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Cartrack’s operating profit </w:t>
            </w:r>
            <w:r>
              <w:rPr>
                <w:rFonts w:ascii="Times New Roman;Times;Serif" w:hAnsi="Times New Roman;Times;Serif"/>
                <w:sz w:val="20"/>
              </w:rPr>
              <w:t>increased 19% to ZAR411 million (Q2 2026: ZAR344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pPr>
            <w:r>
              <w:rPr>
                <w:b/>
              </w:rPr>
              <w:t xml:space="preserve">Cartrack’s operating profit margin </w:t>
            </w:r>
            <w:r>
              <w:rPr/>
              <w:t>was 28% (Q2 2026: 29%).</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pPr>
            <w:r>
              <w:rPr>
                <w:b/>
              </w:rPr>
              <w:t xml:space="preserve">Karooooo’s earnings per share </w:t>
            </w:r>
            <w:r>
              <w:rPr/>
              <w:t>increased 18% to ZAR9.28 (Q2 2026: ZAR7.88).</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pPr>
            <w:r>
              <w:rPr>
                <w:b/>
              </w:rPr>
              <w:t>Karooooo’s adjusted earnings per share</w:t>
            </w:r>
            <w:r>
              <w:rPr/>
              <w:t xml:space="preserve"> increased 12% to ZAR9.28 (Q2 2026: ZAR8.28).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i/>
                <w:position w:val="7"/>
                <w:sz w:val="16"/>
                <w:sz w:val="20"/>
              </w:rPr>
            </w:pPr>
            <w:r>
              <w:rPr>
                <w:rFonts w:ascii="Times New Roman;Times;Serif" w:hAnsi="Times New Roman;Times;Serif"/>
                <w:i/>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For convenience purposes only, amounts in South African rand as of August 31, 2026 have been translated to U.S. dollars using an exchange rate of ZAR 16.1159 to U.S.$1.00 (August 31, 2025: ZAR 17.6519), as set forth in the H.10 statistical release of the Board of Governors of the Federal Reserve System. These translations should not be considered representations that any such amounts have been, could have been or could be converted at that or any other exchange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2027 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both"/>
        <w:rPr>
          <w:caps w:val="false"/>
          <w:smallCaps w:val="false"/>
        </w:rPr>
      </w:pPr>
      <w:r>
        <w:rPr>
          <w:caps w:val="false"/>
          <w:smallCaps w:val="false"/>
        </w:rPr>
        <w:t> </w:t>
      </w:r>
    </w:p>
    <w:tbl>
      <w:tblPr>
        <w:tblW w:w="11840" w:type="dxa"/>
        <w:jc w:val="left"/>
        <w:tblInd w:w="0" w:type="dxa"/>
        <w:tblLayout w:type="fixed"/>
        <w:tblCellMar>
          <w:top w:w="0" w:type="dxa"/>
          <w:left w:w="0" w:type="dxa"/>
          <w:bottom w:w="0" w:type="dxa"/>
          <w:right w:w="0" w:type="dxa"/>
        </w:tblCellMar>
      </w:tblPr>
      <w:tblGrid>
        <w:gridCol w:w="1220"/>
        <w:gridCol w:w="60"/>
        <w:gridCol w:w="60"/>
        <w:gridCol w:w="980"/>
        <w:gridCol w:w="260"/>
        <w:gridCol w:w="60"/>
        <w:gridCol w:w="60"/>
        <w:gridCol w:w="980"/>
        <w:gridCol w:w="260"/>
        <w:gridCol w:w="60"/>
        <w:gridCol w:w="121"/>
        <w:gridCol w:w="529"/>
        <w:gridCol w:w="260"/>
        <w:gridCol w:w="60"/>
        <w:gridCol w:w="60"/>
        <w:gridCol w:w="875"/>
        <w:gridCol w:w="260"/>
        <w:gridCol w:w="60"/>
        <w:gridCol w:w="60"/>
        <w:gridCol w:w="800"/>
        <w:gridCol w:w="260"/>
        <w:gridCol w:w="60"/>
        <w:gridCol w:w="121"/>
        <w:gridCol w:w="529"/>
        <w:gridCol w:w="260"/>
        <w:gridCol w:w="60"/>
        <w:gridCol w:w="60"/>
        <w:gridCol w:w="980"/>
        <w:gridCol w:w="260"/>
        <w:gridCol w:w="60"/>
        <w:gridCol w:w="60"/>
        <w:gridCol w:w="980"/>
        <w:gridCol w:w="260"/>
        <w:gridCol w:w="60"/>
        <w:gridCol w:w="121"/>
        <w:gridCol w:w="529"/>
        <w:gridCol w:w="95"/>
      </w:tblGrid>
      <w:tr>
        <w:trPr/>
        <w:tc>
          <w:tcPr>
            <w:tcW w:w="12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465"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Three Months Ended August 31,</w:t>
            </w:r>
          </w:p>
        </w:tc>
        <w:tc>
          <w:tcPr>
            <w:tcW w:w="95" w:type="dxa"/>
            <w:tcBorders/>
            <w:vAlign w:val="center"/>
          </w:tcPr>
          <w:p>
            <w:pPr>
              <w:pStyle w:val="TableContents"/>
              <w:bidi w:val="0"/>
              <w:spacing w:before="0" w:after="283"/>
              <w:ind w:left="0" w:right="0" w:hanging="180"/>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Logistics</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Consolidated</w:t>
            </w:r>
          </w:p>
        </w:tc>
        <w:tc>
          <w:tcPr>
            <w:tcW w:w="9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95"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Subscription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1,414,727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1,179,622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3,372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2,662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1,418,099</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1,182,284</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revenue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36,109</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24,865</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45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b/>
              </w:rPr>
            </w:pPr>
            <w:r>
              <w:rPr>
                <w:b/>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36,109</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24,865</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Delivery service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186,005</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136,745</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186,005</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136,745</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b/>
              </w:rPr>
            </w:pPr>
            <w:r>
              <w:rPr>
                <w:b/>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1,450,836</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1,204,487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189,377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139,407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1,640,213</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1,343,894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w:t>
            </w:r>
          </w:p>
        </w:tc>
        <w:tc>
          <w:tcPr>
            <w:tcW w:w="95" w:type="dxa"/>
            <w:tcBorders/>
            <w:shd w:fill="FFFFFF" w:val="clear"/>
            <w:vAlign w:val="center"/>
          </w:tcPr>
          <w:p>
            <w:pPr>
              <w:pStyle w:val="TableContents"/>
              <w:bidi w:val="0"/>
              <w:spacing w:before="0" w:after="283"/>
              <w:ind w:left="0" w:right="0" w:hanging="180"/>
              <w:jc w:val="left"/>
              <w:rPr>
                <w:b/>
              </w:rPr>
            </w:pPr>
            <w:r>
              <w:rPr>
                <w:b/>
              </w:rPr>
              <w:t>%</w:t>
            </w:r>
          </w:p>
        </w:tc>
      </w:tr>
      <w:tr>
        <w:trPr/>
        <w:tc>
          <w:tcPr>
            <w:tcW w:w="122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(428,481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(335,649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(136,600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(95,811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43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(565,081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(431,460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1,022,355</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868,838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52,777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43,596</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1,075,132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912,434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Gross Profit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Operating Profit/(loss)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411,088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344,328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11,234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11,693</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422,322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356,021</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Operating Profit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b/>
              </w:rPr>
            </w:pPr>
            <w:r>
              <w:rPr>
                <w:b/>
              </w:rPr>
              <w:t>Adjusted EBITDA (a non-IFRS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663,194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558,651</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b/>
              </w:rPr>
            </w:pPr>
            <w:r>
              <w:rPr>
                <w:b/>
              </w:rPr>
              <w:t>19</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11,987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12,337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b/>
              </w:rPr>
            </w:pPr>
            <w:r>
              <w:rPr>
                <w:b/>
              </w:rPr>
              <w:t>(3</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675,181</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570,988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b/>
              </w:rPr>
            </w:pPr>
            <w:r>
              <w:rPr>
                <w:b/>
              </w:rPr>
              <w:t>18</w:t>
            </w:r>
          </w:p>
        </w:tc>
        <w:tc>
          <w:tcPr>
            <w:tcW w:w="95" w:type="dxa"/>
            <w:tcBorders/>
            <w:shd w:fill="FFFFFF" w:val="clear"/>
            <w:vAlign w:val="center"/>
          </w:tcPr>
          <w:p>
            <w:pPr>
              <w:pStyle w:val="TableContents"/>
              <w:bidi w:val="0"/>
              <w:spacing w:before="0" w:after="283"/>
              <w:ind w:left="0" w:right="0" w:hanging="180"/>
              <w:jc w:val="left"/>
              <w:rPr>
                <w:b/>
              </w:rPr>
            </w:pPr>
            <w:r>
              <w:rPr>
                <w:b/>
              </w:rPr>
              <w:t>%</w:t>
            </w:r>
          </w:p>
        </w:tc>
      </w:tr>
      <w:tr>
        <w:trPr/>
        <w:tc>
          <w:tcPr>
            <w:tcW w:w="1220" w:type="dxa"/>
            <w:tcBorders/>
            <w:shd w:fill="CCEEFF" w:val="clear"/>
            <w:vAlign w:val="center"/>
          </w:tcPr>
          <w:p>
            <w:pPr>
              <w:pStyle w:val="TableContents"/>
              <w:bidi w:val="0"/>
              <w:spacing w:before="0" w:after="283"/>
              <w:jc w:val="left"/>
              <w:rPr>
                <w:b/>
              </w:rPr>
            </w:pPr>
            <w:r>
              <w:rPr>
                <w:b/>
              </w:rPr>
              <w:t>Adjusted EBITDA Margin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46</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46</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6</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9</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41</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42</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85"/>
        <w:gridCol w:w="7745"/>
      </w:tblGrid>
      <w:tr>
        <w:trPr/>
        <w:tc>
          <w:tcPr>
            <w:tcW w:w="18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1.</w:t>
            </w:r>
          </w:p>
        </w:tc>
        <w:tc>
          <w:tcPr>
            <w:tcW w:w="7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Other revenue is non-subscription-based revenue. Cartrack remains focused on bundled sales.</w:t>
            </w:r>
            <w:r>
              <w:rPr>
                <w:rFonts w:ascii="Times New Roman;Times;Serif" w:hAnsi="Times New Roman;Times;Serif"/>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and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revenue increased 22% to ZAR1,640 million (Q2 2026: ZAR1,344 million), and subscription revenue increased 20% to ZAR1,418 million in Q2 2027 (Q2 2026: ZAR1,182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total revenue increased 20% to ZAR1,451 million (Q2 2026: ZAR1,204 million). Cartrack’s subscription revenue increased 20% to a record ZAR1,415 million in Q2 2027 (Q2 2026: ZAR1,180 million) driven primarily by the acquisition of new customers and selling Video and the Cartrack-Tag to both new and existing customers. Subscription revenue represented 98% of Cartrack’s total revenue. On a constant currency basis, a non-IFRS measure, Cartrack’s total revenue increased 24% and subscription revenue increased 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revenue increased 36% to ZAR189 million (Q2 2026: ZAR139 million) driven by the demand for Q-commerce or “Quick-commerce” orders, a type of e-Commerce focused on ultra-fast delivery. Karooooo Logistics offers delivery-as-a-service (“DaaS”) to large enterprise customers wishing to scale and enable their Q-commerce operations through a capital light model by connecting them to an elastic fleet of third-party delivery drivers. The pace of Karooooo Logistics’s revenue growth may vary quarter to quarter as large customers invest in growing their Q-commerce businesses or driving traffic to their physical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Gross Profit and Cost of Sales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cost of sales increased 31% to ZAR565 million (Q2 2026: ZAR431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cost of sales increased 28% to ZAR428 million (Q2 2026: ZAR336 million). Cartrack’s gross profit margin was 70% (Q2 2026: 72%), and Cartrack’s subscription gross profit margin was 71% (Q2 2026: 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cost of sales increased 43% to ZAR137 million (Q2 2026: ZAR96 million) driven by the costs associated with ensuring driver availability and network expansion. Karooooo Logistics’s gross profit margin was 28% (Q2 2026: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Expenses </w:t>
      </w:r>
    </w:p>
    <w:tbl>
      <w:tblPr>
        <w:tblW w:w="6205" w:type="dxa"/>
        <w:jc w:val="left"/>
        <w:tblInd w:w="0" w:type="dxa"/>
        <w:tblLayout w:type="fixed"/>
        <w:tblCellMar>
          <w:top w:w="0" w:type="dxa"/>
          <w:left w:w="0" w:type="dxa"/>
          <w:bottom w:w="0" w:type="dxa"/>
          <w:right w:w="0" w:type="dxa"/>
        </w:tblCellMar>
      </w:tblPr>
      <w:tblGrid>
        <w:gridCol w:w="3305"/>
        <w:gridCol w:w="60"/>
        <w:gridCol w:w="60"/>
        <w:gridCol w:w="800"/>
        <w:gridCol w:w="60"/>
        <w:gridCol w:w="60"/>
        <w:gridCol w:w="60"/>
        <w:gridCol w:w="800"/>
        <w:gridCol w:w="60"/>
        <w:gridCol w:w="60"/>
        <w:gridCol w:w="121"/>
        <w:gridCol w:w="529"/>
        <w:gridCol w:w="230"/>
      </w:tblGrid>
      <w:tr>
        <w:trPr/>
        <w:tc>
          <w:tcPr>
            <w:tcW w:w="33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August 31,</w:t>
            </w:r>
          </w:p>
        </w:tc>
        <w:tc>
          <w:tcPr>
            <w:tcW w:w="230"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both"/>
              <w:rPr>
                <w:b/>
              </w:rPr>
            </w:pPr>
            <w:r>
              <w:rPr>
                <w:b/>
              </w:rPr>
              <w:t>Figures in Rand Thousands</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3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654,204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562,657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both"/>
              <w:rPr/>
            </w:pPr>
            <w:r>
              <w:rPr/>
              <w:t>- Cartrack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612,571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530,751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15</w:t>
            </w:r>
          </w:p>
        </w:tc>
        <w:tc>
          <w:tcPr>
            <w:tcW w:w="23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both"/>
              <w:rPr/>
            </w:pPr>
            <w:r>
              <w:rPr/>
              <w:t>- Karooooo Logistics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41,633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31,906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expenses increased 16% to ZAR654 million (Q2 2026: ZAR563 million). Cartrack accounted for ZAR613 million (Q2 2026: ZAR531 million) in operating expenses including investments in infrastructure and headcount to support territorial expansion within the countries in which we operate and distribution growth. Karooooo Logistics accounted for ZAR42 million (Q2 2026: ZAR32 million) of total operating expenses as we continued to invest prudently to scale Karooooo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expenses increased 16% to ZAR244 million (Q2 2026: ZAR210 million). Our strategic investment in customer acquisition is yielding the desired results and we believe positions us well for continued organic growth. As we begin to realize the benefits of this investment, we remain focused on driving further gains in new sales headcount productivity over the coming periods. Our customer lifetime value (LTV) to customer acquisition costs (CAC) ratio continues to exceed 9 times and underpins our disciplined approach to growth and customer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expenses increased 6% to ZAR265 million (Q2 2026: ZAR249 million), reflecting our ability to prudently manage costs while building infrastructure to support our future growth. We expect to increase these costs gradually on an ongoing basis to support and drive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adopting AI across our engineering and product teams, Cartrack’s R&amp;D operating expenses increased 12% to ZAR63 million (Q2 2026: ZAR56 million). We remain committed to driving AI adoption to deliver more value to our customers, more efficiently and more rapidly.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provided for expected credit losses of ZAR41 million (Q2 2026: ZAR15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expenses as a proportion of subscription revenue align with Karooooo’s long-term financial goals and reflect our continued commitment to growth at scale.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sales and marketing expenses as a percentage of Cartrack’s subscription revenue decreased to 17% (Q2 2026: 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general and administration expenses as a percentage of Cartrack’s subscription revenue decreased to 19% (Q2 2026: 21%)</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R&amp;D expenses as a percentage of Cartrack’s subscription revenue decreased to 4% (Q2 2026: 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Profit and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profit increased 19% to ZAR422 million (Q2 2026: ZAR356 million). Earnings per share increased 18% to ZAR9.28 (Q2 2026: ZAR7.88). After adjustment for the costs of the secondary offering in the previous reported period, adjusted earnings per share, a non-IFRS measure, increased 12% to ZAR9.28 (Q2 2026: ZAR8.28).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foreign exchange headwinds, Cartrack’s operating profit increased 19% to ZAR411 million (Q2 2026: ZAR344 million), and Cartrack’s operating profit margin was 28% (Q2 2026: 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costs associated with ensuring driver availability and network expansion, Karooooo Logistics’s operating profit decreased 4% to ZAR11 million (Q2 2026: ZAR12 million). Karooooo Logistics’s operating profit margin was 6% (Q2 2026: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“Basic and Diluted Earnings per Share and Adjusted Earnings per Share (a non-IFRS measure)” below for a reconciliation of adjusted earnings to basic earnings,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increased 18% to ZAR675 million (Q2 2026: ZAR571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increased 19% to ZAR663 million (Q2 2026: ZAR559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Adjusted EBITDA decreased 3% to ZAR12 million (Q2 2026: ZAR12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below for a reconciliation of Adjusted EBITDA to profit,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Half-Year 2027 Financial Overview (Unaudited)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HY 2026,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195"/>
        <w:gridCol w:w="170"/>
        <w:gridCol w:w="8585"/>
      </w:tblGrid>
      <w:tr>
        <w:trPr/>
        <w:tc>
          <w:tcPr>
            <w:tcW w:w="1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Cartrack subscribers </w:t>
            </w:r>
            <w:r>
              <w:rPr>
                <w:rFonts w:ascii="Times New Roman;Times;Serif" w:hAnsi="Times New Roman;Times;Serif"/>
                <w:sz w:val="20"/>
              </w:rPr>
              <w:t>increased 18% to 2,899,210 (HY 2026: 2,456,989).</w:t>
            </w:r>
          </w:p>
        </w:tc>
      </w:tr>
      <w:tr>
        <w:trPr/>
        <w:tc>
          <w:tcPr>
            <w:tcW w:w="1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Net Cartrack subscriber additions </w:t>
            </w:r>
            <w:r>
              <w:rPr>
                <w:rFonts w:ascii="Times New Roman;Times;Serif" w:hAnsi="Times New Roman;Times;Serif"/>
                <w:sz w:val="20"/>
              </w:rPr>
              <w:t>accelerated to 53% reaching a record of 236,988 (HY 2026: 154,753).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increased 19% to ZAR2,772 million (HY 2026: ZAR2,323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Cartrack’s subscription revenue</w:t>
            </w:r>
            <w:r>
              <w:rPr>
                <w:rFonts w:ascii="Times New Roman;Times;Serif" w:hAnsi="Times New Roman;Times;Serif"/>
                <w:sz w:val="20"/>
              </w:rPr>
              <w:t xml:space="preserve"> increased 19% to ZAR2,765 million (HY 2026: ZAR2,317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Cartrack’s annualized recurring revenue (“ARR”)</w:t>
            </w:r>
            <w:r>
              <w:rPr/>
              <w:t xml:space="preserve"> increased 19% to ZAR5,708 million (HY 2026: ZAR4,806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rPr>
              <w:t>Karooooo Logistics’s B2B delivery-as-a-service (“DaaS”) revenue</w:t>
            </w:r>
            <w:r>
              <w:rPr/>
              <w:t xml:space="preserve"> increased 41% to ZAR366 million (HY 2026: ZAR261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Presented in the U.S. Dollar Equivalent</w:t>
      </w:r>
      <w:r>
        <w:rPr>
          <w:rFonts w:ascii="Times New Roman;Times;Serif" w:hAnsi="Times New Roman;Times;Serif"/>
          <w:b/>
          <w:i/>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increased 31% to USD172 million.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b/>
              </w:rPr>
              <w:t>Cartrack’s subscription revenue</w:t>
            </w:r>
            <w:r>
              <w:rPr/>
              <w:t xml:space="preserve"> increased 31% to USD172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b/>
              </w:rPr>
              <w:t>Cartrack’s ARR</w:t>
            </w:r>
            <w:r>
              <w:rPr/>
              <w:t xml:space="preserve"> increased 30% to USD354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b/>
              </w:rPr>
              <w:t>Karooooo Logistics’s DaaS</w:t>
            </w:r>
            <w:r>
              <w:rPr/>
              <w:t xml:space="preserve"> revenue increased 54% to USD23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PROFITABILITY</w:t>
      </w:r>
    </w:p>
    <w:p>
      <w:pPr>
        <w:pStyle w:val="TextBody"/>
        <w:bidi w:val="0"/>
        <w:spacing w:before="0" w:after="0"/>
        <w:ind w:left="0" w:right="0" w:hanging="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operating profit</w:t>
            </w:r>
            <w:r>
              <w:rPr>
                <w:rFonts w:ascii="Times New Roman;Times;Serif" w:hAnsi="Times New Roman;Times;Serif"/>
                <w:sz w:val="20"/>
              </w:rPr>
              <w:t xml:space="preserve"> increased 18% to ZAR832 million (HY 2026: ZAR708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pPr>
            <w:r>
              <w:rPr>
                <w:b/>
              </w:rPr>
              <w:t>Cartrack’s operating profit</w:t>
            </w:r>
            <w:r>
              <w:rPr/>
              <w:t xml:space="preserve"> increased 17% to ZAR806 million (HY 2026: ZAR686 million).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pPr>
            <w:r>
              <w:rPr>
                <w:b/>
              </w:rPr>
              <w:t>Cartrack’s operating profit margin</w:t>
            </w:r>
            <w:r>
              <w:rPr/>
              <w:t xml:space="preserve"> was 28% (HY 2026: 29%).</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pPr>
            <w:r>
              <w:rPr>
                <w:b/>
              </w:rPr>
              <w:t>Karooooo’s adjusted earnings per share</w:t>
            </w:r>
            <w:r>
              <w:rPr/>
              <w:t xml:space="preserve"> increased 12% to ZAR18.81 (HY 2026: ZAR16.83).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i/>
                <w:position w:val="7"/>
                <w:sz w:val="16"/>
                <w:sz w:val="20"/>
              </w:rPr>
            </w:pPr>
            <w:r>
              <w:rPr>
                <w:rFonts w:ascii="Times New Roman;Times;Serif" w:hAnsi="Times New Roman;Times;Serif"/>
                <w:i/>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For convenience purposes only, amounts in South African rand as of August 31, 2026 have been translated to U.S. dollars using an exchange rate of ZAR 16.1159 to U.S.$1.00 (August 31, 2025: ZAR 17.6519), as set forth in the H.10 statistical release of the Board of Governors of the Federal Reserve System.  These translations should not be considered representations that any such amounts have been, could have been or could be converted at that or any other exchange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Half-Year 2027 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center"/>
        <w:rPr>
          <w:caps w:val="false"/>
          <w:smallCaps w:val="false"/>
        </w:rPr>
      </w:pPr>
      <w:r>
        <w:rPr>
          <w:caps w:val="false"/>
          <w:smallCaps w:val="false"/>
        </w:rPr>
        <w:t> </w:t>
      </w:r>
    </w:p>
    <w:tbl>
      <w:tblPr>
        <w:tblW w:w="11610" w:type="dxa"/>
        <w:jc w:val="left"/>
        <w:tblInd w:w="0" w:type="dxa"/>
        <w:tblLayout w:type="fixed"/>
        <w:tblCellMar>
          <w:top w:w="0" w:type="dxa"/>
          <w:left w:w="0" w:type="dxa"/>
          <w:bottom w:w="0" w:type="dxa"/>
          <w:right w:w="0" w:type="dxa"/>
        </w:tblCellMar>
      </w:tblPr>
      <w:tblGrid>
        <w:gridCol w:w="1220"/>
        <w:gridCol w:w="60"/>
        <w:gridCol w:w="60"/>
        <w:gridCol w:w="980"/>
        <w:gridCol w:w="215"/>
        <w:gridCol w:w="60"/>
        <w:gridCol w:w="60"/>
        <w:gridCol w:w="980"/>
        <w:gridCol w:w="215"/>
        <w:gridCol w:w="60"/>
        <w:gridCol w:w="121"/>
        <w:gridCol w:w="529"/>
        <w:gridCol w:w="215"/>
        <w:gridCol w:w="60"/>
        <w:gridCol w:w="60"/>
        <w:gridCol w:w="875"/>
        <w:gridCol w:w="215"/>
        <w:gridCol w:w="60"/>
        <w:gridCol w:w="60"/>
        <w:gridCol w:w="875"/>
        <w:gridCol w:w="215"/>
        <w:gridCol w:w="60"/>
        <w:gridCol w:w="121"/>
        <w:gridCol w:w="529"/>
        <w:gridCol w:w="215"/>
        <w:gridCol w:w="60"/>
        <w:gridCol w:w="60"/>
        <w:gridCol w:w="1055"/>
        <w:gridCol w:w="215"/>
        <w:gridCol w:w="60"/>
        <w:gridCol w:w="60"/>
        <w:gridCol w:w="980"/>
        <w:gridCol w:w="215"/>
        <w:gridCol w:w="60"/>
        <w:gridCol w:w="121"/>
        <w:gridCol w:w="529"/>
        <w:gridCol w:w="75"/>
      </w:tblGrid>
      <w:tr>
        <w:trPr/>
        <w:tc>
          <w:tcPr>
            <w:tcW w:w="122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0255"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Six Months Ended August 31,</w:t>
            </w:r>
          </w:p>
        </w:tc>
        <w:tc>
          <w:tcPr>
            <w:tcW w:w="75" w:type="dxa"/>
            <w:tcBorders/>
            <w:vAlign w:val="center"/>
          </w:tcPr>
          <w:p>
            <w:pPr>
              <w:pStyle w:val="TableContents"/>
              <w:bidi w:val="0"/>
              <w:spacing w:before="0" w:after="283"/>
              <w:ind w:left="0" w:right="0" w:hanging="180"/>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Logistics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Consolidated</w:t>
            </w:r>
          </w:p>
        </w:tc>
        <w:tc>
          <w:tcPr>
            <w:tcW w:w="7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2026</w:t>
            </w:r>
            <w:r>
              <w:rPr>
                <w:rFonts w:ascii="Times New Roman;Times;Serif" w:hAnsi="Times New Roman;Times;Serif"/>
                <w:sz w:val="20"/>
              </w:rPr>
              <w:t xml:space="preserve">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2025</w:t>
            </w:r>
            <w:r>
              <w:rPr>
                <w:rFonts w:ascii="Times New Roman;Times;Serif" w:hAnsi="Times New Roman;Times;Serif"/>
                <w:sz w:val="20"/>
              </w:rPr>
              <w:t xml:space="preserve">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Y-o-Y </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75"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Subscription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2,765,383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2,317,193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2,771,831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2,323,343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revenue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72,362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43,202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67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72,362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43,202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67</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Delivery service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359,967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254,366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359,967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254,366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2,837,745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2,360,395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pPr>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366,415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260,516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pPr>
            <w:r>
              <w:rPr/>
              <w:t>41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3,204,160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2,620,911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pPr>
            <w:r>
              <w:rPr/>
              <w:t>22</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(802,934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(653,953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(257,212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(181,221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(1,060,146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(835,174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2,034,811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1,706,442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109,203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79,295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38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2,144,014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1,785,737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Gross Profit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Operating Profit/(loss)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806,140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686,339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25,868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21,476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832,008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707,815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Operating Profit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b/>
              </w:rPr>
            </w:pPr>
            <w:r>
              <w:rPr>
                <w:b/>
              </w:rPr>
              <w:t>Adjusted EBITDA (a non-IFRS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1,290,073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1,091,813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27,333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22,728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1,317,406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1,114,541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b/>
              </w:rPr>
            </w:pPr>
            <w:r>
              <w:rPr>
                <w:b/>
              </w:rPr>
              <w:t>Adjusted EBITDA Margin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215"/>
        <w:gridCol w:w="7700"/>
      </w:tblGrid>
      <w:tr>
        <w:trPr/>
        <w:tc>
          <w:tcPr>
            <w:tcW w:w="215" w:type="dxa"/>
            <w:tcBorders/>
            <w:vAlign w:val="center"/>
          </w:tcPr>
          <w:p>
            <w:pPr>
              <w:pStyle w:val="TableContents"/>
              <w:bidi w:val="0"/>
              <w:spacing w:before="0" w:after="283"/>
              <w:jc w:val="left"/>
              <w:rPr>
                <w:i/>
              </w:rPr>
            </w:pPr>
            <w:r>
              <w:rPr>
                <w:i/>
              </w:rPr>
              <w:t>1.</w:t>
            </w:r>
          </w:p>
        </w:tc>
        <w:tc>
          <w:tcPr>
            <w:tcW w:w="77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Other revenue is non-subscription-based revenue. Cartrack remains focused on bundled sales.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and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revenue increased 22% to ZAR3,204 million (HY 2026: ZAR2,621 million), and subscription revenue increased 19% to ZAR2,772 million (HY 2026: ZAR2,323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Cartrack’s total revenue increased 20% to ZAR2,838 million (HY 2026: ZAR2,360 million), driven primarily by its subscription-based business model. Cartrack’s subscription revenue increased 19% to a record of ZAR2,765 million in HY 2027 (HY 2026: ZAR2,317 million). Subscription revenue represented 97% of Cartrack’s total revenue. (HY 2026: 98%).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revenue increased 41% to ZAR366 million (HY 2026: ZAR261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Gross Profit and Cost of Sales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cost of sales increased 27% to ZAR1,060 million (HY 2026: ZAR835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cost of sales increased 23% to ZAR803 million (HY 2026: ZAR654 million). Cartrack’s gross profit margin was 72% (HY 2026: 72%), and Cartrack’s subscription gross profit margin was 72% (HY 2026: 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cost of sales increased 42% to ZAR257 million (HY 2026: ZAR181 million). Karooooo Logistics’s gross profit margin was 30% (HY 2026: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3305"/>
        <w:gridCol w:w="60"/>
        <w:gridCol w:w="60"/>
        <w:gridCol w:w="980"/>
        <w:gridCol w:w="60"/>
        <w:gridCol w:w="60"/>
        <w:gridCol w:w="60"/>
        <w:gridCol w:w="980"/>
        <w:gridCol w:w="60"/>
        <w:gridCol w:w="60"/>
        <w:gridCol w:w="121"/>
        <w:gridCol w:w="529"/>
        <w:gridCol w:w="230"/>
      </w:tblGrid>
      <w:tr>
        <w:trPr/>
        <w:tc>
          <w:tcPr>
            <w:tcW w:w="33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970" w:type="dxa"/>
            <w:gridSpan w:val="10"/>
            <w:tcBorders>
              <w:bottom w:val="single" w:sz="12"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August 31,</w:t>
            </w:r>
          </w:p>
        </w:tc>
        <w:tc>
          <w:tcPr>
            <w:tcW w:w="230"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3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1,316,340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1,085,623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Cartrack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1,232,827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1,027,801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20</w:t>
            </w:r>
          </w:p>
        </w:tc>
        <w:tc>
          <w:tcPr>
            <w:tcW w:w="23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 Karooooo Logistics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83,513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57,822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expenses increased 21% to ZAR1,316 million in HY 2027 (HY 2026: ZAR1,086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accounted for ZAR1,233 million (HY 2026: ZAR1,028 million) in operating expenses including investments in infrastructure and headcount to support territorial expansion within the countries we operate in. Karooooo Logistics accounted for ZAR84 million (HY 2026: ZAR58 million) of total operating expenses as we continued to invest prudently to scale Karooooo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expenses increased 24% to ZAR482 million in HY 2027 (HY 2026: ZAR390 million). Our strategic investment in customer acquisition is yielding the desired results and positions us well for continued growth. As we begin to realize the benefits of this investment, we remain focused on driving further gains in new sales headcount productivity over the coming periods. Our customer LTV to CAC ratio continues to exceed 9 times and underpins our disciplined approach to growth and customer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expenses increased 14% to ZAR539 million (HY 2026: ZAR472 million), reflecting our ability to prudently manage costs while building infrastructure to support our future growth. We expect to increase these costs gradually on an ongoing basis to support and drive growth.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adopting AI across our engineering and product teams, Cartrack’s R&amp;D operating expenses increased 14% to ZAR133 million (HY 2026: ZAR117 million). We remain committed to driving AI adoption to deliver more value to our customers, more efficiently and more rapidly.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provided for expected credit losses of ZAR78 million (HY 2026: ZAR49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Profit and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profit increased 18% to ZAR832 million (HY 2026: ZAR708 million) and earnings per share increased 14% to ZAR18.81 (HY 2026: ZAR16.43). After taking into account the costs of the secondary offering in the previous reported period, adjusted earnings per share increased 12% to ZAR18.81 (HY 2026: ZAR16.83).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foreign exchange headwinds, Cartrack’s operating profit increased by 17% to ZAR806 million (HY 2026: ZAR686 million), and Cartrack’s operating profit margin was 28% (HY 2026: 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operating profit increased 20% to ZAR26 million (HY 2026: ZAR21 million), and as a result of the costs associated with ensuring driver availability and network expansion, Karooooo Logistics’s operating profit margin was 7% (HY 2026: 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Adjusted EBITDA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increased 18% to ZAR1,317 million (HY 2026: ZAR1,115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(a non-IFRS measure) increased 18% to ZAR1,290 million (HY 2026: ZAR1,092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Adjusted EBITDA (a non-IFRS measure) increased by 20% to ZAR27 million (HY 2026: ZAR23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below for a reconciliation of Adjusted EBITDA to profit,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an expanding and largely underpenetrated physical AI market, where strong and sustained customer demand is driven by digital transformation, the ongoing need to improve operational efficiency and reduce costs and increasing attention to safety and compliance in physical operations. Our easy-to-use, operational intelligence platform empowers our customers to improve operational efficiencies, reduce risk and enhance the safety of their physical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to date, we have delivered record net subscriber additions and healthy retention driving 22% Cartrack constant currency subscription revenue growth. We believe we are on track to accelerate Cartrack subscription revenue growth in FY 2027 as we realize the benefits of our recent investments in sales capacity. We aim to drive our growth by balancing subscriber growth with the increased adoption of Video and Cartrack-Tag. We also believe increased sales efficiency, coupled with realizing other efficiencies in the business due to scale and leveraging AI, will support strong EPS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ongoing investments in AI innovation, platform capabilities and customer experience position us to drive durable long-term growth. We remain confident that our track record of success, specifically our ability to generate healthy cash flows, is sustainable.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Cartrack’s revenue making up the majority of group revenue, the guidance below relates primarily to Cartrack and assumes constant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model our outlook on constant exchange rates based on the prior financial year, and we are maintaining our outlook for FY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guidance for FY 2027 remains unchanged: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subscription revenue between ZAR5,700 million and ZAR6,000 million, which implies subscription revenue growth between 18% and 24%;</w:t>
            </w:r>
          </w:p>
        </w:tc>
      </w:tr>
    </w:tbl>
    <w:p>
      <w:pPr>
        <w:pStyle w:val="TextBody"/>
        <w:bidi w:val="0"/>
        <w:spacing w:before="0" w:after="0"/>
        <w:ind w:left="0" w:right="0" w:hanging="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gross profit margin between 70% and 72%;</w:t>
            </w:r>
          </w:p>
        </w:tc>
      </w:tr>
    </w:tbl>
    <w:p>
      <w:pPr>
        <w:pStyle w:val="TextBody"/>
        <w:bidi w:val="0"/>
        <w:spacing w:before="0" w:after="0"/>
        <w:ind w:left="0"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operating profit margin between 27% and 30%;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Karooooo’s Earnings Per Share between ZAR38.50 and ZAR40.00, which implies EPS growth between 18% and 23% compared to FY 2026 Adjusted EPS, which excludes secondary offering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Liquidity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re-invest our earnings for customer acquisition, as of August 31, 2026, our investment in in-vehicle IoT devices increased by ZAR240 million, or 12% to ZAR2,186 million (February 28, 2026: ZAR1,946 million). Owing to our accelerated growth, increased lead times and ongoing memory price increases, IoT devices held for future use increased by ZAR332 million, or 92%, to ZAR694 million (February 28, 2026: ZAR362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commission assets increased by ZAR90 million, or 19% to ZAR560 million (February 28, 2026: ZAR470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increased by ZAR268 million to ZAR855 million (February 28, 2026: ZAR586 million), primarily driven by an acceleration in subscription sales and a ZAR57 million increase in prepayments for IoT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Debtor collection days remain within our range of historical norms at a healthy 33 days (February 28, 2026: 27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we increased our bank short-term working capital facilities as we made upfront investment in both in-vehicle IoT devices and IoT devices for future use to maintain our current momentum. The significant and ongoing increases in memory chips also contributed to the increased levels of IoT devices for future use. The investments increased by 86% to ZAR966 million (HY 2026: ZAR519 million). As a result, bank overdrafts are now considered part of our financing arrangements rather than cash management and will be classified within financing activities in the Statement of Cash Flows. At August 31, 2026, the group had finance facilities for growth initiatives and other general corporate purposes of ZAR900 million, between Capitec Bank and Standard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reported cash and cash equivalents of ZAR649 million at August 31, 2026 (February 28, 2026: ZAR1,154 million). The decrease was mainly due to dividends of ZAR752 million paid in July 2026. As we hold our cash reserves in USD, the strengthening of the ZAR also reduced the ZAR value of our cash and cash equivalents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generation remains strong, underpinned by prudent financial management and disciplined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group’s cash management policy, overseen by our capital allocation committee, Karooooo’s excess cash reserves will remain held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Free Cash Flow (a non-IFRS measure)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reported a healthy quarterly increase of 23% in cash generated from operations before working capital changes of ZAR729 million (Q2 2026: ZAR591 million), driven by strong accelerated subscription revenue growth. Net cash generated from operating activities, the most directly comparable IFRS measure, increased 109% to ZAR558 million (Q2 2026: ZAR267 million), driven by increased profit and favourable working capital movements.</w:t>
      </w:r>
    </w:p>
    <w:p>
      <w:pPr>
        <w:pStyle w:val="TextBody"/>
        <w:bidi w:val="0"/>
        <w:spacing w:before="0" w:after="0"/>
        <w:ind w:left="0" w:right="0" w:hanging="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15"/>
        <w:gridCol w:w="60"/>
        <w:gridCol w:w="85"/>
        <w:gridCol w:w="964"/>
        <w:gridCol w:w="85"/>
        <w:gridCol w:w="85"/>
        <w:gridCol w:w="85"/>
        <w:gridCol w:w="964"/>
        <w:gridCol w:w="60"/>
        <w:gridCol w:w="60"/>
        <w:gridCol w:w="60"/>
        <w:gridCol w:w="800"/>
        <w:gridCol w:w="60"/>
        <w:gridCol w:w="60"/>
        <w:gridCol w:w="60"/>
        <w:gridCol w:w="800"/>
        <w:gridCol w:w="75"/>
      </w:tblGrid>
      <w:tr>
        <w:trPr/>
        <w:tc>
          <w:tcPr>
            <w:tcW w:w="38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August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0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228" w:type="dxa"/>
            <w:gridSpan w:val="14"/>
            <w:tcBorders/>
            <w:vAlign w:val="center"/>
          </w:tcPr>
          <w:p>
            <w:pPr>
              <w:pStyle w:val="TableContents"/>
              <w:bidi w:val="0"/>
              <w:spacing w:before="0" w:after="283"/>
              <w:jc w:val="center"/>
              <w:rPr>
                <w:b/>
              </w:rPr>
            </w:pPr>
            <w:r>
              <w:rPr>
                <w:b/>
              </w:rPr>
              <w:t>(Rand Thousands)</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Free Cash Flow</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40,716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19,576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357,701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28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(a non-IFRS measure) for the three months ended August 31, 2026, was ZAR41 million (Q2 2026: ZAR20 million). This movement was mainly driven by an increase in trade and other receivables as a result of increased subscription revenue and the investment in in-vehicle IoT devices to support our growth. We have increased our PPE levels given our accelerated growth and ongoing significant increases in RAM and memory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(a non-IFRS measure) for the six months ended August 31, 2026 was ZAR100 million (HY 2026: ZAR358 million). We believe that our current PPE levels have now been adjusted for our accelerated growth and supply chain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Free Cash Flow (a non-IFRS measure) generated is in line with Karooooo’s disciplined capital allocation strategy and supports the group’s current accelerated growth and pragmatic planning for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Free Cash Flow (a non-IFRS measure)” for a reconciliation of free cash flow to net cash generated from operating activities, the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and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31, 2026, Karooooo had 30,893,300 ordinary shares issued and outstanding, and paid-up share capital of USD505,956,659 plus SGD1,000.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ZAR3.6 billion capital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ZAR27.3 million of capital reserve on the balance sheet relates to the cancellation of Karooooo’s treasury shares and ZAR11.4 million of capital reserve relates to the repurchase and cancellation of 279 ordinary shares of Karooooo Logistics, which represented 6.29% of Karooooo Logistics’s issued ordinary shares as of April 30, 2024. A further ZAR18.6 million of capital reserves relates to the repurchase and cancellation of 316 ordinary shares of Karooooo Logistics, which represented 7.60% of Karooooo Logistics’s issued ordinary shares. ZAR5.2 million relates to the repurchase and cancellation of 150 ordinary shares of Cartrack New Zealand, which represented 15% of Cartrack New Zealand’s issued ordinary shares. A further ZAR29.6 million of capital reserves relates to the repurchase and cancellation of 444 ordinary shares of Karooooo Logistics, which represented 11.55% of Karooooo Logistics’s issued ordinary shares as of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Geographical Overview for Cartrack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South Africa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18% to 2,185,798 at August 31, 2026 (August 31, 2025: 1,850,646). Q2 2027 subscription revenue growth increased 25%. The pace of growth reflects our deliberate strategy to cement our leadership position in South Africa through a balanced combination of subscriber additions and selling Video and Cartrack-Tag to our existing and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the strength of the teams we are building, which positions us well to continue to broaden our customer base and increase product adoption in South Africa. We are committed to continue building our distribution capabilities to service the demand for our products from both new customers and existing customers, and we are confident that our recent investments in operating capacity will have a positive impact on Cartrack’s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some macro-economic stress in the South African economy, we continue to see a compelling market opportunity in South Africa and are excited about the potential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the largest and fastest growing operational intelligence platform provider on the African continent.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Asia Pacific and Middle East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21% to 367,270 at August 31, 2026 (August 31, 2025: 302,892). Q2 2027 subscription revenue growth increased to 12% (25%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second largest contributor to group revenue, Southeast Asia continues to present the most compelling growth opportunity for the group in the medium to long term. We plan to continue with a strong, yet prudent drive to increase our operating capacity in Southeast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13% to 244,878 at August 31, 2026 (August 31, 2025: 215,921). Q2 2027 subscription revenue growth was 4% (14%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expand our customer base and drive our distribution capabilities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partnered with leading OEMs to provide easy access to our platform, seamlessly integrating their connected vehicle data to our platform through application programming interfaces. We expect these partnerships to contribute to our results in the medium to long term. In addition, we are experiencing encouraging demand for our proprietary compliance technology in the region as customers seek to simplify compliance with evolving legislation and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Africa (excluding South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16% to 101,264 at August 31, 2026 (August 31, 2025: 87,530). Q2 2027 subscription revenue growth was 6% (13%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region remains a positive cash generator and is strategic to support our South African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subsequent to the Second Quarter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2026, the Board approved a resolution for Cartrack Polska Sp.z o.o. to repurchase its ordinary shares in accordance with the Companies Act of Poland and to cancel the repurchased shares. As a result, the group’s effective shareholding in Cartrack Polska Sp.z o.o. increased from 90.9% to 93.5%.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the importance of investment in achieving growth at scale, and endeavours to avoid swings in dividend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aims to reinvest retained earnings to the extent that it aligns with the group’s required return on incrementally reinvested capital, return on equity, and short- to medium-term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review and amend the dividend policy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Corruption, Bribery and Whistleblowing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contact email and hotline for whistleblowing and reporters are assured of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Webinar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Zoom webinar on Tuesday, October 20, 2026 at 08:00 a.m. Eastern Time (02:00 p.m. South African time; 08:00 p.m. Singaporean time). Investors are invited to join the Zoom webinar at: https://us02web.zoom.us/j/88565158011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Webinar ID: </w:t>
      </w:r>
      <w:r>
        <w:rPr>
          <w:rFonts w:ascii="Times New Roman;Times;Serif" w:hAnsi="Times New Roman;Times;Serif"/>
          <w:b/>
          <w:i w:val="false"/>
          <w:caps w:val="false"/>
          <w:smallCaps w:val="false"/>
          <w:sz w:val="20"/>
        </w:rPr>
        <w:t xml:space="preserve">885 6515 8011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(New York) Toll-free: +1 646 558 8656</w:t>
            </w:r>
          </w:p>
        </w:tc>
      </w:tr>
    </w:tbl>
    <w:p>
      <w:pPr>
        <w:pStyle w:val="TextBody"/>
        <w:bidi w:val="0"/>
        <w:spacing w:before="0" w:after="0"/>
        <w:ind w:left="0" w:right="0" w:hanging="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17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South Africa Toll-free: +27 87 551 7702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at www.karooooo.com approximately three hours after the conclusion of the live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as issued by the IASB. The summary consolidated financial information presented has been derived from the consolidated financial statements of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digitally transforms physical operations by simplifying decision making. Its Operational Intelligence Platform serves as the central nervous system for connected operations, integrating vehicles, assets, field workforces and operational workflows into a single intelligent ecosystem. Through proprietary hardware technology and software, the platform captures, processes and analyzes real-world operational data, transforming billions of data points into actionable intelligence that helps customers make faster, better decisions across safety, productivity, compliance, cost control and service execution. Delivered through intuitive cloud-based applications, the platform combines operational visibility, workflow automation, AI-powered video intelligence and decision-support capabilities to help businesses improve performance, reduce risk and operate more efficiently.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headquartered in Singapore and services more than 125,000 commercial customers and more than 2.9 million active subscribers in more than 20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285"/>
        <w:gridCol w:w="1880"/>
      </w:tblGrid>
      <w:tr>
        <w:trPr/>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 Relations Contact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IR@karooooo.com</w:t>
            </w:r>
          </w:p>
        </w:tc>
      </w:tr>
      <w:tr>
        <w:trPr/>
        <w:tc>
          <w:tcPr>
            <w:tcW w:w="2285"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pPr>
            <w:r>
              <w:rPr/>
              <w:t> </w:t>
            </w:r>
          </w:p>
        </w:tc>
      </w:tr>
      <w:tr>
        <w:trPr/>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 Contact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media@karooooo.com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CONSOLIDATED STATEMENT OF PROFIT AND LOSS</w:t>
        <w:br/>
        <w:t>(UNAUDITED)</w:t>
      </w:r>
    </w:p>
    <w:p>
      <w:pPr>
        <w:pStyle w:val="TextBody"/>
        <w:bidi w:val="0"/>
        <w:spacing w:before="0" w:after="0"/>
        <w:ind w:left="0" w:right="0" w:hanging="0"/>
        <w:jc w:val="center"/>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4145"/>
        <w:gridCol w:w="60"/>
        <w:gridCol w:w="60"/>
        <w:gridCol w:w="980"/>
        <w:gridCol w:w="95"/>
        <w:gridCol w:w="60"/>
        <w:gridCol w:w="60"/>
        <w:gridCol w:w="980"/>
        <w:gridCol w:w="95"/>
        <w:gridCol w:w="60"/>
        <w:gridCol w:w="60"/>
        <w:gridCol w:w="1055"/>
        <w:gridCol w:w="95"/>
        <w:gridCol w:w="60"/>
        <w:gridCol w:w="60"/>
        <w:gridCol w:w="1055"/>
        <w:gridCol w:w="110"/>
      </w:tblGrid>
      <w:tr>
        <w:trPr/>
        <w:tc>
          <w:tcPr>
            <w:tcW w:w="41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775"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1,640,213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1,343,894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3,204,160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2,620,911</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(565,081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(431,460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(1,060,146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(835,174</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1,075,132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912,434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2,144,014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1,785,737</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7,701</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(654,204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(562,657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(1,316,340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(1,085,623</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(210,280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(484,024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(390,967</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(276,946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(611,147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(521,859</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(68,054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(143,215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(123,830</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Expected credit losses on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(41,036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(15,381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(77,954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(48,967</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b/>
              </w:rPr>
            </w:pPr>
            <w:r>
              <w:rPr>
                <w:b/>
              </w:rPr>
              <w:t>Operating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422,322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356,021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832,008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707,815</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(12,172</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pPr>
            <w:r>
              <w:rPr/>
              <w:t>Finance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21,355</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(32,144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(57,679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(32,411</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b/>
              </w:rPr>
            </w:pPr>
            <w:r>
              <w:rPr>
                <w:b/>
              </w:rPr>
              <w:t>Profit before taxation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398,476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791,190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684,587</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Taxation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(107,460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(88,961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(201,218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(167,144</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b/>
              </w:rPr>
            </w:pPr>
            <w:r>
              <w:rPr>
                <w:b/>
              </w:rPr>
              <w:t>Profit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291,016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248,569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589,972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517,443</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b/>
              </w:rPr>
            </w:pPr>
            <w:r>
              <w:rPr>
                <w:b/>
              </w:rPr>
              <w:t>Profit attributable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Owners of the parent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286,770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507,671</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9,772</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291,016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248,569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589,972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517,443</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b/>
              </w:rPr>
            </w:pPr>
            <w:r>
              <w:rPr>
                <w:b/>
              </w:rPr>
              <w:t>Earnings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Basic and diluted earnings per share (ZAR)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CONSOLIDATED STATEMENT OF FINANCIAL POSITION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794" w:type="dxa"/>
        <w:jc w:val="left"/>
        <w:tblInd w:w="0" w:type="dxa"/>
        <w:tblLayout w:type="fixed"/>
        <w:tblCellMar>
          <w:top w:w="0" w:type="dxa"/>
          <w:left w:w="0" w:type="dxa"/>
          <w:bottom w:w="0" w:type="dxa"/>
          <w:right w:w="0" w:type="dxa"/>
        </w:tblCellMar>
      </w:tblPr>
      <w:tblGrid>
        <w:gridCol w:w="4730"/>
        <w:gridCol w:w="60"/>
        <w:gridCol w:w="60"/>
        <w:gridCol w:w="1055"/>
        <w:gridCol w:w="95"/>
        <w:gridCol w:w="60"/>
        <w:gridCol w:w="72"/>
        <w:gridCol w:w="1282"/>
        <w:gridCol w:w="95"/>
        <w:gridCol w:w="60"/>
        <w:gridCol w:w="60"/>
        <w:gridCol w:w="1055"/>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August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br/>
              <w:t>2025</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4" w:type="dxa"/>
            <w:gridSpan w:val="10"/>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3,738,086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3,150,690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2,915,371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Capitalized commission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560,254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470,406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467,292</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81,720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85,330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166,985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167,315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177,685</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Loans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28,700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28,700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Long-term other receivables and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2,428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145,984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133,320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132,230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4,728,752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4,032,830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3,809,036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5,742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4,915</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Trade and other receivables and prepayments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854,778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586,374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646,234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Income tax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15,324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48,089</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648,512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1,153,874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420,819</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1,535,118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1,761,314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1,120,057</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6,263,870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pPr>
            <w:r>
              <w:rPr/>
              <w:t>5,794,144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4,929,093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EQUITY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7,142,853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7,142,853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7,142,853</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capital reserve</w:t>
            </w:r>
            <w:r>
              <w:rPr>
                <w:rFonts w:ascii="Times New Roman;Times;Serif" w:hAnsi="Times New Roman;Times;Serif"/>
                <w:position w:val="7"/>
                <w:sz w:val="16"/>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(3,674,677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(3,645,108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(3,621,245</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control reserve</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(2,709,236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(2,709,236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(2,709,236</w:t>
            </w:r>
          </w:p>
        </w:tc>
        <w:tc>
          <w:tcPr>
            <w:tcW w:w="110" w:type="dxa"/>
            <w:tcBorders/>
            <w:shd w:fill="FFFFFF" w:val="clear"/>
            <w:vAlign w:val="center"/>
          </w:tcPr>
          <w:p>
            <w:pPr>
              <w:pStyle w:val="TableContents"/>
              <w:bidi w:val="0"/>
              <w:spacing w:before="0" w:after="283"/>
              <w:jc w:val="left"/>
              <w:rPr/>
            </w:pPr>
            <w:r>
              <w:rPr/>
              <w:t>)</w:t>
            </w:r>
          </w:p>
        </w:tc>
      </w:tr>
      <w:tr>
        <w:trPr/>
        <w:tc>
          <w:tcPr>
            <w:tcW w:w="4730" w:type="dxa"/>
            <w:tcBorders/>
            <w:shd w:fill="CCEEFF" w:val="clear"/>
            <w:vAlign w:val="center"/>
          </w:tcPr>
          <w:p>
            <w:pPr>
              <w:pStyle w:val="TableContents"/>
              <w:bidi w:val="0"/>
              <w:spacing w:before="0" w:after="283"/>
              <w:jc w:val="left"/>
              <w:rPr/>
            </w:pPr>
            <w:r>
              <w:rPr/>
              <w:t>Actuarial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Foreign currency translation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67,656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81,168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256,204</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2,246,372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2,412,384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1,926,136</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Equity attributable to equity holders of parent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3,073,130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3,282,003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2,994,826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43,370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45,025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51,997</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3,116,500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3,327,028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3,046,823</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loans</w:t>
            </w:r>
            <w:r>
              <w:rPr>
                <w:rFonts w:ascii="Times New Roman;Times;Serif" w:hAnsi="Times New Roman;Times;Serif"/>
                <w:position w:val="7"/>
                <w:sz w:val="16"/>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373,795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398,931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47,078</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157,581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158,577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187,926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122,722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125,356</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103,536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118,842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113,530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762,305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799,072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473,890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loans</w:t>
            </w:r>
            <w:r>
              <w:rPr>
                <w:rFonts w:ascii="Times New Roman;Times;Serif" w:hAnsi="Times New Roman;Times;Serif"/>
                <w:position w:val="7"/>
                <w:sz w:val="16"/>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49,721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268,526</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935,206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585,832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533,703</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Loans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129,288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123,398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429,585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405,605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371,964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Bank overdraft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714,602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407,668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28,052</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Income tax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125,560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89,845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82,737</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2,385,065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1,668,044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1,408,380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3,147,370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2,467,116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1,882,270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6,263,870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5,794,144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4,929,093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85"/>
        <w:gridCol w:w="3875"/>
      </w:tblGrid>
      <w:tr>
        <w:trPr/>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38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Included in property, plant and equipment are:</w:t>
            </w:r>
          </w:p>
        </w:tc>
      </w:tr>
    </w:tbl>
    <w:p>
      <w:pPr>
        <w:pStyle w:val="TextBody"/>
        <w:bidi w:val="0"/>
        <w:spacing w:before="0" w:after="0"/>
        <w:ind w:left="0" w:right="0" w:hanging="0"/>
        <w:jc w:val="both"/>
        <w:rPr>
          <w:caps w:val="false"/>
          <w:smallCaps w:val="false"/>
        </w:rPr>
      </w:pPr>
      <w:r>
        <w:rPr>
          <w:caps w:val="false"/>
          <w:smallCaps w:val="false"/>
        </w:rPr>
        <w:t> </w:t>
      </w:r>
    </w:p>
    <w:tbl>
      <w:tblPr>
        <w:tblW w:w="8687" w:type="dxa"/>
        <w:jc w:val="left"/>
        <w:tblInd w:w="0" w:type="dxa"/>
        <w:tblLayout w:type="fixed"/>
        <w:tblCellMar>
          <w:top w:w="0" w:type="dxa"/>
          <w:left w:w="0" w:type="dxa"/>
          <w:bottom w:w="0" w:type="dxa"/>
          <w:right w:w="0" w:type="dxa"/>
        </w:tblCellMar>
      </w:tblPr>
      <w:tblGrid>
        <w:gridCol w:w="4730"/>
        <w:gridCol w:w="60"/>
        <w:gridCol w:w="64"/>
        <w:gridCol w:w="1050"/>
        <w:gridCol w:w="60"/>
        <w:gridCol w:w="60"/>
        <w:gridCol w:w="78"/>
        <w:gridCol w:w="1276"/>
        <w:gridCol w:w="60"/>
        <w:gridCol w:w="60"/>
        <w:gridCol w:w="64"/>
        <w:gridCol w:w="1050"/>
        <w:gridCol w:w="75"/>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August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August 31,</w:t>
              <w:br/>
              <w:t>2025</w:t>
            </w:r>
          </w:p>
        </w:tc>
        <w:tc>
          <w:tcPr>
            <w:tcW w:w="7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22" w:type="dxa"/>
            <w:gridSpan w:val="10"/>
            <w:tcBorders/>
            <w:vAlign w:val="center"/>
          </w:tcPr>
          <w:p>
            <w:pPr>
              <w:pStyle w:val="TableContents"/>
              <w:bidi w:val="0"/>
              <w:spacing w:before="0" w:after="283"/>
              <w:jc w:val="center"/>
              <w:rPr>
                <w:b/>
              </w:rPr>
            </w:pPr>
            <w:r>
              <w:rPr>
                <w:b/>
              </w:rPr>
              <w:t>(Rand Thousands)</w:t>
            </w:r>
          </w:p>
        </w:tc>
        <w:tc>
          <w:tcPr>
            <w:tcW w:w="7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Capitalized telematics devices – Work in progress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237,205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147,207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147,084</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Capitalized telematic devices – Uninstalled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456,672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214,517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222,932</w:t>
            </w:r>
          </w:p>
        </w:tc>
        <w:tc>
          <w:tcPr>
            <w:tcW w:w="75"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Capitalized telematic devices – Installed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2,186,063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1,945,837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1,701,262</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South African Central Office Property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446,042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441,580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439,226</w:t>
            </w:r>
          </w:p>
        </w:tc>
        <w:tc>
          <w:tcPr>
            <w:tcW w:w="75"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Other Fixed Assets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412,104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401,549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404,867</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double" w:sz="10" w:space="0" w:color="000000"/>
            </w:tcBorders>
            <w:shd w:fill="FFFFFF" w:val="clear"/>
            <w:tcMar>
              <w:bottom w:w="28" w:type="dxa"/>
            </w:tcMar>
            <w:vAlign w:val="center"/>
          </w:tcPr>
          <w:p>
            <w:pPr>
              <w:pStyle w:val="TableContents"/>
              <w:bidi w:val="0"/>
              <w:spacing w:before="0" w:after="283"/>
              <w:jc w:val="right"/>
              <w:rPr/>
            </w:pPr>
            <w:r>
              <w:rPr/>
              <w:t>3,738,086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double" w:sz="10" w:space="0" w:color="000000"/>
            </w:tcBorders>
            <w:shd w:fill="FFFFFF" w:val="clear"/>
            <w:tcMar>
              <w:bottom w:w="28" w:type="dxa"/>
            </w:tcMar>
            <w:vAlign w:val="center"/>
          </w:tcPr>
          <w:p>
            <w:pPr>
              <w:pStyle w:val="TableContents"/>
              <w:bidi w:val="0"/>
              <w:spacing w:before="0" w:after="283"/>
              <w:jc w:val="right"/>
              <w:rPr/>
            </w:pPr>
            <w:r>
              <w:rPr/>
              <w:t>3,150,690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double" w:sz="10" w:space="0" w:color="000000"/>
            </w:tcBorders>
            <w:shd w:fill="FFFFFF" w:val="clear"/>
            <w:tcMar>
              <w:bottom w:w="28" w:type="dxa"/>
            </w:tcMar>
            <w:vAlign w:val="center"/>
          </w:tcPr>
          <w:p>
            <w:pPr>
              <w:pStyle w:val="TableContents"/>
              <w:bidi w:val="0"/>
              <w:spacing w:before="0" w:after="283"/>
              <w:jc w:val="right"/>
              <w:rPr/>
            </w:pPr>
            <w:r>
              <w:rPr/>
              <w:t>2,915,371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185"/>
        <w:gridCol w:w="948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48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Goodwill is net of an impairment charge of ZAR43.6 million related to the Mozambique operations during Q4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3.</w:t>
            </w:r>
          </w:p>
        </w:tc>
        <w:tc>
          <w:tcPr>
            <w:tcW w:w="1005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ZAR3.6 billion negative capital reserve on the balance sheet relates to the buyout of 95,350,657 Cartrack shares at ZAR42.00 per share from minorities when Cartrack delisted from the JSE totalling ZAR4.0 billion, offset by the ZAR0.4 billion previously reported in the non-controlling interest reserve line item. The ZAR0.4 billion relates to the net asset value of the 95,350,657 Cartrack minority shares bought by Karooooo.</w:t>
            </w:r>
          </w:p>
        </w:tc>
      </w:tr>
      <w:tr>
        <w:trPr/>
        <w:tc>
          <w:tcPr>
            <w:tcW w:w="150" w:type="dxa"/>
            <w:tcBorders/>
            <w:vAlign w:val="center"/>
          </w:tcPr>
          <w:p>
            <w:pPr>
              <w:pStyle w:val="TableContents"/>
              <w:bidi w:val="0"/>
              <w:spacing w:before="0" w:after="283"/>
              <w:jc w:val="both"/>
              <w:rPr/>
            </w:pPr>
            <w:r>
              <w:rPr/>
              <w:t> </w:t>
            </w:r>
          </w:p>
        </w:tc>
        <w:tc>
          <w:tcPr>
            <w:tcW w:w="10055" w:type="dxa"/>
            <w:tcBorders/>
            <w:vAlign w:val="center"/>
          </w:tcPr>
          <w:p>
            <w:pPr>
              <w:pStyle w:val="TableContents"/>
              <w:bidi w:val="0"/>
              <w:spacing w:before="0" w:after="283"/>
              <w:jc w:val="both"/>
              <w:rPr/>
            </w:pPr>
            <w:r>
              <w:rPr/>
              <w:t> </w:t>
            </w:r>
          </w:p>
        </w:tc>
      </w:tr>
      <w:tr>
        <w:trPr/>
        <w:tc>
          <w:tcPr>
            <w:tcW w:w="1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4.</w:t>
            </w:r>
          </w:p>
        </w:tc>
        <w:tc>
          <w:tcPr>
            <w:tcW w:w="10055"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Included in capital reserves are ZAR27.3 million relating to the cancellation of Karooooo’s treasury shares, ZAR59.6 million of capital reserve relating to the repurchase and cancellation of Karooooo Logistics’s’ ordinary shares and ZAR5.2 million of capital reserve relating to the repurchase and cancellation of Cartrack New Zealand’s ordinary shares.</w:t>
            </w:r>
          </w:p>
        </w:tc>
      </w:tr>
      <w:tr>
        <w:trPr/>
        <w:tc>
          <w:tcPr>
            <w:tcW w:w="150" w:type="dxa"/>
            <w:tcBorders/>
            <w:vAlign w:val="center"/>
          </w:tcPr>
          <w:p>
            <w:pPr>
              <w:pStyle w:val="TableContents"/>
              <w:bidi w:val="0"/>
              <w:spacing w:before="0" w:after="283"/>
              <w:jc w:val="both"/>
              <w:rPr/>
            </w:pPr>
            <w:r>
              <w:rPr/>
              <w:t> </w:t>
            </w:r>
          </w:p>
        </w:tc>
        <w:tc>
          <w:tcPr>
            <w:tcW w:w="10055" w:type="dxa"/>
            <w:tcBorders/>
            <w:vAlign w:val="center"/>
          </w:tcPr>
          <w:p>
            <w:pPr>
              <w:pStyle w:val="TableContents"/>
              <w:bidi w:val="0"/>
              <w:spacing w:before="0" w:after="283"/>
              <w:jc w:val="both"/>
              <w:rPr/>
            </w:pPr>
            <w:r>
              <w:rPr/>
              <w:t> </w:t>
            </w:r>
          </w:p>
        </w:tc>
      </w:tr>
      <w:tr>
        <w:trPr/>
        <w:tc>
          <w:tcPr>
            <w:tcW w:w="1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5.</w:t>
            </w:r>
          </w:p>
        </w:tc>
        <w:tc>
          <w:tcPr>
            <w:tcW w:w="1005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6.</w:t>
            </w:r>
          </w:p>
        </w:tc>
        <w:tc>
          <w:tcPr>
            <w:tcW w:w="10052" w:type="dxa"/>
            <w:tcBorders/>
            <w:vAlign w:val="center"/>
          </w:tcPr>
          <w:p>
            <w:pPr>
              <w:pStyle w:val="TableContents"/>
              <w:bidi w:val="0"/>
              <w:spacing w:before="0" w:after="283"/>
              <w:jc w:val="both"/>
              <w:rPr>
                <w:i/>
              </w:rPr>
            </w:pPr>
            <w:r>
              <w:rPr>
                <w:i/>
              </w:rPr>
              <w:t>In June 2024, The Standard Bank of South Africa Limited extended a loan of ZAR250 million to Purple Rain Properties No. 444 Proprietary Limited (the owner of the regional South Africa central office) at the South Africa Prime Interest Rate less 1.5%. In February 2026, an additional tranche of ZAR191.7 million was drawn down.</w:t>
            </w:r>
          </w:p>
        </w:tc>
      </w:tr>
      <w:tr>
        <w:trPr/>
        <w:tc>
          <w:tcPr>
            <w:tcW w:w="153" w:type="dxa"/>
            <w:tcBorders/>
            <w:vAlign w:val="center"/>
          </w:tcPr>
          <w:p>
            <w:pPr>
              <w:pStyle w:val="TableContents"/>
              <w:bidi w:val="0"/>
              <w:spacing w:before="0" w:after="283"/>
              <w:jc w:val="both"/>
              <w:rPr/>
            </w:pPr>
            <w:r>
              <w:rPr/>
              <w:t> </w:t>
            </w:r>
          </w:p>
        </w:tc>
        <w:tc>
          <w:tcPr>
            <w:tcW w:w="10052" w:type="dxa"/>
            <w:tcBorders/>
            <w:vAlign w:val="center"/>
          </w:tcPr>
          <w:p>
            <w:pPr>
              <w:pStyle w:val="TableContents"/>
              <w:bidi w:val="0"/>
              <w:spacing w:before="0" w:after="283"/>
              <w:jc w:val="both"/>
              <w:rPr/>
            </w:pPr>
            <w:r>
              <w:rPr/>
              <w:t> </w:t>
            </w:r>
          </w:p>
        </w:tc>
      </w:tr>
      <w:tr>
        <w:trPr/>
        <w:tc>
          <w:tcPr>
            <w:tcW w:w="1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7</w:t>
            </w:r>
            <w:r>
              <w:rPr>
                <w:rFonts w:ascii="Times New Roman;Times;Serif" w:hAnsi="Times New Roman;Times;Serif"/>
                <w:sz w:val="20"/>
              </w:rPr>
              <w:t>.</w:t>
            </w:r>
          </w:p>
        </w:tc>
        <w:tc>
          <w:tcPr>
            <w:tcW w:w="10052" w:type="dxa"/>
            <w:tcBorders/>
            <w:vAlign w:val="center"/>
          </w:tcPr>
          <w:p>
            <w:pPr>
              <w:pStyle w:val="TableContents"/>
              <w:bidi w:val="0"/>
              <w:spacing w:before="0" w:after="283"/>
              <w:jc w:val="both"/>
              <w:rPr/>
            </w:pPr>
            <w:r>
              <w:rPr>
                <w:i/>
              </w:rPr>
              <w:t xml:space="preserve">In September 2024 and June 2025, Cartrack Portugal, S.A., secured loans of EUR2 million and EUR1 million, respectively, from Banco Comercial Português, S.A. The loans bear an interest rate of 6-month Euribor rate plus 0.75%, with repayments scheduled over a seven-year and five-year period. </w:t>
            </w: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CONDENSED CONSOLIDATED STATEMENT OF CASH FLOWS</w:t>
        <w:b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1"/>
        <w:gridCol w:w="60"/>
        <w:gridCol w:w="62"/>
        <w:gridCol w:w="922"/>
        <w:gridCol w:w="100"/>
        <w:gridCol w:w="62"/>
        <w:gridCol w:w="62"/>
        <w:gridCol w:w="1033"/>
        <w:gridCol w:w="95"/>
        <w:gridCol w:w="60"/>
        <w:gridCol w:w="60"/>
        <w:gridCol w:w="1055"/>
        <w:gridCol w:w="95"/>
        <w:gridCol w:w="60"/>
        <w:gridCol w:w="60"/>
        <w:gridCol w:w="980"/>
        <w:gridCol w:w="108"/>
      </w:tblGrid>
      <w:tr>
        <w:trPr/>
        <w:tc>
          <w:tcPr>
            <w:tcW w:w="5331" w:type="dxa"/>
            <w:tcBorders/>
            <w:vAlign w:val="center"/>
          </w:tcPr>
          <w:p>
            <w:pPr>
              <w:pStyle w:val="TableContents"/>
              <w:bidi w:val="0"/>
              <w:spacing w:before="0" w:after="283"/>
              <w:ind w:left="0" w:right="0" w:hanging="180"/>
              <w:jc w:val="right"/>
              <w:rPr/>
            </w:pPr>
            <w:r>
              <w:rPr/>
              <w:t> </w:t>
            </w:r>
          </w:p>
        </w:tc>
        <w:tc>
          <w:tcPr>
            <w:tcW w:w="60" w:type="dxa"/>
            <w:tcBorders/>
            <w:vAlign w:val="center"/>
          </w:tcPr>
          <w:p>
            <w:pPr>
              <w:pStyle w:val="TableContents"/>
              <w:bidi w:val="0"/>
              <w:spacing w:before="0" w:after="283"/>
              <w:jc w:val="left"/>
              <w:rPr/>
            </w:pPr>
            <w:r>
              <w:rPr/>
              <w:t> </w:t>
            </w:r>
          </w:p>
        </w:tc>
        <w:tc>
          <w:tcPr>
            <w:tcW w:w="22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August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108" w:type="dxa"/>
            <w:tcBorders/>
            <w:vAlign w:val="center"/>
          </w:tcPr>
          <w:p>
            <w:pPr>
              <w:pStyle w:val="TableContents"/>
              <w:bidi w:val="0"/>
              <w:spacing w:before="0" w:after="283"/>
              <w:ind w:left="0" w:right="0" w:hanging="180"/>
              <w:jc w:val="left"/>
              <w:rPr/>
            </w:pPr>
            <w:r>
              <w:rPr/>
              <w:t> </w:t>
            </w:r>
          </w:p>
        </w:tc>
      </w:tr>
      <w:tr>
        <w:trPr/>
        <w:tc>
          <w:tcPr>
            <w:tcW w:w="53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ind w:left="0" w:right="0" w:hanging="180"/>
              <w:jc w:val="left"/>
              <w:rPr/>
            </w:pPr>
            <w:r>
              <w:rPr/>
              <w:t> </w:t>
            </w:r>
          </w:p>
        </w:tc>
      </w:tr>
      <w:tr>
        <w:trPr/>
        <w:tc>
          <w:tcPr>
            <w:tcW w:w="5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706" w:type="dxa"/>
            <w:gridSpan w:val="14"/>
            <w:tcBorders/>
            <w:vAlign w:val="center"/>
          </w:tcPr>
          <w:p>
            <w:pPr>
              <w:pStyle w:val="TableContents"/>
              <w:bidi w:val="0"/>
              <w:spacing w:before="0" w:after="283"/>
              <w:jc w:val="center"/>
              <w:rPr>
                <w:b/>
              </w:rPr>
            </w:pPr>
            <w:r>
              <w:rPr>
                <w:b/>
              </w:rPr>
              <w:t>(Rand Thousands)</w:t>
            </w:r>
          </w:p>
        </w:tc>
        <w:tc>
          <w:tcPr>
            <w:tcW w:w="108" w:type="dxa"/>
            <w:tcBorders/>
            <w:vAlign w:val="center"/>
          </w:tcPr>
          <w:p>
            <w:pPr>
              <w:pStyle w:val="TableContents"/>
              <w:bidi w:val="0"/>
              <w:spacing w:before="0" w:after="283"/>
              <w:ind w:left="0" w:right="0" w:hanging="180"/>
              <w:jc w:val="left"/>
              <w:rPr/>
            </w:pPr>
            <w:r>
              <w:rPr/>
              <w:t> </w:t>
            </w:r>
          </w:p>
        </w:tc>
      </w:tr>
      <w:tr>
        <w:trPr/>
        <w:tc>
          <w:tcPr>
            <w:tcW w:w="53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41"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5331" w:type="dxa"/>
            <w:tcBorders/>
            <w:shd w:fill="CCEEFF" w:val="clear"/>
            <w:vAlign w:val="center"/>
          </w:tcPr>
          <w:p>
            <w:pPr>
              <w:pStyle w:val="TableContents"/>
              <w:bidi w:val="0"/>
              <w:spacing w:before="0" w:after="283"/>
              <w:jc w:val="left"/>
              <w:rPr/>
            </w:pPr>
            <w:r>
              <w:rPr/>
              <w:t>Cash generated from operations before working capital changes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728,610</w:t>
            </w:r>
          </w:p>
        </w:tc>
        <w:tc>
          <w:tcPr>
            <w:tcW w:w="10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591,284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1,418,159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1,162,961</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5331" w:type="dxa"/>
            <w:tcBorders/>
            <w:shd w:fill="FFFFFF" w:val="clear"/>
            <w:vAlign w:val="center"/>
          </w:tcPr>
          <w:p>
            <w:pPr>
              <w:pStyle w:val="TableContents"/>
              <w:bidi w:val="0"/>
              <w:spacing w:before="0" w:after="283"/>
              <w:jc w:val="left"/>
              <w:rPr/>
            </w:pPr>
            <w:r>
              <w:rPr/>
              <w:t>Changes to working capital</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31,831</w:t>
            </w:r>
          </w:p>
        </w:tc>
        <w:tc>
          <w:tcPr>
            <w:tcW w:w="10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(163,071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(97,778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(85,325</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5331" w:type="dxa"/>
            <w:tcBorders/>
            <w:shd w:fill="CCEEFF" w:val="clear"/>
            <w:vAlign w:val="center"/>
          </w:tcPr>
          <w:p>
            <w:pPr>
              <w:pStyle w:val="TableContents"/>
              <w:bidi w:val="0"/>
              <w:spacing w:before="0" w:after="283"/>
              <w:jc w:val="left"/>
              <w:rPr/>
            </w:pPr>
            <w:r>
              <w:rPr/>
              <w:t>Cash generated from operations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760,441</w:t>
            </w:r>
          </w:p>
        </w:tc>
        <w:tc>
          <w:tcPr>
            <w:tcW w:w="10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428,213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1,320,381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1,077,636</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5331" w:type="dxa"/>
            <w:tcBorders/>
            <w:shd w:fill="FFFFFF" w:val="clear"/>
            <w:vAlign w:val="center"/>
          </w:tcPr>
          <w:p>
            <w:pPr>
              <w:pStyle w:val="TableContents"/>
              <w:bidi w:val="0"/>
              <w:spacing w:before="0" w:after="283"/>
              <w:jc w:val="left"/>
              <w:rPr/>
            </w:pPr>
            <w:r>
              <w:rPr/>
              <w:t>Finance income received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8,298</w:t>
            </w:r>
          </w:p>
        </w:tc>
        <w:tc>
          <w:tcPr>
            <w:tcW w:w="10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10,926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21,355</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5331" w:type="dxa"/>
            <w:tcBorders/>
            <w:shd w:fill="CCEEFF" w:val="clear"/>
            <w:vAlign w:val="center"/>
          </w:tcPr>
          <w:p>
            <w:pPr>
              <w:pStyle w:val="TableContents"/>
              <w:bidi w:val="0"/>
              <w:spacing w:before="0" w:after="283"/>
              <w:jc w:val="left"/>
              <w:rPr/>
            </w:pPr>
            <w:r>
              <w:rPr/>
              <w:t>Finance cost paid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(32,533</w:t>
            </w:r>
          </w:p>
        </w:tc>
        <w:tc>
          <w:tcPr>
            <w:tcW w:w="100"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(17,015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(33,658</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5331" w:type="dxa"/>
            <w:tcBorders/>
            <w:shd w:fill="FFFFFF" w:val="clear"/>
            <w:vAlign w:val="center"/>
          </w:tcPr>
          <w:p>
            <w:pPr>
              <w:pStyle w:val="TableContents"/>
              <w:bidi w:val="0"/>
              <w:spacing w:before="0" w:after="283"/>
              <w:jc w:val="left"/>
              <w:rPr/>
            </w:pPr>
            <w:r>
              <w:rPr/>
              <w:t>Income tax paid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(178,254</w:t>
            </w:r>
          </w:p>
        </w:tc>
        <w:tc>
          <w:tcPr>
            <w:tcW w:w="100"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(155,307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(183,995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(156,557</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5331"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557,952</w:t>
            </w:r>
          </w:p>
        </w:tc>
        <w:tc>
          <w:tcPr>
            <w:tcW w:w="10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266,817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1,095,237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908,776</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5331" w:type="dxa"/>
            <w:tcBorders/>
            <w:shd w:fill="FFFFFF" w:val="clear"/>
            <w:vAlign w:val="center"/>
          </w:tcPr>
          <w:p>
            <w:pPr>
              <w:pStyle w:val="TableContents"/>
              <w:bidi w:val="0"/>
              <w:spacing w:before="0" w:after="283"/>
              <w:jc w:val="left"/>
              <w:rPr/>
            </w:pPr>
            <w:r>
              <w:rPr/>
              <w:t>Net cash flows utilized by investing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(533,636</w:t>
            </w:r>
          </w:p>
        </w:tc>
        <w:tc>
          <w:tcPr>
            <w:tcW w:w="100"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(262,347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(1,026,688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(579,465</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5331" w:type="dxa"/>
            <w:tcBorders/>
            <w:shd w:fill="CCEEFF" w:val="clear"/>
            <w:vAlign w:val="center"/>
          </w:tcPr>
          <w:p>
            <w:pPr>
              <w:pStyle w:val="TableContents"/>
              <w:bidi w:val="0"/>
              <w:spacing w:before="0" w:after="283"/>
              <w:jc w:val="left"/>
              <w:rPr/>
            </w:pPr>
            <w:r>
              <w:rPr/>
              <w:t>Net cash flows utilized by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(526,443</w:t>
            </w:r>
          </w:p>
        </w:tc>
        <w:tc>
          <w:tcPr>
            <w:tcW w:w="100"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(705,619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(575,462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(740,914</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5331" w:type="dxa"/>
            <w:tcBorders/>
            <w:shd w:fill="FFFFFF" w:val="clear"/>
            <w:vAlign w:val="center"/>
          </w:tcPr>
          <w:p>
            <w:pPr>
              <w:pStyle w:val="TableContents"/>
              <w:bidi w:val="0"/>
              <w:spacing w:before="0" w:after="283"/>
              <w:jc w:val="left"/>
              <w:rPr>
                <w:b/>
              </w:rPr>
            </w:pPr>
            <w:r>
              <w:rPr>
                <w:b/>
              </w:rPr>
              <w:t>Net cash and cash equivalents movements for the period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(502,127</w:t>
            </w:r>
          </w:p>
        </w:tc>
        <w:tc>
          <w:tcPr>
            <w:tcW w:w="100"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(701,149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(506,913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(411,603</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5331" w:type="dxa"/>
            <w:tcBorders/>
            <w:shd w:fill="CCEEFF" w:val="clear"/>
            <w:vAlign w:val="center"/>
          </w:tcPr>
          <w:p>
            <w:pPr>
              <w:pStyle w:val="TableContents"/>
              <w:bidi w:val="0"/>
              <w:spacing w:before="0" w:after="283"/>
              <w:jc w:val="left"/>
              <w:rPr>
                <w:b/>
              </w:rPr>
            </w:pPr>
            <w:r>
              <w:rPr>
                <w:b/>
              </w:rPr>
              <w:t>Reclassification of bank overdraft to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407,668</w:t>
            </w:r>
          </w:p>
        </w:tc>
        <w:tc>
          <w:tcPr>
            <w:tcW w:w="10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407,668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5331" w:type="dxa"/>
            <w:tcBorders/>
            <w:shd w:fill="FFFFFF" w:val="clear"/>
            <w:vAlign w:val="center"/>
          </w:tcPr>
          <w:p>
            <w:pPr>
              <w:pStyle w:val="TableContents"/>
              <w:bidi w:val="0"/>
              <w:spacing w:before="0" w:after="283"/>
              <w:jc w:val="left"/>
              <w:rPr/>
            </w:pPr>
            <w:r>
              <w:rPr/>
              <w:t>Cash and cash equivalents as at the beginning of the period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755,532</w:t>
            </w:r>
          </w:p>
        </w:tc>
        <w:tc>
          <w:tcPr>
            <w:tcW w:w="10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1,102,667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746,206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837,583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5331" w:type="dxa"/>
            <w:tcBorders/>
            <w:shd w:fill="CCEEFF" w:val="clear"/>
            <w:vAlign w:val="center"/>
          </w:tcPr>
          <w:p>
            <w:pPr>
              <w:pStyle w:val="TableContents"/>
              <w:bidi w:val="0"/>
              <w:spacing w:before="0" w:after="283"/>
              <w:jc w:val="left"/>
              <w:rPr/>
            </w:pPr>
            <w:r>
              <w:rPr/>
              <w:t>Translation differences on cash and cash equivalents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(12,561</w:t>
            </w:r>
          </w:p>
        </w:tc>
        <w:tc>
          <w:tcPr>
            <w:tcW w:w="100"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(8,751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(33,213</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5331" w:type="dxa"/>
            <w:tcBorders/>
            <w:shd w:fill="FFFFFF" w:val="clear"/>
            <w:vAlign w:val="center"/>
          </w:tcPr>
          <w:p>
            <w:pPr>
              <w:pStyle w:val="TableContents"/>
              <w:bidi w:val="0"/>
              <w:spacing w:before="0" w:after="283"/>
              <w:jc w:val="left"/>
              <w:rPr>
                <w:b/>
              </w:rPr>
            </w:pPr>
            <w:r>
              <w:rPr>
                <w:b/>
              </w:rPr>
              <w:t>Total 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double" w:sz="10" w:space="0" w:color="000000"/>
            </w:tcBorders>
            <w:shd w:fill="FFFFFF" w:val="clear"/>
            <w:tcMar>
              <w:bottom w:w="28" w:type="dxa"/>
            </w:tcMar>
            <w:vAlign w:val="center"/>
          </w:tcPr>
          <w:p>
            <w:pPr>
              <w:pStyle w:val="TableContents"/>
              <w:bidi w:val="0"/>
              <w:spacing w:before="0" w:after="283"/>
              <w:jc w:val="right"/>
              <w:rPr/>
            </w:pPr>
            <w:r>
              <w:rPr/>
              <w:t>648,512</w:t>
            </w:r>
          </w:p>
        </w:tc>
        <w:tc>
          <w:tcPr>
            <w:tcW w:w="10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double" w:sz="10" w:space="0" w:color="000000"/>
            </w:tcBorders>
            <w:shd w:fill="FFFFFF" w:val="clear"/>
            <w:tcMar>
              <w:bottom w:w="28" w:type="dxa"/>
            </w:tcMar>
            <w:vAlign w:val="center"/>
          </w:tcPr>
          <w:p>
            <w:pPr>
              <w:pStyle w:val="TableContents"/>
              <w:bidi w:val="0"/>
              <w:spacing w:before="0" w:after="283"/>
              <w:jc w:val="right"/>
              <w:rPr/>
            </w:pPr>
            <w:r>
              <w:rPr/>
              <w:t>392,767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648,512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392,767</w:t>
            </w:r>
          </w:p>
        </w:tc>
        <w:tc>
          <w:tcPr>
            <w:tcW w:w="10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 xml:space="preserve">RECONCILIATION OF FREE CASH FLOW (A NON-IFRS MEASURE)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897" w:type="dxa"/>
        <w:jc w:val="left"/>
        <w:tblInd w:w="0" w:type="dxa"/>
        <w:tblLayout w:type="fixed"/>
        <w:tblCellMar>
          <w:top w:w="0" w:type="dxa"/>
          <w:left w:w="0" w:type="dxa"/>
          <w:bottom w:w="0" w:type="dxa"/>
          <w:right w:w="0" w:type="dxa"/>
        </w:tblCellMar>
      </w:tblPr>
      <w:tblGrid>
        <w:gridCol w:w="4175"/>
        <w:gridCol w:w="60"/>
        <w:gridCol w:w="67"/>
        <w:gridCol w:w="980"/>
        <w:gridCol w:w="106"/>
        <w:gridCol w:w="67"/>
        <w:gridCol w:w="67"/>
        <w:gridCol w:w="980"/>
        <w:gridCol w:w="95"/>
        <w:gridCol w:w="60"/>
        <w:gridCol w:w="60"/>
        <w:gridCol w:w="980"/>
        <w:gridCol w:w="95"/>
        <w:gridCol w:w="60"/>
        <w:gridCol w:w="60"/>
        <w:gridCol w:w="875"/>
        <w:gridCol w:w="110"/>
      </w:tblGrid>
      <w:tr>
        <w:trPr/>
        <w:tc>
          <w:tcPr>
            <w:tcW w:w="4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August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2"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557,952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266,817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908,776</w:t>
            </w:r>
          </w:p>
        </w:tc>
        <w:tc>
          <w:tcPr>
            <w:tcW w:w="11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purchase of property, plant and equipment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(517,236</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(247,241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(994,859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(551,075</w:t>
            </w:r>
          </w:p>
        </w:tc>
        <w:tc>
          <w:tcPr>
            <w:tcW w:w="110" w:type="dxa"/>
            <w:tcBorders/>
            <w:shd w:fill="FFFFFF" w:val="clear"/>
            <w:vAlign w:val="center"/>
          </w:tcPr>
          <w:p>
            <w:pPr>
              <w:pStyle w:val="TableContents"/>
              <w:bidi w:val="0"/>
              <w:spacing w:before="0" w:after="283"/>
              <w:jc w:val="left"/>
              <w:rPr/>
            </w:pPr>
            <w:r>
              <w:rPr/>
              <w:t>)</w:t>
            </w:r>
          </w:p>
        </w:tc>
      </w:tr>
      <w:tr>
        <w:trPr/>
        <w:tc>
          <w:tcPr>
            <w:tcW w:w="4175"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Free Cash Flow</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40,716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100,378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357,701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i/>
              </w:rPr>
            </w:pPr>
            <w:r>
              <w:rPr>
                <w:i/>
              </w:rPr>
              <w:t>1.</w:t>
            </w:r>
          </w:p>
        </w:tc>
        <w:tc>
          <w:tcPr>
            <w:tcW w:w="10005" w:type="dxa"/>
            <w:tcBorders/>
            <w:vAlign w:val="center"/>
          </w:tcPr>
          <w:p>
            <w:pPr>
              <w:pStyle w:val="TableContents"/>
              <w:bidi w:val="0"/>
              <w:spacing w:before="0" w:after="283"/>
              <w:jc w:val="both"/>
              <w:rPr>
                <w:i/>
              </w:rPr>
            </w:pPr>
            <w:r>
              <w:rPr>
                <w:i/>
              </w:rPr>
              <w:t>For the quarter ended August 31, 2026, included in the purchase of property, plant and equipment are development cost of ZAR 3.0 million (August 31, 2025: ZAR 4.3 million) for the new South African Central Office in Rosebank, Johannesburg.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RECONCILIATION OF PROFIT FOR THE PERIOD TO ADJUSTED EBITDA (A NON-IFRS MEASURE)</w:t>
        <w:br/>
        <w:t>(UNAUDITED)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0"/>
        <w:gridCol w:w="60"/>
        <w:gridCol w:w="64"/>
        <w:gridCol w:w="864"/>
        <w:gridCol w:w="231"/>
        <w:gridCol w:w="64"/>
        <w:gridCol w:w="64"/>
        <w:gridCol w:w="864"/>
        <w:gridCol w:w="215"/>
        <w:gridCol w:w="60"/>
        <w:gridCol w:w="60"/>
        <w:gridCol w:w="980"/>
        <w:gridCol w:w="215"/>
        <w:gridCol w:w="60"/>
        <w:gridCol w:w="60"/>
        <w:gridCol w:w="980"/>
        <w:gridCol w:w="234"/>
      </w:tblGrid>
      <w:tr>
        <w:trPr/>
        <w:tc>
          <w:tcPr>
            <w:tcW w:w="5130" w:type="dxa"/>
            <w:tcBorders/>
            <w:vAlign w:val="center"/>
          </w:tcPr>
          <w:p>
            <w:pPr>
              <w:pStyle w:val="TableContents"/>
              <w:bidi w:val="0"/>
              <w:spacing w:before="0" w:after="283"/>
              <w:ind w:left="0" w:right="0" w:hanging="180"/>
              <w:jc w:val="right"/>
              <w:rPr/>
            </w:pPr>
            <w:r>
              <w:rPr/>
              <w:t> </w:t>
            </w:r>
          </w:p>
        </w:tc>
        <w:tc>
          <w:tcPr>
            <w:tcW w:w="60" w:type="dxa"/>
            <w:tcBorders/>
            <w:vAlign w:val="center"/>
          </w:tcPr>
          <w:p>
            <w:pPr>
              <w:pStyle w:val="TableContents"/>
              <w:bidi w:val="0"/>
              <w:spacing w:before="0" w:after="283"/>
              <w:jc w:val="left"/>
              <w:rPr/>
            </w:pPr>
            <w:r>
              <w:rPr/>
              <w:t> </w:t>
            </w:r>
          </w:p>
        </w:tc>
        <w:tc>
          <w:tcPr>
            <w:tcW w:w="21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August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234" w:type="dxa"/>
            <w:tcBorders/>
            <w:vAlign w:val="center"/>
          </w:tcPr>
          <w:p>
            <w:pPr>
              <w:pStyle w:val="TableContents"/>
              <w:bidi w:val="0"/>
              <w:spacing w:before="0" w:after="283"/>
              <w:ind w:left="0" w:right="0" w:hanging="180"/>
              <w:jc w:val="left"/>
              <w:rPr/>
            </w:pPr>
            <w:r>
              <w:rPr/>
              <w:t> </w:t>
            </w:r>
          </w:p>
        </w:tc>
      </w:tr>
      <w:tr>
        <w:trPr/>
        <w:tc>
          <w:tcPr>
            <w:tcW w:w="5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4" w:type="dxa"/>
            <w:tcBorders/>
            <w:vAlign w:val="center"/>
          </w:tcPr>
          <w:p>
            <w:pPr>
              <w:pStyle w:val="TableContents"/>
              <w:bidi w:val="0"/>
              <w:spacing w:before="0" w:after="283"/>
              <w:ind w:left="0" w:right="0" w:hanging="180"/>
              <w:jc w:val="left"/>
              <w:rPr/>
            </w:pPr>
            <w:r>
              <w:rPr/>
              <w:t> </w:t>
            </w:r>
          </w:p>
        </w:tc>
      </w:tr>
      <w:tr>
        <w:trPr/>
        <w:tc>
          <w:tcPr>
            <w:tcW w:w="51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781" w:type="dxa"/>
            <w:gridSpan w:val="14"/>
            <w:tcBorders/>
            <w:vAlign w:val="center"/>
          </w:tcPr>
          <w:p>
            <w:pPr>
              <w:pStyle w:val="TableContents"/>
              <w:bidi w:val="0"/>
              <w:spacing w:before="0" w:after="283"/>
              <w:jc w:val="center"/>
              <w:rPr>
                <w:b/>
              </w:rPr>
            </w:pPr>
            <w:r>
              <w:rPr>
                <w:b/>
              </w:rPr>
              <w:t>(Rand Thousands)</w:t>
            </w:r>
          </w:p>
        </w:tc>
        <w:tc>
          <w:tcPr>
            <w:tcW w:w="234" w:type="dxa"/>
            <w:tcBorders/>
            <w:vAlign w:val="center"/>
          </w:tcPr>
          <w:p>
            <w:pPr>
              <w:pStyle w:val="TableContents"/>
              <w:bidi w:val="0"/>
              <w:spacing w:before="0" w:after="283"/>
              <w:ind w:left="0" w:right="0" w:hanging="180"/>
              <w:jc w:val="left"/>
              <w:rPr/>
            </w:pPr>
            <w:r>
              <w:rPr/>
              <w:t> </w:t>
            </w:r>
          </w:p>
        </w:tc>
      </w:tr>
      <w:tr>
        <w:trPr/>
        <w:tc>
          <w:tcPr>
            <w:tcW w:w="5130"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291,016</w:t>
            </w:r>
          </w:p>
        </w:tc>
        <w:tc>
          <w:tcPr>
            <w:tcW w:w="23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248,569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589,972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517,443</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30"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107,460</w:t>
            </w:r>
          </w:p>
        </w:tc>
        <w:tc>
          <w:tcPr>
            <w:tcW w:w="23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88,961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201,218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167,144</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30"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(8,298</w:t>
            </w:r>
          </w:p>
        </w:tc>
        <w:tc>
          <w:tcPr>
            <w:tcW w:w="23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(10,926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(16,861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(21,355</w:t>
            </w:r>
          </w:p>
        </w:tc>
        <w:tc>
          <w:tcPr>
            <w:tcW w:w="234" w:type="dxa"/>
            <w:tcBorders/>
            <w:shd w:fill="CCEEFF" w:val="clear"/>
            <w:vAlign w:val="center"/>
          </w:tcPr>
          <w:p>
            <w:pPr>
              <w:pStyle w:val="TableContents"/>
              <w:bidi w:val="0"/>
              <w:spacing w:before="0" w:after="283"/>
              <w:ind w:left="0" w:right="0" w:hanging="180"/>
              <w:jc w:val="left"/>
              <w:rPr/>
            </w:pPr>
            <w:r>
              <w:rPr/>
              <w:t>)</w:t>
            </w:r>
          </w:p>
        </w:tc>
      </w:tr>
      <w:tr>
        <w:trPr/>
        <w:tc>
          <w:tcPr>
            <w:tcW w:w="5130"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32,144</w:t>
            </w:r>
          </w:p>
        </w:tc>
        <w:tc>
          <w:tcPr>
            <w:tcW w:w="23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17,245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57,679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32,411</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30" w:type="dxa"/>
            <w:tcBorders/>
            <w:shd w:fill="CCEEFF" w:val="clear"/>
            <w:vAlign w:val="center"/>
          </w:tcPr>
          <w:p>
            <w:pPr>
              <w:pStyle w:val="TableContents"/>
              <w:bidi w:val="0"/>
              <w:spacing w:before="0" w:after="283"/>
              <w:jc w:val="left"/>
              <w:rPr/>
            </w:pPr>
            <w:r>
              <w:rPr/>
              <w:t>Offering costs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w:t>
            </w:r>
          </w:p>
        </w:tc>
        <w:tc>
          <w:tcPr>
            <w:tcW w:w="23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12,172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12,172</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30" w:type="dxa"/>
            <w:tcBorders/>
            <w:shd w:fill="FFFFFF" w:val="clear"/>
            <w:vAlign w:val="center"/>
          </w:tcPr>
          <w:p>
            <w:pPr>
              <w:pStyle w:val="TableContents"/>
              <w:bidi w:val="0"/>
              <w:spacing w:before="0" w:after="283"/>
              <w:jc w:val="left"/>
              <w:rPr/>
            </w:pPr>
            <w:r>
              <w:rPr/>
              <w:t>Depreciation of property, plant and equipment and amortization of intangible assets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FFFFFF" w:val="clear"/>
            <w:tcMar>
              <w:bottom w:w="28" w:type="dxa"/>
            </w:tcMar>
            <w:vAlign w:val="center"/>
          </w:tcPr>
          <w:p>
            <w:pPr>
              <w:pStyle w:val="TableContents"/>
              <w:bidi w:val="0"/>
              <w:spacing w:before="0" w:after="283"/>
              <w:jc w:val="right"/>
              <w:rPr/>
            </w:pPr>
            <w:r>
              <w:rPr/>
              <w:t>252,859</w:t>
            </w:r>
          </w:p>
        </w:tc>
        <w:tc>
          <w:tcPr>
            <w:tcW w:w="23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FFFFFF" w:val="clear"/>
            <w:tcMar>
              <w:bottom w:w="28" w:type="dxa"/>
            </w:tcMar>
            <w:vAlign w:val="center"/>
          </w:tcPr>
          <w:p>
            <w:pPr>
              <w:pStyle w:val="TableContents"/>
              <w:bidi w:val="0"/>
              <w:spacing w:before="0" w:after="283"/>
              <w:jc w:val="right"/>
              <w:rPr/>
            </w:pPr>
            <w:r>
              <w:rPr/>
              <w:t>214,967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485,398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406,726</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30"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Adjusted EBITDA</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double" w:sz="10" w:space="0" w:color="000000"/>
            </w:tcBorders>
            <w:shd w:fill="CCEEFF" w:val="clear"/>
            <w:tcMar>
              <w:bottom w:w="28" w:type="dxa"/>
            </w:tcMar>
            <w:vAlign w:val="center"/>
          </w:tcPr>
          <w:p>
            <w:pPr>
              <w:pStyle w:val="TableContents"/>
              <w:bidi w:val="0"/>
              <w:spacing w:before="0" w:after="283"/>
              <w:jc w:val="right"/>
              <w:rPr/>
            </w:pPr>
            <w:r>
              <w:rPr/>
              <w:t>675,181</w:t>
            </w:r>
          </w:p>
        </w:tc>
        <w:tc>
          <w:tcPr>
            <w:tcW w:w="23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double" w:sz="10" w:space="0" w:color="000000"/>
            </w:tcBorders>
            <w:shd w:fill="CCEEFF" w:val="clear"/>
            <w:tcMar>
              <w:bottom w:w="28" w:type="dxa"/>
            </w:tcMar>
            <w:vAlign w:val="center"/>
          </w:tcPr>
          <w:p>
            <w:pPr>
              <w:pStyle w:val="TableContents"/>
              <w:bidi w:val="0"/>
              <w:spacing w:before="0" w:after="283"/>
              <w:jc w:val="right"/>
              <w:rPr/>
            </w:pPr>
            <w:r>
              <w:rPr/>
              <w:t>570,988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1,317,406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1,114,541</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30" w:type="dxa"/>
            <w:tcBorders/>
            <w:shd w:fill="FFFFFF" w:val="clear"/>
            <w:vAlign w:val="center"/>
          </w:tcPr>
          <w:p>
            <w:pPr>
              <w:pStyle w:val="TableContents"/>
              <w:bidi w:val="0"/>
              <w:spacing w:before="0" w:after="283"/>
              <w:jc w:val="left"/>
              <w:rPr>
                <w:b/>
              </w:rPr>
            </w:pPr>
            <w:r>
              <w:rPr>
                <w:b/>
              </w:rPr>
              <w:t>Profit margin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18</w:t>
            </w:r>
          </w:p>
        </w:tc>
        <w:tc>
          <w:tcPr>
            <w:tcW w:w="23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w:t>
            </w:r>
          </w:p>
        </w:tc>
        <w:tc>
          <w:tcPr>
            <w:tcW w:w="234" w:type="dxa"/>
            <w:tcBorders/>
            <w:shd w:fill="FFFFFF" w:val="clear"/>
            <w:vAlign w:val="center"/>
          </w:tcPr>
          <w:p>
            <w:pPr>
              <w:pStyle w:val="TableContents"/>
              <w:bidi w:val="0"/>
              <w:spacing w:before="0" w:after="283"/>
              <w:ind w:left="0" w:right="0" w:hanging="180"/>
              <w:jc w:val="left"/>
              <w:rPr/>
            </w:pPr>
            <w:r>
              <w:rPr/>
              <w:t>%</w:t>
            </w:r>
          </w:p>
        </w:tc>
      </w:tr>
      <w:tr>
        <w:trPr/>
        <w:tc>
          <w:tcPr>
            <w:tcW w:w="5130"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Adjusted EBITDA margin</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41</w:t>
            </w:r>
          </w:p>
        </w:tc>
        <w:tc>
          <w:tcPr>
            <w:tcW w:w="23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 xml:space="preserve">BASIC AND DILUTED EARNINGS PER SHARE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EARNINGS PER SHARE (A NON-IFRS MEASURE)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8"/>
        <w:gridCol w:w="60"/>
        <w:gridCol w:w="65"/>
        <w:gridCol w:w="870"/>
        <w:gridCol w:w="65"/>
        <w:gridCol w:w="65"/>
        <w:gridCol w:w="65"/>
        <w:gridCol w:w="870"/>
        <w:gridCol w:w="60"/>
        <w:gridCol w:w="60"/>
        <w:gridCol w:w="60"/>
        <w:gridCol w:w="800"/>
        <w:gridCol w:w="60"/>
        <w:gridCol w:w="60"/>
        <w:gridCol w:w="60"/>
        <w:gridCol w:w="800"/>
        <w:gridCol w:w="77"/>
      </w:tblGrid>
      <w:tr>
        <w:trPr/>
        <w:tc>
          <w:tcPr>
            <w:tcW w:w="6108" w:type="dxa"/>
            <w:tcBorders/>
            <w:vAlign w:val="center"/>
          </w:tcPr>
          <w:p>
            <w:pPr>
              <w:pStyle w:val="TableContents"/>
              <w:bidi w:val="0"/>
              <w:spacing w:before="0" w:after="283"/>
              <w:ind w:left="0" w:right="0" w:hanging="180"/>
              <w:jc w:val="righ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August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77" w:type="dxa"/>
            <w:tcBorders/>
            <w:vAlign w:val="center"/>
          </w:tcPr>
          <w:p>
            <w:pPr>
              <w:pStyle w:val="TableContents"/>
              <w:bidi w:val="0"/>
              <w:spacing w:before="0" w:after="283"/>
              <w:ind w:left="0" w:right="0" w:hanging="180"/>
              <w:jc w:val="left"/>
              <w:rPr/>
            </w:pPr>
            <w:r>
              <w:rPr/>
              <w:t> </w:t>
            </w:r>
          </w:p>
        </w:tc>
      </w:tr>
      <w:tr>
        <w:trPr/>
        <w:tc>
          <w:tcPr>
            <w:tcW w:w="6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ind w:left="0" w:right="0" w:hanging="180"/>
              <w:jc w:val="left"/>
              <w:rPr/>
            </w:pPr>
            <w:r>
              <w:rPr/>
              <w:t> </w:t>
            </w:r>
          </w:p>
        </w:tc>
      </w:tr>
      <w:tr>
        <w:trPr/>
        <w:tc>
          <w:tcPr>
            <w:tcW w:w="6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960" w:type="dxa"/>
            <w:gridSpan w:val="14"/>
            <w:tcBorders/>
            <w:vAlign w:val="center"/>
          </w:tcPr>
          <w:p>
            <w:pPr>
              <w:pStyle w:val="TableContents"/>
              <w:bidi w:val="0"/>
              <w:spacing w:before="0" w:after="283"/>
              <w:jc w:val="center"/>
              <w:rPr>
                <w:b/>
              </w:rPr>
            </w:pPr>
            <w:r>
              <w:rPr>
                <w:b/>
              </w:rPr>
              <w:t>(Rand Thousands)</w:t>
            </w:r>
          </w:p>
        </w:tc>
        <w:tc>
          <w:tcPr>
            <w:tcW w:w="77" w:type="dxa"/>
            <w:tcBorders/>
            <w:vAlign w:val="center"/>
          </w:tcPr>
          <w:p>
            <w:pPr>
              <w:pStyle w:val="TableContents"/>
              <w:bidi w:val="0"/>
              <w:spacing w:before="0" w:after="283"/>
              <w:ind w:left="0" w:right="0" w:hanging="180"/>
              <w:jc w:val="left"/>
              <w:rPr/>
            </w:pPr>
            <w:r>
              <w:rPr/>
              <w:t> </w:t>
            </w:r>
          </w:p>
        </w:tc>
      </w:tr>
      <w:tr>
        <w:trPr/>
        <w:tc>
          <w:tcPr>
            <w:tcW w:w="6108" w:type="dxa"/>
            <w:tcBorders/>
            <w:vAlign w:val="center"/>
          </w:tcPr>
          <w:p>
            <w:pPr>
              <w:pStyle w:val="TableContents"/>
              <w:bidi w:val="0"/>
              <w:spacing w:before="0" w:after="283"/>
              <w:jc w:val="left"/>
              <w:rPr>
                <w:b/>
              </w:rPr>
            </w:pPr>
            <w:r>
              <w:rPr>
                <w:b/>
              </w:rPr>
              <w:t>Reconciliation between basic earnings and adjusted earnings (a non-IFRS measure)</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6108"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286,770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243,576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581,029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507,671</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108" w:type="dxa"/>
            <w:tcBorders/>
            <w:shd w:fill="FFFFFF" w:val="clear"/>
            <w:vAlign w:val="center"/>
          </w:tcPr>
          <w:p>
            <w:pPr>
              <w:pStyle w:val="TableContents"/>
              <w:bidi w:val="0"/>
              <w:spacing w:before="0" w:after="283"/>
              <w:jc w:val="left"/>
              <w:rPr/>
            </w:pPr>
            <w:r>
              <w:rPr/>
              <w:t>Adjust for:</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6108"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Offering costs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12,172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12,172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108" w:type="dxa"/>
            <w:tcBorders/>
            <w:shd w:fill="FFFFFF" w:val="clear"/>
            <w:vAlign w:val="center"/>
          </w:tcPr>
          <w:p>
            <w:pPr>
              <w:pStyle w:val="TableContents"/>
              <w:bidi w:val="0"/>
              <w:spacing w:before="0" w:after="283"/>
              <w:jc w:val="left"/>
              <w:rPr>
                <w:b w:val="false"/>
                <w:i w:val="false"/>
                <w:caps w:val="false"/>
                <w:smallCaps w:val="false"/>
              </w:rPr>
            </w:pPr>
            <w:r>
              <w:rPr>
                <w:b/>
                <w:i w:val="false"/>
                <w:caps w:val="false"/>
                <w:smallCaps w:val="false"/>
              </w:rPr>
              <w:t>Adjusted profit attributable to ordinary shareholders</w:t>
            </w:r>
            <w:r>
              <w:rPr>
                <w:b w:val="false"/>
                <w:i w:val="false"/>
                <w:caps w:val="false"/>
                <w:smallCaps w:val="false"/>
              </w:rPr>
              <w:t xml:space="preserve"> (a non-IFRS measure)</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double" w:sz="10" w:space="0" w:color="000000"/>
            </w:tcBorders>
            <w:shd w:fill="FFFFFF" w:val="clear"/>
            <w:tcMar>
              <w:bottom w:w="28" w:type="dxa"/>
            </w:tcMar>
            <w:vAlign w:val="center"/>
          </w:tcPr>
          <w:p>
            <w:pPr>
              <w:pStyle w:val="TableContents"/>
              <w:bidi w:val="0"/>
              <w:spacing w:before="0" w:after="283"/>
              <w:jc w:val="right"/>
              <w:rPr/>
            </w:pPr>
            <w:r>
              <w:rPr/>
              <w:t>286,770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double" w:sz="10" w:space="0" w:color="000000"/>
            </w:tcBorders>
            <w:shd w:fill="FFFFFF" w:val="clear"/>
            <w:tcMar>
              <w:bottom w:w="28" w:type="dxa"/>
            </w:tcMar>
            <w:vAlign w:val="center"/>
          </w:tcPr>
          <w:p>
            <w:pPr>
              <w:pStyle w:val="TableContents"/>
              <w:bidi w:val="0"/>
              <w:spacing w:before="0" w:after="283"/>
              <w:jc w:val="right"/>
              <w:rPr/>
            </w:pPr>
            <w:r>
              <w:rPr/>
              <w:t>255,748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581,029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519,843</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6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108" w:type="dxa"/>
            <w:tcBorders/>
            <w:shd w:fill="FFFFFF" w:val="clear"/>
            <w:vAlign w:val="center"/>
          </w:tcPr>
          <w:p>
            <w:pPr>
              <w:pStyle w:val="TableContents"/>
              <w:bidi w:val="0"/>
              <w:spacing w:before="0" w:after="283"/>
              <w:jc w:val="both"/>
              <w:rPr/>
            </w:pPr>
            <w:r>
              <w:rPr/>
              <w:t>Weighted average number of ordinary shares in issue at period end (000’s) on which the per share figures have been calculated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30,893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30,893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30,893</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6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108" w:type="dxa"/>
            <w:tcBorders/>
            <w:shd w:fill="FFFFFF" w:val="clear"/>
            <w:vAlign w:val="center"/>
          </w:tcPr>
          <w:p>
            <w:pPr>
              <w:pStyle w:val="TableContents"/>
              <w:bidi w:val="0"/>
              <w:spacing w:before="0" w:after="283"/>
              <w:jc w:val="left"/>
              <w:rPr>
                <w:b/>
              </w:rPr>
            </w:pPr>
            <w:r>
              <w:rPr>
                <w:b/>
              </w:rPr>
              <w:t>Basic and diluted earnings per share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9.28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16.43</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6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basic and diluted earnings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9.28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16.83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i/>
              </w:rPr>
            </w:pPr>
            <w:r>
              <w:rPr>
                <w:i/>
              </w:rPr>
              <w:t>1.</w:t>
            </w:r>
          </w:p>
        </w:tc>
        <w:tc>
          <w:tcPr>
            <w:tcW w:w="10021" w:type="dxa"/>
            <w:tcBorders/>
            <w:vAlign w:val="center"/>
          </w:tcPr>
          <w:p>
            <w:pPr>
              <w:pStyle w:val="TableContents"/>
              <w:bidi w:val="0"/>
              <w:spacing w:before="0" w:after="283"/>
              <w:jc w:val="both"/>
              <w:rPr>
                <w:i/>
              </w:rPr>
            </w:pPr>
            <w:r>
              <w:rPr>
                <w:i/>
              </w:rPr>
              <w:t>Adjusted earnings per share, (a non-IFRS measure) is defined as earnings per share defined by IFRS excluding the impact of specific non-recurring operational expenses as outlined in the reconciliation.</w:t>
            </w:r>
          </w:p>
        </w:tc>
      </w:tr>
    </w:tbl>
    <w:p>
      <w:pPr>
        <w:pStyle w:val="TextBody"/>
        <w:bidi w:val="0"/>
        <w:spacing w:before="0" w:after="0"/>
        <w:ind w:left="426"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 xml:space="preserve">RECONCILIATION OF BASIC AND DILUTED EARNINGS PER SHARE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HEADLINE EARNINGS PER SHARE (A NON-IFRS MEASURE)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82"/>
        <w:gridCol w:w="60"/>
        <w:gridCol w:w="65"/>
        <w:gridCol w:w="871"/>
        <w:gridCol w:w="103"/>
        <w:gridCol w:w="65"/>
        <w:gridCol w:w="65"/>
        <w:gridCol w:w="871"/>
        <w:gridCol w:w="95"/>
        <w:gridCol w:w="60"/>
        <w:gridCol w:w="60"/>
        <w:gridCol w:w="800"/>
        <w:gridCol w:w="95"/>
        <w:gridCol w:w="60"/>
        <w:gridCol w:w="60"/>
        <w:gridCol w:w="800"/>
        <w:gridCol w:w="93"/>
      </w:tblGrid>
      <w:tr>
        <w:trPr/>
        <w:tc>
          <w:tcPr>
            <w:tcW w:w="5982" w:type="dxa"/>
            <w:tcBorders/>
            <w:vAlign w:val="center"/>
          </w:tcPr>
          <w:p>
            <w:pPr>
              <w:pStyle w:val="TableContents"/>
              <w:bidi w:val="0"/>
              <w:spacing w:before="0" w:after="283"/>
              <w:ind w:left="0" w:right="0" w:hanging="180"/>
              <w:jc w:val="righ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August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93" w:type="dxa"/>
            <w:tcBorders/>
            <w:vAlign w:val="center"/>
          </w:tcPr>
          <w:p>
            <w:pPr>
              <w:pStyle w:val="TableContents"/>
              <w:bidi w:val="0"/>
              <w:spacing w:before="0" w:after="283"/>
              <w:ind w:left="0" w:right="0" w:hanging="180"/>
              <w:jc w:val="left"/>
              <w:rPr/>
            </w:pPr>
            <w:r>
              <w:rPr/>
              <w:t> </w:t>
            </w:r>
          </w:p>
        </w:tc>
      </w:tr>
      <w:tr>
        <w:trPr/>
        <w:tc>
          <w:tcPr>
            <w:tcW w:w="59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3" w:type="dxa"/>
            <w:tcBorders/>
            <w:vAlign w:val="center"/>
          </w:tcPr>
          <w:p>
            <w:pPr>
              <w:pStyle w:val="TableContents"/>
              <w:bidi w:val="0"/>
              <w:spacing w:before="0" w:after="283"/>
              <w:ind w:left="0" w:right="0" w:hanging="180"/>
              <w:jc w:val="left"/>
              <w:rPr/>
            </w:pPr>
            <w:r>
              <w:rPr/>
              <w:t> </w:t>
            </w:r>
          </w:p>
        </w:tc>
      </w:tr>
      <w:tr>
        <w:trPr/>
        <w:tc>
          <w:tcPr>
            <w:tcW w:w="59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070" w:type="dxa"/>
            <w:gridSpan w:val="14"/>
            <w:tcBorders/>
            <w:vAlign w:val="center"/>
          </w:tcPr>
          <w:p>
            <w:pPr>
              <w:pStyle w:val="TableContents"/>
              <w:bidi w:val="0"/>
              <w:spacing w:before="0" w:after="283"/>
              <w:jc w:val="center"/>
              <w:rPr>
                <w:b/>
              </w:rPr>
            </w:pPr>
            <w:r>
              <w:rPr>
                <w:b/>
              </w:rPr>
              <w:t>(Rand Thousands)</w:t>
            </w:r>
          </w:p>
        </w:tc>
        <w:tc>
          <w:tcPr>
            <w:tcW w:w="93" w:type="dxa"/>
            <w:tcBorders/>
            <w:vAlign w:val="center"/>
          </w:tcPr>
          <w:p>
            <w:pPr>
              <w:pStyle w:val="TableContents"/>
              <w:bidi w:val="0"/>
              <w:spacing w:before="0" w:after="283"/>
              <w:ind w:left="0" w:right="0" w:hanging="180"/>
              <w:jc w:val="left"/>
              <w:rPr/>
            </w:pPr>
            <w:r>
              <w:rPr/>
              <w:t> </w:t>
            </w:r>
          </w:p>
        </w:tc>
      </w:tr>
      <w:tr>
        <w:trPr/>
        <w:tc>
          <w:tcPr>
            <w:tcW w:w="5982" w:type="dxa"/>
            <w:tcBorders/>
            <w:vAlign w:val="center"/>
          </w:tcPr>
          <w:p>
            <w:pPr>
              <w:pStyle w:val="TableContents"/>
              <w:bidi w:val="0"/>
              <w:spacing w:before="0" w:after="283"/>
              <w:jc w:val="left"/>
              <w:rPr>
                <w:b/>
              </w:rPr>
            </w:pPr>
            <w:r>
              <w:rPr>
                <w:b/>
              </w:rPr>
              <w:t>Reconciliation between basic earnings to headline earnings (a non-IFRS measure)</w:t>
            </w:r>
          </w:p>
        </w:tc>
        <w:tc>
          <w:tcPr>
            <w:tcW w:w="60" w:type="dxa"/>
            <w:tcBorders/>
            <w:vAlign w:val="center"/>
          </w:tcPr>
          <w:p>
            <w:pPr>
              <w:pStyle w:val="TableContents"/>
              <w:bidi w:val="0"/>
              <w:spacing w:before="0" w:after="283"/>
              <w:jc w:val="left"/>
              <w:rPr/>
            </w:pPr>
            <w:r>
              <w:rPr/>
              <w:t> </w:t>
            </w:r>
          </w:p>
        </w:tc>
        <w:tc>
          <w:tcPr>
            <w:tcW w:w="4070" w:type="dxa"/>
            <w:gridSpan w:val="14"/>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5982"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CCEEFF" w:val="clear"/>
            <w:tcMar>
              <w:bottom w:w="28" w:type="dxa"/>
            </w:tcMar>
            <w:vAlign w:val="center"/>
          </w:tcPr>
          <w:p>
            <w:pPr>
              <w:pStyle w:val="TableContents"/>
              <w:bidi w:val="0"/>
              <w:spacing w:before="0" w:after="283"/>
              <w:jc w:val="right"/>
              <w:rPr/>
            </w:pPr>
            <w:r>
              <w:rPr/>
              <w:t>286,770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CCEEFF" w:val="clear"/>
            <w:tcMar>
              <w:bottom w:w="28" w:type="dxa"/>
            </w:tcMar>
            <w:vAlign w:val="center"/>
          </w:tcPr>
          <w:p>
            <w:pPr>
              <w:pStyle w:val="TableContents"/>
              <w:bidi w:val="0"/>
              <w:spacing w:before="0" w:after="283"/>
              <w:jc w:val="right"/>
              <w:rPr/>
            </w:pPr>
            <w:r>
              <w:rPr/>
              <w:t>243,576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581,029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507,671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982" w:type="dxa"/>
            <w:tcBorders/>
            <w:shd w:fill="FFFFFF" w:val="clear"/>
            <w:vAlign w:val="center"/>
          </w:tcPr>
          <w:p>
            <w:pPr>
              <w:pStyle w:val="TableContents"/>
              <w:bidi w:val="0"/>
              <w:spacing w:before="0" w:after="283"/>
              <w:jc w:val="left"/>
              <w:rPr/>
            </w:pPr>
            <w:r>
              <w:rPr/>
              <w:t>Adjust for:</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982" w:type="dxa"/>
            <w:tcBorders/>
            <w:shd w:fill="CCEEFF" w:val="clear"/>
            <w:vAlign w:val="center"/>
          </w:tcPr>
          <w:p>
            <w:pPr>
              <w:pStyle w:val="TableContents"/>
              <w:bidi w:val="0"/>
              <w:spacing w:before="0" w:after="283"/>
              <w:jc w:val="both"/>
              <w:rPr/>
            </w:pPr>
            <w:r>
              <w:rPr/>
              <w:t>(Gain)/loss on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(692</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(1,512</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982" w:type="dxa"/>
            <w:tcBorders/>
            <w:shd w:fill="FFFFFF" w:val="clear"/>
            <w:vAlign w:val="center"/>
          </w:tcPr>
          <w:p>
            <w:pPr>
              <w:pStyle w:val="TableContents"/>
              <w:bidi w:val="0"/>
              <w:spacing w:before="0" w:after="283"/>
              <w:jc w:val="left"/>
              <w:rPr/>
            </w:pPr>
            <w:r>
              <w:rPr/>
              <w:t>Tax effect on (gain)/loss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187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408</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982"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Headline earnings</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double" w:sz="10" w:space="0" w:color="000000"/>
            </w:tcBorders>
            <w:shd w:fill="CCEEFF" w:val="clear"/>
            <w:tcMar>
              <w:bottom w:w="28" w:type="dxa"/>
            </w:tcMar>
            <w:vAlign w:val="center"/>
          </w:tcPr>
          <w:p>
            <w:pPr>
              <w:pStyle w:val="TableContents"/>
              <w:bidi w:val="0"/>
              <w:spacing w:before="0" w:after="283"/>
              <w:jc w:val="right"/>
              <w:rPr/>
            </w:pPr>
            <w:r>
              <w:rPr/>
              <w:t>286,265</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double" w:sz="10" w:space="0" w:color="000000"/>
            </w:tcBorders>
            <w:shd w:fill="CCEEFF" w:val="clear"/>
            <w:tcMar>
              <w:bottom w:w="28" w:type="dxa"/>
            </w:tcMar>
            <w:vAlign w:val="center"/>
          </w:tcPr>
          <w:p>
            <w:pPr>
              <w:pStyle w:val="TableContents"/>
              <w:bidi w:val="0"/>
              <w:spacing w:before="0" w:after="283"/>
              <w:jc w:val="right"/>
              <w:rPr/>
            </w:pPr>
            <w:r>
              <w:rPr/>
              <w:t>242,926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579,982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506,567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982" w:type="dxa"/>
            <w:tcBorders/>
            <w:shd w:fill="FFFFFF" w:val="clear"/>
            <w:vAlign w:val="center"/>
          </w:tcPr>
          <w:p>
            <w:pPr>
              <w:pStyle w:val="TableContents"/>
              <w:bidi w:val="0"/>
              <w:spacing w:before="0" w:after="283"/>
              <w:jc w:val="left"/>
              <w:rPr/>
            </w:pPr>
            <w:r>
              <w:rPr/>
              <w:t>Weighted average number of ordinary shares in issue at period end (000’s) on which the per share figures have been calculated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30,893</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30,893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30,893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982" w:type="dxa"/>
            <w:tcBorders/>
            <w:shd w:fill="CCEEFF" w:val="clear"/>
            <w:vAlign w:val="center"/>
          </w:tcPr>
          <w:p>
            <w:pPr>
              <w:pStyle w:val="TableContents"/>
              <w:bidi w:val="0"/>
              <w:spacing w:before="0" w:after="283"/>
              <w:jc w:val="left"/>
              <w:rPr>
                <w:b/>
              </w:rPr>
            </w:pPr>
            <w:r>
              <w:rPr>
                <w:b/>
              </w:rPr>
              <w:t>Basic and diluted earnings per share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9.28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16.43</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982"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Basic and diluted headline earnings per share</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9.27</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16.40</w:t>
            </w:r>
          </w:p>
        </w:tc>
        <w:tc>
          <w:tcPr>
            <w:tcW w:w="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headline earnings per share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 Basic or diluted HEPS is calculated using profit attributable to shareholders adjusted for (gain)/loss on disposal of property, plant and equipment divided by the weighted average number of ordinary shares in issue. We have provided a reconciliation between our profit attributable to shareholders used to calculate basic and diluted earnings per share and headline earnings used to calculate the HEPS and have included the weighted average number of shares in issue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CONSTANT CURRENCY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information has been presented to illustrate the impact of changes in currency rates on the group’s results. The tables below provide the unaudited constant currency reconciliation to the reported measure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and Half Year Ended August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constant currency information has been determined by adjusting the current financial reporting period results to the results reported for the three months and half year ended August 31, 2025. The measurement has been performed for each of the group’s operating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0" w:right="0" w:hanging="0"/>
        <w:jc w:val="both"/>
        <w:rPr>
          <w:caps w:val="false"/>
          <w:smallCaps w:val="false"/>
        </w:rPr>
      </w:pPr>
      <w:r>
        <w:rPr>
          <w:caps w:val="false"/>
          <w:smallCaps w:val="false"/>
        </w:rPr>
        <w:t> </w:t>
      </w:r>
    </w:p>
    <w:tbl>
      <w:tblPr>
        <w:tblW w:w="9164" w:type="dxa"/>
        <w:jc w:val="left"/>
        <w:tblInd w:w="0" w:type="dxa"/>
        <w:tblLayout w:type="fixed"/>
        <w:tblCellMar>
          <w:top w:w="0" w:type="dxa"/>
          <w:left w:w="0" w:type="dxa"/>
          <w:bottom w:w="0" w:type="dxa"/>
          <w:right w:w="0" w:type="dxa"/>
        </w:tblCellMar>
      </w:tblPr>
      <w:tblGrid>
        <w:gridCol w:w="4745"/>
        <w:gridCol w:w="60"/>
        <w:gridCol w:w="76"/>
        <w:gridCol w:w="1249"/>
        <w:gridCol w:w="76"/>
        <w:gridCol w:w="76"/>
        <w:gridCol w:w="76"/>
        <w:gridCol w:w="1249"/>
        <w:gridCol w:w="76"/>
        <w:gridCol w:w="76"/>
        <w:gridCol w:w="220"/>
        <w:gridCol w:w="955"/>
        <w:gridCol w:w="23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August 31,</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Quarter-</w:t>
              <w:br/>
              <w:t>on-Quarter</w:t>
              <w:br/>
              <w:t>Change</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2" w:type="dxa"/>
            <w:gridSpan w:val="6"/>
            <w:tcBorders/>
            <w:vAlign w:val="center"/>
          </w:tcPr>
          <w:p>
            <w:pPr>
              <w:pStyle w:val="TableContents"/>
              <w:bidi w:val="0"/>
              <w:spacing w:before="0" w:after="283"/>
              <w:jc w:val="center"/>
              <w:rPr>
                <w:b/>
              </w:rPr>
            </w:pPr>
            <w:r>
              <w:rPr>
                <w:b/>
              </w:rPr>
              <w:t>(Rand Thousands)</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1,418,099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1,182,284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39,877</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1,457,976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1,182,284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pPr>
            <w:r>
              <w:rPr/>
              <w:t>23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0" w:right="0" w:hanging="0"/>
        <w:jc w:val="both"/>
        <w:rPr>
          <w:caps w:val="false"/>
          <w:smallCaps w:val="false"/>
        </w:rPr>
      </w:pPr>
      <w:r>
        <w:rPr>
          <w:caps w:val="false"/>
          <w:smallCaps w:val="false"/>
        </w:rPr>
        <w:t> </w:t>
      </w:r>
    </w:p>
    <w:tbl>
      <w:tblPr>
        <w:tblW w:w="9328" w:type="dxa"/>
        <w:jc w:val="left"/>
        <w:tblInd w:w="0" w:type="dxa"/>
        <w:tblLayout w:type="fixed"/>
        <w:tblCellMar>
          <w:top w:w="0" w:type="dxa"/>
          <w:left w:w="0" w:type="dxa"/>
          <w:bottom w:w="0" w:type="dxa"/>
          <w:right w:w="0" w:type="dxa"/>
        </w:tblCellMar>
      </w:tblPr>
      <w:tblGrid>
        <w:gridCol w:w="4055"/>
        <w:gridCol w:w="60"/>
        <w:gridCol w:w="76"/>
        <w:gridCol w:w="1249"/>
        <w:gridCol w:w="76"/>
        <w:gridCol w:w="76"/>
        <w:gridCol w:w="76"/>
        <w:gridCol w:w="1249"/>
        <w:gridCol w:w="76"/>
        <w:gridCol w:w="76"/>
        <w:gridCol w:w="380"/>
        <w:gridCol w:w="1649"/>
        <w:gridCol w:w="23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August 31,</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Quarter-</w:t>
              <w:br/>
              <w:t>on-Quarter Change</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2" w:type="dxa"/>
            <w:gridSpan w:val="6"/>
            <w:tcBorders/>
            <w:vAlign w:val="center"/>
          </w:tcPr>
          <w:p>
            <w:pPr>
              <w:pStyle w:val="TableContents"/>
              <w:bidi w:val="0"/>
              <w:spacing w:before="0" w:after="283"/>
              <w:jc w:val="center"/>
              <w:rPr>
                <w:b/>
              </w:rPr>
            </w:pPr>
            <w:r>
              <w:rPr>
                <w:b/>
              </w:rPr>
              <w:t>(Rand Thousands)</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1,640,213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1,343,894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40,688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1,680,901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1,343,894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double" w:sz="10" w:space="0" w:color="000000"/>
            </w:tcBorders>
            <w:shd w:fill="CCEEFF" w:val="clear"/>
            <w:tcMar>
              <w:bottom w:w="28" w:type="dxa"/>
            </w:tcM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0" w:right="0" w:hanging="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4745"/>
        <w:gridCol w:w="60"/>
        <w:gridCol w:w="69"/>
        <w:gridCol w:w="1137"/>
        <w:gridCol w:w="69"/>
        <w:gridCol w:w="69"/>
        <w:gridCol w:w="69"/>
        <w:gridCol w:w="1137"/>
        <w:gridCol w:w="69"/>
        <w:gridCol w:w="69"/>
        <w:gridCol w:w="214"/>
        <w:gridCol w:w="931"/>
        <w:gridCol w:w="23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August 31,</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br/>
              <w:t>on-Year</w:t>
              <w:br/>
              <w:t>Change</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0" w:type="dxa"/>
            <w:gridSpan w:val="6"/>
            <w:tcBorders/>
            <w:vAlign w:val="center"/>
          </w:tcPr>
          <w:p>
            <w:pPr>
              <w:pStyle w:val="TableContents"/>
              <w:bidi w:val="0"/>
              <w:spacing w:before="0" w:after="283"/>
              <w:jc w:val="center"/>
              <w:rPr>
                <w:b/>
              </w:rPr>
            </w:pPr>
            <w:r>
              <w:rPr>
                <w:b/>
              </w:rPr>
              <w:t>(Rand Thousands)</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2,771,831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2,323,343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pPr>
            <w:r>
              <w:rPr/>
              <w:t>70,746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pPr>
            <w:r>
              <w:rPr/>
              <w:t>2,842,577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pPr>
            <w:r>
              <w:rPr/>
              <w:t>2,323,343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0" w:right="0" w:hanging="0"/>
        <w:jc w:val="left"/>
        <w:rPr>
          <w:caps w:val="false"/>
          <w:smallCaps w:val="false"/>
        </w:rPr>
      </w:pPr>
      <w:r>
        <w:rPr>
          <w:caps w:val="false"/>
          <w:smallCaps w:val="false"/>
        </w:rPr>
        <w:t> </w:t>
      </w:r>
    </w:p>
    <w:tbl>
      <w:tblPr>
        <w:tblW w:w="8747" w:type="dxa"/>
        <w:jc w:val="left"/>
        <w:tblInd w:w="0" w:type="dxa"/>
        <w:tblLayout w:type="fixed"/>
        <w:tblCellMar>
          <w:top w:w="0" w:type="dxa"/>
          <w:left w:w="0" w:type="dxa"/>
          <w:bottom w:w="0" w:type="dxa"/>
          <w:right w:w="0" w:type="dxa"/>
        </w:tblCellMar>
      </w:tblPr>
      <w:tblGrid>
        <w:gridCol w:w="4055"/>
        <w:gridCol w:w="60"/>
        <w:gridCol w:w="69"/>
        <w:gridCol w:w="1137"/>
        <w:gridCol w:w="69"/>
        <w:gridCol w:w="69"/>
        <w:gridCol w:w="69"/>
        <w:gridCol w:w="1137"/>
        <w:gridCol w:w="69"/>
        <w:gridCol w:w="69"/>
        <w:gridCol w:w="321"/>
        <w:gridCol w:w="1393"/>
        <w:gridCol w:w="23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August 31,</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br/>
              <w:t>on-Year Change</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0" w:type="dxa"/>
            <w:gridSpan w:val="6"/>
            <w:tcBorders/>
            <w:vAlign w:val="center"/>
          </w:tcPr>
          <w:p>
            <w:pPr>
              <w:pStyle w:val="TableContents"/>
              <w:bidi w:val="0"/>
              <w:spacing w:before="0" w:after="283"/>
              <w:jc w:val="center"/>
              <w:rPr>
                <w:b/>
              </w:rPr>
            </w:pPr>
            <w:r>
              <w:rPr>
                <w:b/>
              </w:rPr>
              <w:t>(Rand Thousands)</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3,204,160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2,620,911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pPr>
            <w:r>
              <w:rPr/>
              <w:t>72,136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pPr>
            <w:r>
              <w:rPr/>
              <w:t>3,276,296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pPr>
            <w:r>
              <w:rPr/>
              <w:t>2,620,911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3" w:type="dxa"/>
            <w:tcBorders>
              <w:bottom w:val="double" w:sz="10" w:space="0" w:color="000000"/>
            </w:tcBorders>
            <w:shd w:fill="CCEEFF" w:val="clear"/>
            <w:tcMar>
              <w:bottom w:w="28" w:type="dxa"/>
            </w:tcM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DEFINITIONS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per share, (a non-IFRS measure) is defined as, earnings per share defined by IFRS excluding the impact of non-recurring operational expenses relating to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Delivery-as-a-service Revenue (DaaS)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Delivery-as-a-Service (DaaS) revenue as the total revenue generated from last-mile delivery services, including subscription-based revenue associated with these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Annualized Recurring Revenue (ARR)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 (a non-IFRS measure) is defined as the annual run-rate subscription revenue of subscription agreements from all customers at a point in time, calculated by taking the monthly subscription revenue for all customers during that month and multiplying by twelve. ARR is not adjusted for the impact of any known or projected future customer cancellations, service upgrades or downgrades or price increases or decreases. The amount of actual revenue that we recognize over any 12-month period is likely to differ from ARR at the beginning of that period, sometimes significantly. This may occur due to subsequent changes in our pricing, service cancellations, upgrades or downgrades and acquisitions or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Revenue per Subscriber per month (ARPU)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ARPU (a non-IFRS measure) is calculated on a periodic basis by dividing the cumulative subscription revenue for the period by the average of the opening subscriber balance at the beginning of the period and closing subscriber balance at the end of the period and dividing this by the number of months in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Cartrack Holdings </w:t>
      </w:r>
      <w:r>
        <w:rPr>
          <w:rFonts w:ascii="Times New Roman;Times;Serif" w:hAnsi="Times New Roman;Times;Serif"/>
          <w:b w:val="false"/>
          <w:i w:val="false"/>
          <w:caps w:val="false"/>
          <w:smallCaps w:val="false"/>
          <w:sz w:val="20"/>
        </w:rPr>
        <w:t>(“Cartrack”)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Free Cash Flow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that provides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from operating activities and net cash generated from operating activities as a percentage of revenue, their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of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revenue growth and operating margin for a period of 12 months sum to greater than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of 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revenue growth and adjusted EBITDA margin for the period of 12 months sum to greater than 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non-IFRS financial measures that are used as reference of Cartrack’s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Lifetime value (LTV of a Customer) of customer relationships to customer acquisition costs (CAC)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our customer relationships as of a measurement date by dividing (i) the product of our subscription revenue gross margin measured over the past twelve months, and the difference between our current period ARR and prior comparative period (twelve months) ARR by (ii) the percentage of ARR lost as a result of customer churn over the past twelve months. We calculate our CAC as our annual sales and marketing expense measured over the past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Lifetime value (LTV of a Subscriber), cost of acquiring a subscriber (CAS) and </w:t>
      </w:r>
      <w:r>
        <w:rPr>
          <w:rFonts w:ascii="Times New Roman;Times;Serif" w:hAnsi="Times New Roman;Times;Serif"/>
          <w:b w:val="false"/>
          <w:i w:val="false"/>
          <w:caps w:val="false"/>
          <w:smallCaps w:val="false"/>
          <w:sz w:val="20"/>
        </w:rPr>
        <w:t>cost of servicing a subscriber (CSS)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CAS, which is calculated on a per subscriber basis, as (i) sales and marketing expenses, plus (ii) sales commissions, plus (iii) cost of installing IoT equipment, divided by (iv) the average subscriber base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announcement and press release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growth,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vary from projected results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
        <w:gridCol w:w="170"/>
        <w:gridCol w:w="9934"/>
      </w:tblGrid>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acquire new customers and retain existing customers;</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effects of macroeconomic and geopolitical events on our business, customers and partners – including pandemic or widespread illness outbreaks, the Russia-Ukraine and Middle Eastern conflicts, political and economic uncertainty in Mozambique, geopolitical tensions involving China, financial distress caused by bank failures, global supply chain disruptions, foreign currency fluctuations, elevated inflation and interest rates, and shifting trade and monetary policies;</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anticipated growth strategies, including our ability to increase sales to existing customers, the introduction of new solutions and international expansion;</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adapt to rapid technological change in our industry, including artificial intelligence;</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cellular networks;</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industry consolidation;</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adoption of operational intelligence and fleet management platforms;</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automotive market conditions and the evolving nature of the automotive industry towards autonomous vehicles;</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profitability and certain cost or expense items as a percentage of our revenue;</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certain key component suppliers and vendors;</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or enhance our brand recognition;</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101"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our key personnel or attract, train, and retain other highly qualified personnel;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and evolving nature of laws and regulations relating to the internet, including cybersecurity and data privacy;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protect our intellectual property and proprietary technologies and address any infringement claims;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disruption in service on, or security breaches of, our websites or computer systems, including as a result of artificial intelligence;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dependence on third-party technology and licenses;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the value of the South African rand and inflation rates in the countries in which we conduct business;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capital markets in the future;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 factors discussed under “Risk Factors” in our latest Annual Report on Form 20-F and other reports filed with the U.S.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announcement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announcement is the property of its respective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9554</Words>
  <Characters>54169</Characters>
  <CharactersWithSpaces>65057</CharactersWithSpaces>
  <Paragraphs>4247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