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4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14, 2025 - Karooooo Ltd. Announces Fourth Quarter and full year FY 2025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320" w:type="dxa"/>
            <w:vAlign w:val="bottom"/>
            <w:tcBorders>
              <w:top w:val="single" w:sz="8" w:color="0000EE"/>
              <w:bottom w:val="single" w:sz="8" w:color="auto"/>
            </w:tcBorders>
          </w:tcPr>
          <w:p>
            <w:pPr>
              <w:jc w:val="right"/>
              <w:ind w:right="471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0" w:hanging="148"/>
        <w:spacing w:after="0"/>
        <w:tabs>
          <w:tab w:leader="none" w:pos="18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record Karooooo revenue, operating income and EPS for the fourth quarter and full year FY 2025</w:t>
      </w:r>
    </w:p>
    <w:p>
      <w:pPr>
        <w:spacing w:after="0" w:line="225" w:lineRule="exact"/>
        <w:rPr>
          <w:rFonts w:ascii="Times New Roman" w:cs="Times New Roman" w:eastAsia="Times New Roman" w:hAnsi="Times New Roman"/>
          <w:sz w:val="18"/>
          <w:szCs w:val="18"/>
          <w:color w:val="auto"/>
        </w:rPr>
      </w:pPr>
    </w:p>
    <w:p>
      <w:pPr>
        <w:ind w:left="1700" w:hanging="156"/>
        <w:spacing w:after="0"/>
        <w:tabs>
          <w:tab w:leader="none" w:pos="1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FY 2025 EPS increased 25% Y/Y to ZAR29.81 and Adjusted EPS increased 33% Y/Y to ZAR31.67</w:t>
      </w:r>
    </w:p>
    <w:p>
      <w:pPr>
        <w:spacing w:after="0" w:line="225" w:lineRule="exact"/>
        <w:rPr>
          <w:sz w:val="20"/>
          <w:szCs w:val="20"/>
          <w:color w:val="auto"/>
        </w:rPr>
      </w:pPr>
    </w:p>
    <w:p>
      <w:pPr>
        <w:ind w:left="3660" w:hanging="152"/>
        <w:spacing w:after="0"/>
        <w:tabs>
          <w:tab w:leader="none" w:pos="36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Subscribers increased 17% Y/Y to 2.3 million</w:t>
      </w:r>
    </w:p>
    <w:p>
      <w:pPr>
        <w:spacing w:after="0" w:line="225" w:lineRule="exact"/>
        <w:rPr>
          <w:rFonts w:ascii="Times New Roman" w:cs="Times New Roman" w:eastAsia="Times New Roman" w:hAnsi="Times New Roman"/>
          <w:sz w:val="18"/>
          <w:szCs w:val="18"/>
          <w:color w:val="auto"/>
        </w:rPr>
      </w:pPr>
    </w:p>
    <w:p>
      <w:pPr>
        <w:ind w:left="3360" w:hanging="156"/>
        <w:spacing w:after="0"/>
        <w:tabs>
          <w:tab w:leader="none" w:pos="3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2025 Cartrack Subscription Revenue accelerated to 16% Y/Y</w:t>
      </w:r>
    </w:p>
    <w:p>
      <w:pPr>
        <w:spacing w:after="0" w:line="225" w:lineRule="exact"/>
        <w:rPr>
          <w:rFonts w:ascii="Times New Roman" w:cs="Times New Roman" w:eastAsia="Times New Roman" w:hAnsi="Times New Roman"/>
          <w:sz w:val="18"/>
          <w:szCs w:val="18"/>
          <w:color w:val="auto"/>
        </w:rPr>
      </w:pPr>
    </w:p>
    <w:p>
      <w:pPr>
        <w:ind w:left="3120" w:hanging="159"/>
        <w:spacing w:after="0"/>
        <w:tabs>
          <w:tab w:leader="none" w:pos="3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2026 Outlook - Cartrack Subscription Revenue growth to accelerate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SINGAPORE (May 14, 2025) - Karooooo Limited (“Karooooo”) reported record results for the fourth quarter (“Q4 2025”) and year ended February 28, 2025 (“FY 2025”). Karooooo owns 100% of Cartrack and 74.8% of Karooooo Logistics, (collectively, “the group”).</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“FY 2025 was a year of strong execution, impactful innovation and significant progress,” said Zak Calisto, Group CEO of Karooooo. “We accelerated customer acquisition, enhanced our platform with more advanced AI Video capabilities and other features, and successfully launched the Cartrack-Tag. We remain optimistic about continued healthy organic growth in South Africa while our investments in Europe are expected to drive accelerating subscriber growth. Southeast Asia continues to represent our largest medium-to-long-term growth opportunity, and we are excited about our progress in the region. Constant currency subscription revenue growth increased 31% in Southeast Asia in Q4 2025. Our culture of innovation, disciplined execution, and customer centricity give us confidence as we aim to accelerate our growth in FY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Q4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17% to 2,302,236 (Q4 2024: 1,971,532)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increased 25% to 79,009 (Q4 2024: 63,340)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16% to ZAR1,086 million (Q4 2024: ZAR935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16% to ZAR1,084 million (Q4 2024: ZAR930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annualized recurring revenue </w:t>
      </w:r>
      <w:r>
        <w:rPr>
          <w:rFonts w:ascii="Times New Roman" w:cs="Times New Roman" w:eastAsia="Times New Roman" w:hAnsi="Times New Roman"/>
          <w:sz w:val="18"/>
          <w:szCs w:val="18"/>
          <w:color w:val="auto"/>
        </w:rPr>
        <w:t>(“ARR”) increased 17% to ZAR4,384 million (Q4 2024: ZAR3,749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B2B delivery-as-a-service (“DaaS”) revenue </w:t>
      </w:r>
      <w:r>
        <w:rPr>
          <w:rFonts w:ascii="Times New Roman" w:cs="Times New Roman" w:eastAsia="Times New Roman" w:hAnsi="Times New Roman"/>
          <w:sz w:val="18"/>
          <w:szCs w:val="18"/>
          <w:color w:val="auto"/>
        </w:rPr>
        <w:t>increased 19% to ZAR110 million (Q4 2024: ZAR93 million)</w:t>
      </w:r>
    </w:p>
    <w:p>
      <w:pPr>
        <w:spacing w:after="0" w:line="2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20% to USD58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20% to USD58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SaaS ARR </w:t>
      </w:r>
      <w:r>
        <w:rPr>
          <w:rFonts w:ascii="Times New Roman" w:cs="Times New Roman" w:eastAsia="Times New Roman" w:hAnsi="Times New Roman"/>
          <w:sz w:val="18"/>
          <w:szCs w:val="18"/>
          <w:color w:val="auto"/>
        </w:rPr>
        <w:t>increased 21% to USD236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w:t>
      </w:r>
      <w:r>
        <w:rPr>
          <w:rFonts w:ascii="Times New Roman" w:cs="Times New Roman" w:eastAsia="Times New Roman" w:hAnsi="Times New Roman"/>
          <w:sz w:val="18"/>
          <w:szCs w:val="18"/>
          <w:color w:val="auto"/>
        </w:rPr>
        <w:t>revenue increased 22% to USD6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30% to ZAR385 million (Q4 2024: ZAR296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30% to ZAR377 million (Q4 2024: ZAR289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increased to 34% (Q4 2024: 30%).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earnings per share </w:t>
      </w:r>
      <w:r>
        <w:rPr>
          <w:rFonts w:ascii="Times New Roman" w:cs="Times New Roman" w:eastAsia="Times New Roman" w:hAnsi="Times New Roman"/>
          <w:sz w:val="18"/>
          <w:szCs w:val="18"/>
          <w:color w:val="auto"/>
        </w:rPr>
        <w:t>increased 19% to ZAR8.11 (Q4 2024: ZAR6.81).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39% to ZAR9.48 (Q4 2024: ZAR6.81).</w:t>
      </w:r>
    </w:p>
    <w:p>
      <w:pPr>
        <w:spacing w:after="0" w:line="227" w:lineRule="exact"/>
        <w:rPr>
          <w:rFonts w:ascii="Times New Roman" w:cs="Times New Roman" w:eastAsia="Times New Roman" w:hAnsi="Times New Roman"/>
          <w:sz w:val="18"/>
          <w:szCs w:val="18"/>
          <w:b w:val="1"/>
          <w:bCs w:val="1"/>
          <w:color w:val="auto"/>
        </w:rPr>
      </w:pPr>
    </w:p>
    <w:p>
      <w:pPr>
        <w:ind w:left="340" w:hanging="324"/>
        <w:spacing w:after="0" w:line="22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of February 28, 2025 have been translated to U.S. dollars using an exchange rate of ZAR 18.6012 to U.S.$1.00 (February 29, 2024: ZAR 19.1884), as set forth in the H.10 statistical release of the Board of Governors of the Federal Reserve System. These translations should not be considered representations that any such amounts have been, could have been or could be converted at that or any other exchange rate.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Overview</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February 28/29,</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4"/>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Karooooo</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Karooooo</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8"/>
              </w:rPr>
              <w:t>Cartrack</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Y-o-</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Y</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Y</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Y</w:t>
            </w:r>
          </w:p>
        </w:tc>
        <w:tc>
          <w:tcPr>
            <w:tcW w:w="0" w:type="dxa"/>
            <w:vAlign w:val="bottom"/>
          </w:tcPr>
          <w:p>
            <w:pPr>
              <w:spacing w:after="0"/>
              <w:rPr>
                <w:sz w:val="1"/>
                <w:szCs w:val="1"/>
                <w:color w:val="auto"/>
              </w:rPr>
            </w:pPr>
          </w:p>
        </w:tc>
      </w:tr>
      <w:tr>
        <w:trPr>
          <w:trHeight w:val="245"/>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Subscription</w:t>
            </w: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1,083,604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930,445</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1,086,482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935,162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6"/>
        </w:trPr>
        <w:tc>
          <w:tcPr>
            <w:tcW w:w="1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25,987</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27,128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25,987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1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Vehicle sales</w:t>
            </w:r>
            <w:r>
              <w:rPr>
                <w:rFonts w:ascii="Times New Roman" w:cs="Times New Roman" w:eastAsia="Times New Roman" w:hAnsi="Times New Roman"/>
                <w:sz w:val="29"/>
                <w:szCs w:val="29"/>
                <w:color w:val="auto"/>
                <w:vertAlign w:val="superscript"/>
              </w:rPr>
              <w:t>2</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38,088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38,088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107,054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87,990</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107,054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87,990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1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1380" w:type="dxa"/>
            <w:vAlign w:val="bottom"/>
            <w:gridSpan w:val="2"/>
            <w:vMerge w:val="continue"/>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1,109,591</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957,573</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vMerge w:val="continue"/>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38,088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vMerge w:val="continue"/>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109,932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92,707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vMerge w:val="continue"/>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1,219,523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1,088,368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(271,929)</w:t>
            </w:r>
          </w:p>
        </w:tc>
        <w:tc>
          <w:tcPr>
            <w:tcW w:w="24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(75,386)</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(62,170)</w:t>
            </w:r>
          </w:p>
        </w:tc>
        <w:tc>
          <w:tcPr>
            <w:tcW w:w="24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(371,918)</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834,398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685,644</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34,546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30,537</w:t>
            </w: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868,944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716,450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1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376,649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289,480</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8,564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6,619</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385,213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296,234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1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Profit</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(a</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non-IFRS</w:t>
            </w:r>
          </w:p>
        </w:tc>
        <w:tc>
          <w:tcPr>
            <w:tcW w:w="102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533,579</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453,699</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2,216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9,393</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7,467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542,972</w:t>
            </w: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463,380</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4"/>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0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18"/>
                <w:szCs w:val="18"/>
                <w:color w:val="auto"/>
              </w:rPr>
              <w:t>(a non-</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w:t>
            </w: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IFRS measure)</w:t>
            </w:r>
          </w:p>
        </w:tc>
        <w:tc>
          <w:tcPr>
            <w:tcW w:w="10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large enterprise customers opting for non-bundled contracts. Cartrack remains focused on bundled sales.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from Q1 2025, Carzuka has been fully integrated to support Cartrack operations, with the final on-hand vehicle sold off in Q1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Carzuka, Karooooo’s revenue increased 16% to ZAR1,220 million (Q4 2024: 1,050 million), and subscription revenue increased 16%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ZAR1,086 million in Q4 2025 (Q4 2024: ZAR935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total revenue increased 16% to ZAR1,110 million (Q4 2024: ZAR958 million) driven by its subscription-based business model.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subscription revenue increased 16% to ZAR1,084 million in Q4 2025 (Q4 2024: ZAR930 million) with growth driven by strong subscriber growth. Cartrack’s subscription revenue growth accelerated 200 basis points to 16% in Q4 2025 compared to the annual growth of 14% in Q3 2025. Subscription revenue represented 98% of total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delivered net subscriber additions of 79,009 during the quarter (Q4 2024: 63,340), a record for the fourth quarter.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Logistics’s revenue increased 19% to ZAR110 million (Q4 2024: ZAR93 million). Karooooo Logistics offers delivery-as-a-service (“DaaS”) to large enterprise customers wishing to scale and enable their e-commerce operations through a capital-light model by connecting them to an elastic fleet of third-party delivery drivers.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3"/>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February 28/29,</w:t>
            </w: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49"/>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484,726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458,742</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398,971</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15% to ZAR485 million (Q4 2024: ZAR423 million). Of the total, Cartrack accounted for ZAR459 million (Q4</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2024: ZAR399 million) in operating expenses including investments in infrastructure and headcount to support territorial expansion and distribution growth. Karooooo Logistics accounted for ZAR26 million (Q4 2024: ZAR24 million) of Karooooo’s total operating expenses as we continued to strategically invest to scale Karooooo Logistics.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Cartrack’s sales and marketing expenses increased 32% to ZAR160 million (Q4 2024: ZAR122 million). We believe our strategic investment in brand building positions us well for continued growth. While many of our new sales headcount are working to build customer pipelines, net subscriber additions for the quarter increased 25% to 79,009 (FY 2024: 63,340). Our customer lifetime value (LTV) to customer acquisition costs (CAC) ratio continues to exceed 9 times and underpins our disciplined approach to growth and customer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expenses were ZAR212 million (Q4 2024: ZAR204 million), reflecting our ability to manage costs while we build infrastructure to support our strategic growth. We plan to pragmatically increase these costs on an ongoing basis to support and drive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expenses increased 11% to ZAR55 million (Q4 2024: ZAR49 million). We remain focused on investing in product innovation to deliver more value to our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provided for expected credit losses of ZAR32 million (Q4 2024: ZAR24 million). The increase is a result of our prudent risk management strategy that reflects a conservative approach to the evolving macroeconomic backdrop and a reassessment of credit risk within specific customer portfolios. We believe our prudent risk management strategy ensures long-term financial resilience.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expenses as a percentage of subscription revenue align with Karooooo’s long-term financial goals and reflect our continued commitment to growth.</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15% (Q4 2024: 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decreased to 20% (Q4 2024: 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remained consistent at 5% (Q4 2024: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Earnings per share and adjusted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30% to ZAR385 million (Q4 2024: ZAR296 million), and earnings per share increased 19% to ZAR8.11 (Q4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ZAR6.81).</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subscriber base, billing and collections in Mozambique was negatively impacted during the quarter as a result of political riots and property damage. Given the economic and political uncertainty, the Group recognized a significant goodwill impairment relating to our operations in Mozambique of ZAR43.6 million. Post this impairment, the remaining goodwill of our Mozambique operation was ZAR39.2 million. Despite these challenges in the quarter, the Mozambique operation continues to support our South African customers who have cross-border operations and remained profitable with healthy cash generation. Karooooo’s adjusted earnings per share increased 39% to ZAR9.48 (Q4 2024: ZAR6.81). See: “Reconciliation of Basic and Diluted Earnings Per Share to Adjusted Earnings Per Share (a non-IFRS measure)” for a reconciliation of Adjusted Earnings Per Share to Basic and Diluted Earnings Per Share, its most directly comparable IFRS financial measure.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Cartrack’s gross profit margin remained strong at 75% (Q4 2024: 72%), and Cartrack’s subscription gross profit margin was 76% (Q4 2024: 72%).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operating profit increased 30% to ZAR377 million (Q4 2024: ZAR289 million), and Cartrack’s operating profit margin was a record 34% (Q4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gross profit margin was 31% (Q4 2024: 33%). Karooooo Logistics’s operating profit increased 29% to ZAR9 million (Q4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ZAR7 million), and Karooooo Logistics’s operating profit margin was 8% (Q4 2024: 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17% to ZAR543 million (Q4 2024: ZAR463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18% to ZAR534 million (Q4 2024: ZAR454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(a non-IFRS measure) increased 26% to ZAR9 million (Q4 2024: ZAR7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the year ended February 29, 2024 (“FY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 subscribers </w:t>
      </w:r>
      <w:r>
        <w:rPr>
          <w:rFonts w:ascii="Times New Roman" w:cs="Times New Roman" w:eastAsia="Times New Roman" w:hAnsi="Times New Roman"/>
          <w:sz w:val="18"/>
          <w:szCs w:val="18"/>
          <w:color w:val="auto"/>
        </w:rPr>
        <w:t>increased 17% to 2,302,236 (FY 2024: 1,971,532)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Cartrack subscriber additions </w:t>
      </w:r>
      <w:r>
        <w:rPr>
          <w:rFonts w:ascii="Times New Roman" w:cs="Times New Roman" w:eastAsia="Times New Roman" w:hAnsi="Times New Roman"/>
          <w:sz w:val="18"/>
          <w:szCs w:val="18"/>
          <w:color w:val="auto"/>
        </w:rPr>
        <w:t>of 330,704 increased 30% (FY 2024: 254,455)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15% to ZAR4,068 million (FY 2024: ZAR3,536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15% to ZAR4,055 million (FY 2024: ZAR3,523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revenue </w:t>
      </w:r>
      <w:r>
        <w:rPr>
          <w:rFonts w:ascii="Times New Roman" w:cs="Times New Roman" w:eastAsia="Times New Roman" w:hAnsi="Times New Roman"/>
          <w:sz w:val="18"/>
          <w:szCs w:val="18"/>
          <w:color w:val="auto"/>
        </w:rPr>
        <w:t>increased 33% to ZAR420 million (FY 2024: ZAR317 million)</w:t>
      </w:r>
    </w:p>
    <w:p>
      <w:pPr>
        <w:spacing w:after="0" w:line="2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Presented in the U.S. Dollar Equivalent</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subscription revenue </w:t>
      </w:r>
      <w:r>
        <w:rPr>
          <w:rFonts w:ascii="Times New Roman" w:cs="Times New Roman" w:eastAsia="Times New Roman" w:hAnsi="Times New Roman"/>
          <w:sz w:val="18"/>
          <w:szCs w:val="18"/>
          <w:color w:val="auto"/>
        </w:rPr>
        <w:t>increased 19% to USD219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subscription revenue </w:t>
      </w:r>
      <w:r>
        <w:rPr>
          <w:rFonts w:ascii="Times New Roman" w:cs="Times New Roman" w:eastAsia="Times New Roman" w:hAnsi="Times New Roman"/>
          <w:sz w:val="18"/>
          <w:szCs w:val="18"/>
          <w:color w:val="auto"/>
        </w:rPr>
        <w:t>increased 19% to USD218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 Logistics’s DaaS revenue </w:t>
      </w:r>
      <w:r>
        <w:rPr>
          <w:rFonts w:ascii="Times New Roman" w:cs="Times New Roman" w:eastAsia="Times New Roman" w:hAnsi="Times New Roman"/>
          <w:sz w:val="18"/>
          <w:szCs w:val="18"/>
          <w:color w:val="auto"/>
        </w:rPr>
        <w:t>increased 37% to USD23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25" w:lineRule="exact"/>
        <w:rPr>
          <w:sz w:val="20"/>
          <w:szCs w:val="20"/>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operating profit </w:t>
      </w:r>
      <w:r>
        <w:rPr>
          <w:rFonts w:ascii="Times New Roman" w:cs="Times New Roman" w:eastAsia="Times New Roman" w:hAnsi="Times New Roman"/>
          <w:sz w:val="18"/>
          <w:szCs w:val="18"/>
          <w:color w:val="auto"/>
        </w:rPr>
        <w:t>increased 26% to ZAR1,312 million (FY 2024: ZAR1,043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Cartrack’s operating profit </w:t>
      </w:r>
      <w:r>
        <w:rPr>
          <w:rFonts w:ascii="Times New Roman" w:cs="Times New Roman" w:eastAsia="Times New Roman" w:hAnsi="Times New Roman"/>
          <w:sz w:val="18"/>
          <w:szCs w:val="18"/>
          <w:color w:val="auto"/>
        </w:rPr>
        <w:t>increased 19% to ZAR1,273 million (FY 2024: ZAR1,069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Cartrack’s operating profit margin </w:t>
      </w:r>
      <w:r>
        <w:rPr>
          <w:rFonts w:ascii="Times New Roman" w:cs="Times New Roman" w:eastAsia="Times New Roman" w:hAnsi="Times New Roman"/>
          <w:sz w:val="18"/>
          <w:szCs w:val="18"/>
          <w:color w:val="auto"/>
        </w:rPr>
        <w:t>increased to 31% (FY 2024: 30%)</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earnings per share </w:t>
      </w:r>
      <w:r>
        <w:rPr>
          <w:rFonts w:ascii="Times New Roman" w:cs="Times New Roman" w:eastAsia="Times New Roman" w:hAnsi="Times New Roman"/>
          <w:sz w:val="18"/>
          <w:szCs w:val="18"/>
          <w:color w:val="auto"/>
        </w:rPr>
        <w:t>increased 25% to ZAR29.81 (FY 2024: ZAR23.85).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Karooooo’s adjusted earnings per share </w:t>
      </w:r>
      <w:r>
        <w:rPr>
          <w:rFonts w:ascii="Times New Roman" w:cs="Times New Roman" w:eastAsia="Times New Roman" w:hAnsi="Times New Roman"/>
          <w:sz w:val="18"/>
          <w:szCs w:val="18"/>
          <w:color w:val="auto"/>
        </w:rPr>
        <w:t>increased 33% to ZAR31.67 (FY 2024: ZAR23.85).</w:t>
      </w:r>
    </w:p>
    <w:p>
      <w:pPr>
        <w:spacing w:after="0" w:line="227" w:lineRule="exact"/>
        <w:rPr>
          <w:rFonts w:ascii="Times New Roman" w:cs="Times New Roman" w:eastAsia="Times New Roman" w:hAnsi="Times New Roman"/>
          <w:sz w:val="18"/>
          <w:szCs w:val="18"/>
          <w:color w:val="auto"/>
        </w:rPr>
      </w:pPr>
    </w:p>
    <w:p>
      <w:pPr>
        <w:ind w:left="340" w:hanging="324"/>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For convenience purposes only, amounts in South African rand as of February 28, 2025 have been translated to U.S. dollars using an exchange rate of ZAR 18.6012 to U.S.$1.00 (February 29, 2024: ZAR 19.1884), as set forth in the H.10 statistical release of the Board of Governors of the Federal Reserve System. These translations should not be considered representations that any such amount have been, could have been or could be converted at that or any other exchange rate.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Year Ended February 28, 2025 Financial Overview</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8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February 28/29,</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Karooooo</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Karooooo</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Figures in</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4"/>
              </w:rPr>
              <w:t>Y-o-</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1"/>
              </w:rPr>
              <w:t>Y</w:t>
            </w:r>
          </w:p>
        </w:tc>
        <w:tc>
          <w:tcPr>
            <w:tcW w:w="0" w:type="dxa"/>
            <w:vAlign w:val="bottom"/>
          </w:tcPr>
          <w:p>
            <w:pPr>
              <w:spacing w:after="0"/>
              <w:rPr>
                <w:sz w:val="1"/>
                <w:szCs w:val="1"/>
                <w:color w:val="auto"/>
              </w:rPr>
            </w:pP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Subscription</w:t>
            </w: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4,055,394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3,522,816</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4,068,177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3,535,805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6"/>
        </w:trPr>
        <w:tc>
          <w:tcPr>
            <w:tcW w:w="1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1</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89,618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90,879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89,618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90,879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274,787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274,787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407,565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304,040</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407,565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304,040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1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1240" w:type="dxa"/>
            <w:vAlign w:val="bottom"/>
            <w:gridSpan w:val="2"/>
            <w:vMerge w:val="continue"/>
            <w:shd w:val="clear" w:color="auto" w:fill="CCEEFF"/>
          </w:tcPr>
          <w:p>
            <w:pPr>
              <w:spacing w:after="0"/>
              <w:rPr>
                <w:sz w:val="21"/>
                <w:szCs w:val="21"/>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4,147,111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3,613,695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vMerge w:val="continue"/>
            <w:shd w:val="clear" w:color="auto" w:fill="CCEEFF"/>
          </w:tcPr>
          <w:p>
            <w:pPr>
              <w:spacing w:after="0"/>
              <w:rPr>
                <w:sz w:val="21"/>
                <w:szCs w:val="2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274,787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vMerge w:val="continue"/>
            <w:shd w:val="clear" w:color="auto" w:fill="CCEEFF"/>
          </w:tcPr>
          <w:p>
            <w:pPr>
              <w:spacing w:after="0"/>
              <w:rPr>
                <w:sz w:val="21"/>
                <w:szCs w:val="21"/>
                <w:color w:val="auto"/>
              </w:rPr>
            </w:pP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420,348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317,029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vMerge w:val="continue"/>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4,567,459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4,205,511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24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(1,078,699)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(1,024,950)</w:t>
            </w:r>
          </w:p>
        </w:tc>
        <w:tc>
          <w:tcPr>
            <w:tcW w:w="2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(272,289)</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(285,708)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(217,435)</w:t>
            </w:r>
          </w:p>
        </w:tc>
        <w:tc>
          <w:tcPr>
            <w:tcW w:w="2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(1,364,407)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(1,514,674)</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3,068,412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2,588,745</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134,640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99,594</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3,203,052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2,690,837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1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10,383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11,831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1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Profit/(loss)</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1,272,980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1,069,313</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39,353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26,096</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1,312,333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1,042,502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Profit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(a</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non-IFRS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1,930,688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1,709,732</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42,772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28,433</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1,973,460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1,690,644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4"/>
        </w:trPr>
        <w:tc>
          <w:tcPr>
            <w:tcW w:w="1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18"/>
                <w:szCs w:val="18"/>
                <w:color w:val="auto"/>
              </w:rPr>
              <w:t>(a</w:t>
            </w: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non-IFRS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Carzuka, Karooooo’s revenue increased 16% to ZAR4,567 million (FY 2024: ZAR3,931 million), and subscription revenue increased 15%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ZAR4,068 million in FY 2025 (FY 2024: ZAR3,536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revenue increased 15% to ZAR4,147 million (FY 2024: ZAR3,614 million), and subscription revenue increased 15% to ZAR4,055 million in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FY 2025 (FY 2024: ZAR3,523 million). Subscription revenue growth was driven by subscriber growth and partially offset by a modest decline in average revenue per user. Subscription revenue represented 98% of total revenue (FY 2024: 97%). Cartrack continues to build on its strong track record of growth at scale.</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Karooooo Logistics’s revenue increased 33% to ZAR420 million in FY 2025 (FY 2024: ZAR317 million) as it continued to scale and bolster Karooooo’s revenue growth.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5"/>
        </w:trPr>
        <w:tc>
          <w:tcPr>
            <w:tcW w:w="7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February 28/29,</w:t>
            </w:r>
          </w:p>
        </w:tc>
        <w:tc>
          <w:tcPr>
            <w:tcW w:w="11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194"/>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49"/>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1,660,166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7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1,805,815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1,531,027</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55,735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15% to ZAR1,901 million in FY 2025 (FY 2024: ZAR1,660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 accounted for ZAR1,806 million (FY 2024: ZAR1,531 million) in operating expenses including investments to support territorial and distribution expansion.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Logistics accounted for ZAR95 million of the group’s total operating expenses (FY 2024: ZAR73 million) as we continued to invest in brand building and infrastructure to support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Cartrack’s sales and marketing expenses increased 30% to ZAR613 million in FY 2025 (FY 2024: ZAR473 million). We expect our investment in sales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to support ongoing and future customer acquisition. Net subscriber additions for the year increased 30% to 330,704 (FY 2024: 254,445).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expenses increased 15% to ZAR863 million (FY 2024: ZAR752 million) driven by investment in infrastructure to support our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expenses increased 9% to ZAR215 million (FY 2024: ZAR197 million) as we continue to invest in innovation to improve and expand the capabilities of our Operations Cloud and internal management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ZAR115 million (FY 2024: ZAR109 million), with expected credit losses for the period at 2.8% of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2024: 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Earnings per share and adjusted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26% to ZAR1,312 million (FY 2024: ZAR1,043 million) and earnings per share increased 25% to ZAR29.81 (FY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ZAR23.85).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adjusting Karooooo’s earnings per share to exclude the costs of a contemplated secondary public offering in July 2024, gain on disposal of subsidiaries and the impairment of goodwill, Adjusted EPS (a non-IFRS measure) increased 33% to ZAR31.67 (FY 2024: ZAR23.85).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operating profit increased by 19% to ZAR1,273 million (FY 2024: ZAR1,069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operating profit increased 51% to ZAR39 million (FY 2024: ZAR26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17% to ZAR1,973 million (FY 2024: ZAR1,691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13% to ZAR1,931 million (FY 2024: ZAR1,710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Logistics’s Adjusted EBITDA (a non-IFRS measure) increased 50% to ZAR43 million (FY 2024: ZAR28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mission is to simplify decision making for physical operations, empowering customers to optimize their physical operations and workforce, drive efficiency, reduce costs, enhance safety, monitor environmental impact, ensure regulatory compliance and manage operational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an expanding and largely underpenetrated market, fueled by robust and sustained customer demand. This demand is driven by a heightened focus on digitalization, the need to improve operational efficiency and reduce costs, and increasing attention to safety in physical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last several years, COVID and the challenges associated with the post-COVID labor market negatively impacted our growth. In FY 2025, we accelerated the pace of our Cartrack subscriber growth. In FY 2026, we aim to accelerate Cartrack subscription revenue growth by expanding our distribution footprint in existing markets, driving broader platform adoption and capitalizing on growing demand for video solutions.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strong and proven track record of disciplined execution, sustained growth at scale and highly profitable business model is supported by a solid balance sheet and a healthy cash position. We believe our ongoing investments in AI, platform innovation and customer experience will continue to drive durable growth and robust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execution and success, specifically our ability to generate healthy cash flows, is sustainable.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expand our distribution footprint in existing markets, we expect lower Earnings Per Share growth in FY 2026 given our planned upfront investment in sales and marketing for the year. Our guidance for FY 2026 is as follows:</w:t>
      </w:r>
    </w:p>
    <w:p>
      <w:pPr>
        <w:spacing w:after="0" w:line="16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between ZAR4,700 million and ZAR4,900 million, which implies Cartrack subscription revenue growth between 16% and 21% compared to FY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between 26% and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Earnings Per Share between ZAR32.50 and ZAR35.50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re-invest our earnings for customer acquisition, as of February 28, 2025 capitalized in-vehicle telematic devices increased by ZAR 310 million to ZAR 1,342 million (February 29, 2024: ZAR 1,032 million) and IOT devices held for future use increased by ZAR 66 million to ZAR 412 million (February 29, 2024: ZAR 346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commission assets increased ZAR 119 million to ZAR 494 million (February 29, 2024: ZAR 375 million). Trade and other receivables increased by ZAR98 million to ZAR597 million (February 29, 2024: ZAR500** million), primarily driven by ZAR25 million in prepayments for IOT components and a ZAR73 million increase in trade receivables. Debtor collection days remain within our range of historical norms at a healthy 32 days (February 29, 2024: 29 days).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29, 2024, bank fixed deposits of ZAR486 million with maturity dates exceeding three months were classified under trade and other receivables. As of February 28, 2025, Karooooo held no such deposits with maturity dates exceeding three months. The effect of this classification has been adjusted as per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 (current)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985,398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(485,681)</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499,717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increased investment for customer acquisition, paying a dividend of USD 33.4 million in August 2024, allocating ZAR55 million to the new South African central office in Rosebank and taking a term bank loan of ZAR250 million for the new South African central office in Rosebank, Karooooo reported a net cash and cash equivalents balance of ZAR838 million at February 28, 2025 (February 29, 2024: ZAR945** million)</w:t>
      </w:r>
    </w:p>
    <w:p>
      <w:pPr>
        <w:spacing w:after="0" w:line="176"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amount are the fixed deposits of ZAR486 million with maturity dates exceeding three months that were classified under trade and other receivables as of February 29, 2024. At February 28, 2025, Karooooo held no such deposits with maturity dates exceeding three months.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837,583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459,527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485,681</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837,583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945,208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Bank term loans increased ZAR267 million to ZAR283 million during the year, primarily as a result of ZAR250 million for our new South African central office.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February 28, 2025, the group had overdraft facilities for growth initiatives and other general corporate purposes of ZAR300 million with Capitec Bank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position remains solid, underpinned by disciplined financial management and sustained operational cash generation.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 and Adjusted Free Cash Flow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reported a healthy increase of 16% in cash generated from operations before working capital changes of ZAR2,060 million (February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ZAR1,773 million), driven by strong subscription revenue growth and strong earnings.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the group had ZAR486 million in bank fixed deposits with maturity dates exceeding three months (these bank fixed deposits were classified under trade and other receivables as of February 29, 2024). Adjusted free cash flow (a non-IFRS measure) is presented below on the basis that these bank fixed deposits are classified as cash and cash equivalents.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1,933,295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955,040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 of property, plant and equipment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(1,022,371)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(876,354)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(a non-IFRS measure)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485,681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 (a non-IFRS measure)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425,243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564,367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free cash flow (a non-IFRS measure) for the year ended February 28, 2025, was ZAR425 million (February 29, 2024: ZAR564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Cartrack accelerates customer acquisition, we made significant investment of ZAR 818 million (February 29, 2024: ZAR613 million) for in-vehicle IOT devices and ZAR 74 million (February 29, 2024: ZAR 36 million) for IOT devices for future use. Prepayments amounting to ZAR 25 million were made to purchase IOT components during the quarter resulting in an increase in trade and other receivables balances by ZAR108 million (February 29, 2024: ZAR 71 million). The investment in IOT equipment for current and future growth contributed to a decrease in free cash flow.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adjusted Free Cash Flow (a non-IFRS measure) generated is in line with Karooooo’s disciplined capital allocation strategy and supports the group’s growth objectives.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Free Cash Flow (a non-IFRS measure) and Adjusted Free Cash Flow (a non-IFRS measure)” for a reconciliation of free cash flow and adjusted free cash flow to net cash generated from operating activities, their most directly comparable IFRS financial measure.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28, 2025, Karooooo had 30,893,300 ordinary shares issued and outstanding, and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ZAR27.3 million of capital reserve on the balance sheet relates to the cancellation of Karooooo’s treasury shares and ZAR11.4 million of capital reserve relates to the repurchase and cancellation of 279 ordinary shares of Karooooo Logistics, which represent 6.29% of Karooooo Logistics’s issued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subscribers in the region increased 16% to 1,736,542 as of February 28, 2025 (February 29, 2024: 1,492,781). FY 2025 subscription revenue growth was 15%, and Q4 2025 subscription revenue growth was 15%.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encouraged by the strong momentum that we are building to accelerate organic growth, broaden our customer base and increase subscription sales to existing customers in the region. We continue to see a compelling market opportunity in South Africa and are excited about the potential ahead.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and Middle East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subscribers in the region increased 19% to 273,946 as of February 28, 2025 (February 29, 2024: 230,141). FY 2025 subscription revenue growth was 21% (25% on a constant currency basis, a non-IFRS measure), and Q4 2025 subscription revenue growth was 28% (31% on a constant currency basis, a non-IFRS measure).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 In September 2024 we started a strong, yet prudent drive to increase Sales and Marketing in Southeast Asia and believe that we will begin to see the results in FY 2026. We aim to increase our sales headcount by 70% in FY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subscribers in the region increased 20% to 200,774 as of February 28, 2025 (February 29, 2024: 166,845). FY 2025 subscription revenue growth was 15% (17% on a constant currency basis, a non-IFRS measure), and Q4 2025 subscription revenue growth was 13% (19% on a constant currency basis, a non-IFRS measure).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accelerate our organic growth, expand our customer base and increase subscription sales to existing customers in the region.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partnered with leading OEMs to provide easy access to our platform, seamlessly integrating their connected vehicle data to our platform through application programing interfaces. We expect these partnerships to contribute to our results in the medium term. In addition, we are experiencing encouraging demand for our proprietary compliance technology in the region as customers seek to simplify compliance with evolving legislation and enforcement.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 (excluding South Africa)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subscribers in the region increased 11% to 90,974 as of February 28, 2025 (February 29, 2024: 81,765). FY 2025 subscription revenue growth was 2% (5% on a constant currency basis, a non-IFRS measure), and in Q4 2025 subscription revenue growth was 6% (7% on a constant currency basis, a non-IFRS measure).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number of subscribers increased, subscription revenue growth was tempered by the temporary suspension of subscription billing to our existing customers in Mozambique following political riots and mass demonstrations.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environment in Mozambique continues to be impacted by ongoing political and economic instability, which has introduced significant uncertainty regarding the near- to medium-term outlook for the country. The continued country-specific uncertainty has made the operating environment challenging, necessitating a goodwill impairment of ZAR 43.6 million during the quarter. Despite the political and economic turbulence, Mozambique generated good cash flows and was profitable in the fourth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region, including Mozambique, is of strategic importance in supporting Karooooo's South African customers with cross border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Events in the Fourth Quarter of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Q4 2025, the Board approved a resolution to increase the group’s shareholding in Karooooo Logistics . However, the planned shareholding increase is awaiting certain conditions to be met. As a result, the group’s effective shareholding in Karooooo Logistics remained unchanged at 74.8% as of year-end.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endeavors to avoid swings in its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management will host a Zoom webinar on Thursday, May 15, 2025 at 08:00 a.m. Eastern Time (02:00 p.m. South African time; 08:00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https://us02web.zoom.us/j/82937338104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829 3733 8104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Accounting Standards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2,350,000 active subscribers in more than 20 countries globally.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1,219,523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1,088,368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4,567,459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4,205,511</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(350,579)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(371,918)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(1,364,407)</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(1,514,674)</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868,944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716,450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3,203,052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11,831</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(484,726)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(423,243)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(1,901,088)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(1,660,166)</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(160,638)</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(123,330)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(614,765)</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(500,903)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(234,413)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(222,833)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(944,833)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(837,606)</w:t>
            </w:r>
          </w:p>
        </w:tc>
        <w:tc>
          <w:tcPr>
            <w:tcW w:w="0" w:type="dxa"/>
            <w:vAlign w:val="bottom"/>
          </w:tcPr>
          <w:p>
            <w:pPr>
              <w:spacing w:after="0"/>
              <w:rPr>
                <w:sz w:val="1"/>
                <w:szCs w:val="1"/>
                <w:color w:val="auto"/>
              </w:rPr>
            </w:pPr>
          </w:p>
        </w:tc>
      </w:tr>
      <w:tr>
        <w:trPr>
          <w:trHeight w:val="216"/>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(57,770)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(226,935)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(212,235)</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(31,905)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(114,555)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(109,422)</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385,213</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296,234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1,312,333</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1,042,502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(43,600)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(43,600)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10,422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39,418</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(16,622)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6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335,363</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300,480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1,246,921</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1,065,710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6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(80,027)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(85,819)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(309,811)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(311,554)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255,336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937,110</w:t>
            </w: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754,156</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3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250,640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210,692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921,031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15,965</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255,336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214,661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937,110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754,156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3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637"/>
        </w:trPr>
        <w:tc>
          <w:tcPr>
            <w:tcW w:w="4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86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2,032,794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494,052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83,053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83,123</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174,957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227,380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18,831</w:t>
            </w:r>
          </w:p>
        </w:tc>
        <w:tc>
          <w:tcPr>
            <w:tcW w:w="0" w:type="dxa"/>
            <w:vAlign w:val="bottom"/>
          </w:tcPr>
          <w:p>
            <w:pPr>
              <w:spacing w:after="0"/>
              <w:rPr>
                <w:sz w:val="1"/>
                <w:szCs w:val="1"/>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Deferred tax assets</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121,749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81,903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3,422,355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2,846,752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597,461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1,042,882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459,527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1,656,795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1,460,221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4,306,973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(23,816)</w:t>
            </w: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Capital reserve</w:t>
            </w:r>
            <w:r>
              <w:rPr>
                <w:rFonts w:ascii="Times New Roman" w:cs="Times New Roman" w:eastAsia="Times New Roman" w:hAnsi="Times New Roman"/>
                <w:sz w:val="29"/>
                <w:szCs w:val="29"/>
                <w:color w:val="auto"/>
                <w:vertAlign w:val="superscript"/>
              </w:rPr>
              <w:t>1,3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(3,621,245)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Actuarial reserve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277,866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2,112,091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1,803,482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3,202,468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43,099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40,935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3,245,567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3,002,462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31,640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127,251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126,959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95,892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69,840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381,742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364,072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Term loans</w:t>
            </w:r>
            <w:r>
              <w:rPr>
                <w:rFonts w:ascii="Times New Roman" w:cs="Times New Roman" w:eastAsia="Times New Roman" w:hAnsi="Times New Roman"/>
                <w:sz w:val="29"/>
                <w:szCs w:val="29"/>
                <w:color w:val="auto"/>
                <w:vertAlign w:val="superscript"/>
              </w:rPr>
              <w:t>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283,313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469,937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77,445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357,780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205,299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57,039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73,375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1,451,841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940,439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1,833,583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5,079,150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4,306,973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66" w:gutter="0" w:footer="0" w:header="0"/>
        </w:sectPr>
      </w:pPr>
    </w:p>
    <w:bookmarkStart w:id="18" w:name="page19"/>
    <w:bookmarkEnd w:id="18"/>
    <w:p>
      <w:pPr>
        <w:jc w:val="both"/>
        <w:ind w:left="340" w:hanging="332"/>
        <w:spacing w:after="0" w:line="261" w:lineRule="auto"/>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capital reserves are ZAR27.3 million relating to the cancellation of Karooooo’s treasury shares and ZAR11.4 million of capital reserve relating to the repurchase and cancellation of Karooooo Logistics’s ordinary shares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Property, plant and equipment comprised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152,253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259,360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1,342,091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1,032,250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South African Central Office property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429,150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fixed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325,361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2,508,215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2,032,794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June 2024, The Standard Bank of South Africa Limited extended a loan of ZAR 250 million to Purple Rain Properties No. 444 Proprietary Limited (the owner of the regional South Africa central office) at the South Africa Prime Interest Rate less 1.5%. The loan will mature on 21 December 2025 and these funds were used to settle an intercompany loan from Cartrack Pty Ltd.</w:t>
      </w:r>
    </w:p>
    <w:p>
      <w:pPr>
        <w:spacing w:after="0" w:line="173" w:lineRule="exact"/>
        <w:rPr>
          <w:rFonts w:ascii="Times New Roman" w:cs="Times New Roman" w:eastAsia="Times New Roman" w:hAnsi="Times New Roman"/>
          <w:sz w:val="18"/>
          <w:szCs w:val="18"/>
          <w:i w:val="1"/>
          <w:iCs w:val="1"/>
          <w:color w:val="auto"/>
        </w:rPr>
      </w:pPr>
    </w:p>
    <w:p>
      <w:pPr>
        <w:ind w:left="340" w:right="20" w:hanging="332"/>
        <w:spacing w:after="0" w:line="284"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movement in deferred tax assets reflects the recognition of past tax losses by now-profitable entities and temporary differences between tax and accounting profits within group entities.</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September 2024, Cartrack Portugal, S.A., secured a EUR2 million loan from Banco Comercial Português, S.A. The loan bears an interest rate of 6-month Euribor rate plus 0.75%, with repayments scheduled over a seven-year period.</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is net of an impairment charge of ZAR 43.6 million related to the Mozambique operations during Q4 2025.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(utilized by)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utilized by financing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25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February 28/29,</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5"/>
          </w:tcPr>
          <w:p>
            <w:pPr>
              <w:ind w:left="48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260,513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1,933,295</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955,040</w:t>
            </w:r>
          </w:p>
        </w:tc>
        <w:tc>
          <w:tcPr>
            <w:tcW w:w="60" w:type="dxa"/>
            <w:vAlign w:val="bottom"/>
          </w:tcPr>
          <w:p>
            <w:pPr>
              <w:spacing w:after="0"/>
              <w:rPr>
                <w:sz w:val="18"/>
                <w:szCs w:val="18"/>
                <w:color w:val="auto"/>
              </w:rPr>
            </w:pPr>
          </w:p>
        </w:tc>
      </w:tr>
      <w:tr>
        <w:trPr>
          <w:trHeight w:val="216"/>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(287,754)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(195,413)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(1,076,835)</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(932,187)</w:t>
            </w:r>
          </w:p>
        </w:tc>
      </w:tr>
      <w:tr>
        <w:trPr>
          <w:trHeight w:val="255"/>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(29,380)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(39,109)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(443,760)</w:t>
            </w:r>
          </w:p>
        </w:tc>
        <w:tc>
          <w:tcPr>
            <w:tcW w:w="3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(592,954)</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(56,621)</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(366,412)</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412,700</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(570,101)</w:t>
            </w: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855,926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781,980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436,165</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965,750</w:t>
            </w:r>
          </w:p>
        </w:tc>
        <w:tc>
          <w:tcPr>
            <w:tcW w:w="60" w:type="dxa"/>
            <w:vAlign w:val="bottom"/>
          </w:tcPr>
          <w:p>
            <w:pPr>
              <w:spacing w:after="0"/>
              <w:rPr>
                <w:sz w:val="18"/>
                <w:szCs w:val="18"/>
                <w:color w:val="auto"/>
              </w:rPr>
            </w:pPr>
          </w:p>
        </w:tc>
      </w:tr>
      <w:tr>
        <w:trPr>
          <w:trHeight w:val="2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38,278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(11,282)</w:t>
            </w: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40,516</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837,583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837,583</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436,165</w:t>
            </w:r>
          </w:p>
        </w:tc>
        <w:tc>
          <w:tcPr>
            <w:tcW w:w="6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-1070610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-796290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0" w:right="37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ADJUSTED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260,513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1,933,295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955,040</w:t>
            </w:r>
          </w:p>
        </w:tc>
        <w:tc>
          <w:tcPr>
            <w:tcW w:w="0" w:type="dxa"/>
            <w:vAlign w:val="bottom"/>
          </w:tcPr>
          <w:p>
            <w:pPr>
              <w:spacing w:after="0"/>
              <w:rPr>
                <w:sz w:val="1"/>
                <w:szCs w:val="1"/>
                <w:color w:val="auto"/>
              </w:rPr>
            </w:pP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purchase of 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(271,702)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(177,121)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(1,022,371)</w:t>
            </w:r>
          </w:p>
        </w:tc>
        <w:tc>
          <w:tcPr>
            <w:tcW w:w="3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(876,354)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 with maturity dates exceeding three months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485,681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(485,681)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485,681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Free Cash Flow </w:t>
            </w:r>
            <w:r>
              <w:rPr>
                <w:rFonts w:ascii="Times New Roman" w:cs="Times New Roman" w:eastAsia="Times New Roman" w:hAnsi="Times New Roman"/>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26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425,243</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564,367</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February 28, 2025, included in the purchase of property, plant and equipment are development cost of ZAR1 million (February 29, 2024: ZAR36 million) for the new South African Central Office in Rosebank, Johannesburg.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276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255,336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214,661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937,110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754,156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80,027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85,819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309,811</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311,554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(44,167)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(39,418)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6,416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50,866</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43,600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43,600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159,191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167,146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662,559</w:t>
            </w:r>
          </w:p>
        </w:tc>
        <w:tc>
          <w:tcPr>
            <w:tcW w:w="3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648,142</w:t>
            </w: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to derivative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vMerge w:val="continue"/>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542,972</w:t>
            </w: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463,380</w:t>
            </w: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1,973,460</w:t>
            </w:r>
          </w:p>
        </w:tc>
        <w:tc>
          <w:tcPr>
            <w:tcW w:w="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1,690,644</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633"/>
        </w:trPr>
        <w:tc>
          <w:tcPr>
            <w:tcW w:w="58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BASIC AND DILUTED EARNINGS PER SHARE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EARNINGS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Reconciliation between basic earnings and adjusted earnings </w:t>
            </w:r>
            <w:r>
              <w:rPr>
                <w:rFonts w:ascii="Times New Roman" w:cs="Times New Roman" w:eastAsia="Times New Roman" w:hAnsi="Times New Roman"/>
                <w:sz w:val="18"/>
                <w:szCs w:val="18"/>
                <w:color w:val="auto"/>
              </w:rPr>
              <w:t>(a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9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250,640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210,692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921,031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43,600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attributable to ordinary shareholders </w:t>
            </w:r>
            <w:r>
              <w:rPr>
                <w:rFonts w:ascii="Times New Roman" w:cs="Times New Roman" w:eastAsia="Times New Roman" w:hAnsi="Times New Roman"/>
                <w:sz w:val="18"/>
                <w:szCs w:val="18"/>
                <w:color w:val="auto"/>
              </w:rPr>
              <w:t>(a non-IFRS measure)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292,858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210,692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978,312</w:t>
            </w:r>
          </w:p>
        </w:tc>
        <w:tc>
          <w:tcPr>
            <w:tcW w:w="3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30,895</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basic and diluted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31.67</w:t>
            </w:r>
          </w:p>
        </w:tc>
        <w:tc>
          <w:tcPr>
            <w:tcW w:w="36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earnings per share, (a non-IFRS measure) is defined as, earnings per share defined by IFRS excluding the impact of specific non-recurring operational expenses as outlined in the reconciliation.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 Basic or diluted HEPS is calculated using profit attributable to shareholders adjusted for (gain)/loss on disposal of property, plant and equipment divided by the weighted average number of ordinary shares in issue. 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BASIC AND DILUTED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HEADLINE EARNINGS PER SHARE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Reconciliation between basic earnings to headline earnings </w:t>
            </w:r>
            <w:r>
              <w:rPr>
                <w:rFonts w:ascii="Times New Roman" w:cs="Times New Roman" w:eastAsia="Times New Roman" w:hAnsi="Times New Roman"/>
                <w:sz w:val="18"/>
                <w:szCs w:val="18"/>
                <w:color w:val="auto"/>
              </w:rPr>
              <w:t>(a non-IFRS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9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250,640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210,692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921,031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738,191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Loss/(Gain) on disposal of property, plant and equipment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43,600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on (gain)/loss on disposal of property, plant and equipment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Headline earnings </w:t>
            </w:r>
            <w:r>
              <w:rPr>
                <w:rFonts w:ascii="Times New Roman" w:cs="Times New Roman" w:eastAsia="Times New Roman" w:hAnsi="Times New Roman"/>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293,743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208,977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963,600</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737,320</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30,895</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headline earnings per share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and Year Ended February 28,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year ended February 28, 2025, as applicable using the average of the monthly exchange rates applicable to that period. The measurement has been performed for each of the group’s operating currencies.</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1320"/>
        <w:spacing w:after="0" w:line="292" w:lineRule="auto"/>
        <w:rPr>
          <w:sz w:val="20"/>
          <w:szCs w:val="20"/>
          <w:color w:val="auto"/>
        </w:rPr>
      </w:pPr>
      <w:r>
        <w:rPr>
          <w:rFonts w:ascii="Times New Roman" w:cs="Times New Roman" w:eastAsia="Times New Roman" w:hAnsi="Times New Roman"/>
          <w:sz w:val="18"/>
          <w:szCs w:val="18"/>
          <w:color w:val="auto"/>
        </w:rPr>
        <w:t>Conversion impact of other currencies using 2024 foreign exchange rates Subscription revenue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February 28/29,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gridSpan w:val="2"/>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on-Quarter</w:t>
            </w:r>
          </w:p>
        </w:tc>
      </w:tr>
      <w:tr>
        <w:trPr>
          <w:trHeight w:val="245"/>
        </w:trPr>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40" w:type="dxa"/>
            <w:vAlign w:val="bottom"/>
            <w:gridSpan w:val="3"/>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2440" w:type="dxa"/>
            <w:vAlign w:val="bottom"/>
            <w:tcBorders>
              <w:top w:val="single" w:sz="8" w:color="auto"/>
            </w:tcBorders>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40" w:type="dxa"/>
            <w:vAlign w:val="bottom"/>
            <w:gridSpan w:val="2"/>
          </w:tcPr>
          <w:p>
            <w:pPr>
              <w:spacing w:after="0"/>
              <w:rPr>
                <w:sz w:val="17"/>
                <w:szCs w:val="17"/>
                <w:color w:val="auto"/>
              </w:rPr>
            </w:pPr>
          </w:p>
        </w:tc>
      </w:tr>
      <w:tr>
        <w:trPr>
          <w:trHeight w:val="23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1,086,482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935,162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5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1,096,703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935,162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 using 2024 foreign exchange rates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 using 2024 foreign exchange rates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 using 2024 foreign exchange rates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February 28/29,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gridSpan w:val="3"/>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on-Quarter</w:t>
            </w:r>
          </w:p>
        </w:tc>
      </w:tr>
      <w:tr>
        <w:trPr>
          <w:trHeight w:val="245"/>
        </w:trPr>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2440" w:type="dxa"/>
            <w:vAlign w:val="bottom"/>
            <w:tcBorders>
              <w:top w:val="single" w:sz="8" w:color="auto"/>
            </w:tcBorders>
            <w:gridSpan w:val="4"/>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1,219,523</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1,088,368</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1,230,084</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1,088,368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2"/>
        </w:trPr>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on-Year</w:t>
            </w:r>
          </w:p>
        </w:tc>
      </w:tr>
      <w:tr>
        <w:trPr>
          <w:trHeight w:val="245"/>
        </w:trPr>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2440" w:type="dxa"/>
            <w:vAlign w:val="bottom"/>
            <w:tcBorders>
              <w:top w:val="single" w:sz="8" w:color="auto"/>
            </w:tcBorders>
            <w:gridSpan w:val="4"/>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4,068,177</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3,535,805</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4,097,883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3,535,805</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2"/>
        </w:trPr>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February 28/29,</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40" w:type="dxa"/>
            <w:vAlign w:val="bottom"/>
            <w:gridSpan w:val="3"/>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on-Year</w:t>
            </w:r>
          </w:p>
        </w:tc>
      </w:tr>
      <w:tr>
        <w:trPr>
          <w:trHeight w:val="245"/>
        </w:trPr>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2440" w:type="dxa"/>
            <w:vAlign w:val="bottom"/>
            <w:tcBorders>
              <w:top w:val="single" w:sz="8" w:color="auto"/>
            </w:tcBorders>
            <w:gridSpan w:val="4"/>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40" w:type="dxa"/>
            <w:vAlign w:val="bottom"/>
            <w:gridSpan w:val="3"/>
          </w:tcPr>
          <w:p>
            <w:pPr>
              <w:spacing w:after="0"/>
              <w:rPr>
                <w:sz w:val="17"/>
                <w:szCs w:val="17"/>
                <w:color w:val="auto"/>
              </w:rPr>
            </w:pPr>
          </w:p>
        </w:tc>
      </w:tr>
      <w:tr>
        <w:trPr>
          <w:trHeight w:val="230"/>
        </w:trPr>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4,567,459</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4,205,511</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4,597,955</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4,205,511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4" w:lineRule="exact"/>
        <w:rPr>
          <w:sz w:val="20"/>
          <w:szCs w:val="20"/>
          <w:color w:val="auto"/>
        </w:rPr>
      </w:pPr>
    </w:p>
    <w:p>
      <w:pPr>
        <w:sectPr>
          <w:pgSz w:w="11900" w:h="16838" w:orient="portrait"/>
          <w:cols w:equalWidth="0" w:num="2">
            <w:col w:w="6600" w:space="720"/>
            <w:col w:w="3920"/>
          </w:cols>
          <w:pgMar w:left="320" w:top="900" w:right="339" w:bottom="1440" w:gutter="0" w:footer="0" w:header="0"/>
        </w:sectPr>
      </w:pP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specific non-recurring operational expenses as outlined in the reconciliation.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Delivery-as-a-service Revenue (DaaS)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Delivery-as-a-Service (DaaS) revenue (a non-IFRS measure) as the total revenue generated from last-mile delivery services, including subscription-based revenue associated with these services. For Karooooo Logistics, DaaS revenue is equal to revenue calculated in accordance with IFRS.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Adjusted Free Cash Flow (a non-IFRS measure) further include the fixed deposits with maturity dates exceeding three months that were classified under trade and other receivables. These bank deposits are presented as cash and cash equivalents in this measure. We believe that Free Cash Flow and Adjusted Free Cash Flow are useful indicators of liquidity and the ability of the group to turn revenues into Free Cash Flow or Adjusted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Free Cash Flow and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Rule of 60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adjusted EBITDA margin for a reporting period sum to greater than 60.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actual results to vary from projected results include, but are not limited to:</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or other regional events such as recent civil unrest in Mozambique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 in our latest Annual Report on Form 20-F and other reports filed with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lvl w:ilvl="1">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lvl w:ilvl="1">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2025-05-14T15:10:01Z</dcterms:created>
  <dcterms:modified xsi:type="dcterms:W3CDTF">2025-05-14T15:10:01Z</dcterms:modified>
</cp:coreProperties>
</file>