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45517-6k_karooooo.htm"/>
      <w:bookmarkStart w:id="1" w:name="ksea02455176k_karooooo"/>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w:t>
        <w:b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June,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Harbourfront Avenue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Keppel Bay Tower #14-07</w:t>
        <w:br/>
        <w:t>Singapore 098632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+65 6255 4151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Information Contained in this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On June 11, 2025, Karooooo Ltd. (“Karooooo”) entered into an underwriting agreement (the “Underwriting Agreement”) by and among Karooooo, Isaias (Zak) Jose Calisto, as selling shareholder (the “Selling Shareholder”), and UBS Securities LLC, William Blair &amp; Company, L.L.C. and The Standard Bank of South Africa Limited, as representatives of the several underwriters (the “Underwriters”), relating to an underwritten secondary public offering (the “Offering”) of 1,500,000 of Karooooo’s ordinary shares by the Selling Shareholder pursuant to Karooooo’s Registration Statement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File No. 333-280758 (the “Registration Statement”), originally filed with the Securities and Exchange Commission on July 11, 2024, as supplemented by the preliminary prospectus supplement, dated June 11,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Underwriting Agreement, the Underwriters purchased the ordinary shares at a price of $50.00 per ordinary share. The Offering is expected to close on June 13, 2025, subject to customary closing conditions. In addition, the underwriters of the Offering will have a 30-day option to purchase an additional 225,000 ordinary shares from the Selling Shareholder at the public offering price. Karooooo will not receive any proceeds from the sale of any ordinary shares by the Selling Shareholder.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of the Offering, the Selling Shareholder will continue to beneficially own 17,917,958 ordinary shares, or 58.00% (or 17,692,958 ordinary shares, or 57.27% if the option to purchase additional shares is exercised in full) of the 30,893,300 ordinary shares issued and outstanding. In addition, Juan Marais, the Chief Sales Officer of Karooooo, is the beneficial owner of 3,250,793 ordinary shares, or 10.52% of the issued and outstanding shares of Karooooo, through One Spire (Pty) Ltd. (“One Spire”). The Selling Shareholder and One Spire have agreed that if the Selling Shareholder’s beneficial ownership falls to below 51% of the issued and outstanding shares of Karooooo, then One Spire will cast all votes in respect of the ordinary shares that One Spire beneficially owns as directed by the Selling Shareholder.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Underwriting Agreement is filed as Exhibit 1.1 hereto. The description of the Underwriting Agreement is qualified in its entirety by the terms of such agreement. Additionally, a copy of the press release announcing the pricing of the previously announced Offering is filed as Exhibit 99.1 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this report on Form 6-K and in the Underwriting Agreement filed as Exhibit 1.1 hereto is hereby incorporated by reference into the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2970" w:type="dxa"/>
        <w:jc w:val="left"/>
        <w:tblInd w:w="0" w:type="dxa"/>
        <w:tblLayout w:type="fixed"/>
        <w:tblCellMar>
          <w:top w:w="0" w:type="dxa"/>
          <w:left w:w="0" w:type="dxa"/>
          <w:bottom w:w="0" w:type="dxa"/>
          <w:right w:w="0" w:type="dxa"/>
        </w:tblCellMar>
      </w:tblPr>
      <w:tblGrid>
        <w:gridCol w:w="75"/>
        <w:gridCol w:w="320"/>
        <w:gridCol w:w="590"/>
        <w:gridCol w:w="1985"/>
      </w:tblGrid>
      <w:tr>
        <w:trPr/>
        <w:tc>
          <w:tcPr>
            <w:tcW w:w="75" w:type="dxa"/>
            <w:tcBorders/>
            <w:vAlign w:val="center"/>
          </w:tcPr>
          <w:p>
            <w:pPr>
              <w:pStyle w:val="TableContents"/>
              <w:bidi w:val="0"/>
              <w:spacing w:before="0" w:after="283"/>
              <w:jc w:val="left"/>
              <w:rPr/>
            </w:pPr>
            <w:r>
              <w:rPr/>
              <w:t> </w:t>
            </w:r>
          </w:p>
        </w:tc>
        <w:tc>
          <w:tcPr>
            <w:tcW w:w="289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Karooooo Ltd.</w:t>
            </w:r>
          </w:p>
        </w:tc>
      </w:tr>
      <w:tr>
        <w:trPr/>
        <w:tc>
          <w:tcPr>
            <w:tcW w:w="75" w:type="dxa"/>
            <w:tcBorders/>
            <w:vAlign w:val="center"/>
          </w:tcPr>
          <w:p>
            <w:pPr>
              <w:pStyle w:val="TableContents"/>
              <w:bidi w:val="0"/>
              <w:spacing w:before="0" w:after="283"/>
              <w:jc w:val="left"/>
              <w:rPr/>
            </w:pPr>
            <w:r>
              <w:rPr/>
              <w:t> </w:t>
            </w:r>
          </w:p>
        </w:tc>
        <w:tc>
          <w:tcPr>
            <w:tcW w:w="289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7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Isaias (Zak) Jose Calisto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Isaias (Zak) Jose Calisto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12,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left"/>
              <w:rPr/>
            </w:pPr>
            <w:hyperlink w:anchor="ea024551701ex1-1_karooooo.htm">
              <w:r>
                <w:rPr>
                  <w:rStyle w:val="InternetLink"/>
                  <w:rFonts w:ascii="Times New Roman;Times;Serif" w:hAnsi="Times New Roman;Times;Serif"/>
                  <w:sz w:val="20"/>
                </w:rPr>
                <w:t>Underwriting Agreement, dated June 11, 2025, among Karooooo Ltd., Isaias (Zak) Jose Calisto, as selling shareholder, and UBS Securities LLC, William Blair &amp; Company, L.L.C. and The Standard Bank of South Africa Limited, as representatives of the several underwriters.</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left"/>
              <w:rPr/>
            </w:pPr>
            <w:hyperlink w:anchor="ea024551701ex99-1_karooooo.htm">
              <w:r>
                <w:rPr>
                  <w:rStyle w:val="InternetLink"/>
                  <w:rFonts w:ascii="Times New Roman;Times;Serif" w:hAnsi="Times New Roman;Times;Serif"/>
                  <w:sz w:val="20"/>
                </w:rPr>
                <w:t>Press release, dated June 12, 2025 - Karooooo Ltd. Announces Pricing of Secondary Public Offering of Ordinary Shares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24551701ex1-1_karooooo.htm"/>
      <w:bookmarkStart w:id="3" w:name="ksea024551701ex11_karooooo"/>
      <w:bookmarkEnd w:id="2"/>
      <w:bookmarkEnd w:id="3"/>
      <w:r>
        <w:rPr>
          <w:b/>
        </w:rPr>
        <w:t>Exhibit 1.1</w:t>
      </w:r>
      <w:r>
        <w:br w:type="page"/>
      </w:r>
    </w:p>
    <w:p>
      <w:pPr>
        <w:pStyle w:val="TextBody"/>
        <w:bidi w:val="0"/>
        <w:jc w:val="righ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1,500,000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Ordinary Shares, no par value</w:t>
      </w:r>
    </w:p>
    <w:p>
      <w:pPr>
        <w:pStyle w:val="TextBody"/>
        <w:bidi w:val="0"/>
        <w:spacing w:before="0" w:after="0"/>
        <w:jc w:val="center"/>
        <w:rPr>
          <w:caps/>
        </w:rPr>
      </w:pPr>
      <w:r>
        <w:rPr>
          <w:caps/>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UBS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Blair &amp; Company,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Standard Bank of South Africa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 Underwriters named in Schedule I hereto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1320"/>
        <w:gridCol w:w="8721"/>
      </w:tblGrid>
      <w:tr>
        <w:trPr/>
        <w:tc>
          <w:tcPr>
            <w:tcW w:w="164"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pPr>
            <w:r>
              <w:rPr/>
              <w:t>c/o</w:t>
            </w:r>
          </w:p>
        </w:tc>
        <w:tc>
          <w:tcPr>
            <w:tcW w:w="8721" w:type="dxa"/>
            <w:tcBorders/>
            <w:vAlign w:val="center"/>
          </w:tcPr>
          <w:p>
            <w:pPr>
              <w:pStyle w:val="TableContents"/>
              <w:bidi w:val="0"/>
              <w:spacing w:before="0" w:after="283"/>
              <w:jc w:val="left"/>
              <w:rPr/>
            </w:pPr>
            <w:r>
              <w:rPr/>
              <w:t>UBS Securities LLC</w:t>
            </w:r>
          </w:p>
        </w:tc>
      </w:tr>
    </w:tbl>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 Avenue of the Americas</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ind w:left="0" w:right="0" w:hanging="0"/>
        <w:jc w:val="left"/>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305"/>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c/o</w:t>
            </w:r>
          </w:p>
        </w:tc>
        <w:tc>
          <w:tcPr>
            <w:tcW w:w="3305" w:type="dxa"/>
            <w:tcBorders/>
            <w:vAlign w:val="center"/>
          </w:tcPr>
          <w:p>
            <w:pPr>
              <w:pStyle w:val="TableContents"/>
              <w:bidi w:val="0"/>
              <w:spacing w:before="0" w:after="283"/>
              <w:jc w:val="both"/>
              <w:rPr/>
            </w:pPr>
            <w:r>
              <w:rPr/>
              <w:t>William Blair &amp; Company, L.L.C.</w:t>
            </w:r>
          </w:p>
        </w:tc>
      </w:tr>
    </w:tbl>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North Riverside Plaza</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Illinois 60606</w:t>
      </w:r>
    </w:p>
    <w:p>
      <w:pPr>
        <w:pStyle w:val="TextBody"/>
        <w:bidi w:val="0"/>
        <w:spacing w:before="0" w:after="0"/>
        <w:ind w:left="0" w:right="0" w:hanging="0"/>
        <w:jc w:val="left"/>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38"/>
        <w:gridCol w:w="305"/>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c/o</w:t>
            </w:r>
          </w:p>
        </w:tc>
        <w:tc>
          <w:tcPr>
            <w:tcW w:w="4205" w:type="dxa"/>
            <w:tcBorders/>
            <w:vAlign w:val="center"/>
          </w:tcPr>
          <w:p>
            <w:pPr>
              <w:pStyle w:val="TableContents"/>
              <w:bidi w:val="0"/>
              <w:spacing w:before="0" w:after="283"/>
              <w:jc w:val="both"/>
              <w:rPr/>
            </w:pPr>
            <w:r>
              <w:rPr/>
              <w:t>The Standard Bank of South Africa Limited</w:t>
            </w:r>
          </w:p>
        </w:tc>
      </w:tr>
    </w:tbl>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Baker Street, Rosebank</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Johannesburg, 2196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Isaias Jose Calisto (the “</w:t>
      </w:r>
      <w:r>
        <w:rPr>
          <w:rFonts w:ascii="Times New Roman;Times;Serif" w:hAnsi="Times New Roman;Times;Serif"/>
          <w:b/>
          <w:i w:val="false"/>
          <w:caps w:val="false"/>
          <w:smallCaps w:val="false"/>
          <w:sz w:val="20"/>
        </w:rPr>
        <w:t>Selling Shareholder</w:t>
      </w:r>
      <w:r>
        <w:rPr>
          <w:rFonts w:ascii="Times New Roman;Times;Serif" w:hAnsi="Times New Roman;Times;Serif"/>
          <w:b w:val="false"/>
          <w:i w:val="false"/>
          <w:caps w:val="false"/>
          <w:smallCaps w:val="false"/>
          <w:sz w:val="20"/>
        </w:rPr>
        <w:t>”), a shareholder of Karooooo Ltd., a public limited company under the laws of the Republic of Singapore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proposes to sell to the several Underwriters named in Schedule I hereto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1,500,000 ordinary shares, no par value, in the share capital of the Company (the “</w:t>
      </w:r>
      <w:r>
        <w:rPr>
          <w:rFonts w:ascii="Times New Roman;Times;Serif" w:hAnsi="Times New Roman;Times;Serif"/>
          <w:b/>
          <w:i w:val="false"/>
          <w:caps w:val="false"/>
          <w:smallCaps w:val="false"/>
          <w:sz w:val="20"/>
        </w:rPr>
        <w:t>Firm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 also proposes to sell to the several Underwriters not more than an additional 225,000 ordinary shares, no par value (the “</w:t>
      </w:r>
      <w:r>
        <w:rPr>
          <w:rFonts w:ascii="Times New Roman;Times;Serif" w:hAnsi="Times New Roman;Times;Serif"/>
          <w:b/>
          <w:i w:val="false"/>
          <w:caps w:val="false"/>
          <w:smallCaps w:val="false"/>
          <w:sz w:val="20"/>
        </w:rPr>
        <w:t>Additional Shares</w:t>
      </w:r>
      <w:r>
        <w:rPr>
          <w:rFonts w:ascii="Times New Roman;Times;Serif" w:hAnsi="Times New Roman;Times;Serif"/>
          <w:b w:val="false"/>
          <w:i w:val="false"/>
          <w:caps w:val="false"/>
          <w:smallCaps w:val="false"/>
          <w:sz w:val="20"/>
        </w:rPr>
        <w:t>”), if and to the extent that UBS Securities LLC, William Blair &amp; Company, L.L.C. and The Standard Bank of South Africa Limited (together,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as managers of the offering, shall have determined to exercise, on behalf of the Underwriters, the right to purchase such ordinary shares granted to the Underwriters in Section 3 hereof. The Firm Shares and the Additional Shares are hereinafter collectively referred to as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The ordinary shares, no par value, in the share capital of the Company to be outstanding after giving effect to the sales contemplated hereby are hereinafter referred to as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 registration statement on Form F-3 (File No. 333-280758), including a prospectus, relating to the securities (the “</w:t>
      </w:r>
      <w:r>
        <w:rPr>
          <w:rFonts w:ascii="Times New Roman;Times;Serif" w:hAnsi="Times New Roman;Times;Serif"/>
          <w:b/>
          <w:i w:val="false"/>
          <w:caps w:val="false"/>
          <w:smallCaps w:val="false"/>
          <w:sz w:val="20"/>
        </w:rPr>
        <w:t>Shelf Securities</w:t>
      </w:r>
      <w:r>
        <w:rPr>
          <w:rFonts w:ascii="Times New Roman;Times;Serif" w:hAnsi="Times New Roman;Times;Serif"/>
          <w:b w:val="false"/>
          <w:i w:val="false"/>
          <w:caps w:val="false"/>
          <w:smallCaps w:val="false"/>
          <w:sz w:val="20"/>
        </w:rPr>
        <w:t>”), including the Shares, to be sold from time to time by the Selling Shareholder. The registration statement as amended to the date of this Agreement, including the information (if any) deemed to be part of the registration statement at the time of effectiveness pursuant to Rule 430A or Rule 430B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is hereinafter referred to as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and the related prospectus covering the Shelf Securities dated July 22, 2024 in the form first used to confirm sales of the Shares (or in the form first made available to the Underwriters by the Company to meet requests of purchasers pursuant to Rule 173 under the Securities Act) is hereinafter referred to as the “</w:t>
      </w:r>
      <w:r>
        <w:rPr>
          <w:rFonts w:ascii="Times New Roman;Times;Serif" w:hAnsi="Times New Roman;Times;Serif"/>
          <w:b/>
          <w:i w:val="false"/>
          <w:caps w:val="false"/>
          <w:smallCaps w:val="false"/>
          <w:sz w:val="20"/>
        </w:rPr>
        <w:t>Basic Prospectus</w:t>
      </w:r>
      <w:r>
        <w:rPr>
          <w:rFonts w:ascii="Times New Roman;Times;Serif" w:hAnsi="Times New Roman;Times;Serif"/>
          <w:b w:val="false"/>
          <w:i w:val="false"/>
          <w:caps w:val="false"/>
          <w:smallCaps w:val="false"/>
          <w:sz w:val="20"/>
        </w:rPr>
        <w:t>.” The Basic Prospectus, as supplemented by the prospectus supplement specifically relating to the Shares in the form first used to confirm sales of the Shares (or in the form first made available to the Underwriters by the Company to meet requests of purchasers pursuant to Rule 173 under the Securities Act) is hereinafter referred to as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and the term “</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means any preliminary form of the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Underwriting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free writing prospectus</w:t>
      </w:r>
      <w:r>
        <w:rPr>
          <w:rFonts w:ascii="Times New Roman;Times;Serif" w:hAnsi="Times New Roman;Times;Serif"/>
          <w:b w:val="false"/>
          <w:i w:val="false"/>
          <w:caps w:val="false"/>
          <w:smallCaps w:val="false"/>
          <w:sz w:val="20"/>
        </w:rPr>
        <w:t>” has the meaning set forth in Rule 405 under the Securities Act, “</w:t>
      </w:r>
      <w:r>
        <w:rPr>
          <w:rFonts w:ascii="Times New Roman;Times;Serif" w:hAnsi="Times New Roman;Times;Serif"/>
          <w:b/>
          <w:i w:val="false"/>
          <w:caps w:val="false"/>
          <w:smallCaps w:val="false"/>
          <w:sz w:val="20"/>
        </w:rPr>
        <w:t>Time of Sale Prospectus</w:t>
      </w:r>
      <w:r>
        <w:rPr>
          <w:rFonts w:ascii="Times New Roman;Times;Serif" w:hAnsi="Times New Roman;Times;Serif"/>
          <w:b w:val="false"/>
          <w:i w:val="false"/>
          <w:caps w:val="false"/>
          <w:smallCaps w:val="false"/>
          <w:sz w:val="20"/>
        </w:rPr>
        <w:t>” means the documents and pricing information set forth in Schedule II hereto, and “</w:t>
      </w:r>
      <w:r>
        <w:rPr>
          <w:rFonts w:ascii="Times New Roman;Times;Serif" w:hAnsi="Times New Roman;Times;Serif"/>
          <w:b/>
          <w:i w:val="false"/>
          <w:caps w:val="false"/>
          <w:smallCaps w:val="false"/>
          <w:sz w:val="20"/>
        </w:rPr>
        <w:t>broadly available roadshow</w:t>
      </w:r>
      <w:r>
        <w:rPr>
          <w:rFonts w:ascii="Times New Roman;Times;Serif" w:hAnsi="Times New Roman;Times;Serif"/>
          <w:b w:val="false"/>
          <w:i w:val="false"/>
          <w:caps w:val="false"/>
          <w:smallCaps w:val="false"/>
          <w:sz w:val="20"/>
        </w:rPr>
        <w:t>” means a “bona fide electronic roadshow” as defined in Rule 433(h)(5) under the Securities Act that has been made available without restriction to any person. As used herein, the terms “Registration Statement,” “Basic Prospectus,” “preliminary prospectus,” “Time of Sale Prospectus” and “Prospectus” shall include the documents, if any, incorporated by reference therein as of the date hereof. The terms “</w:t>
      </w:r>
      <w:r>
        <w:rPr>
          <w:rFonts w:ascii="Times New Roman;Times;Serif" w:hAnsi="Times New Roman;Times;Serif"/>
          <w:b/>
          <w:i w:val="false"/>
          <w:caps w:val="false"/>
          <w:smallCaps w:val="false"/>
          <w:sz w:val="20"/>
        </w:rPr>
        <w:t>supplement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amend</w:t>
      </w:r>
      <w:r>
        <w:rPr>
          <w:rFonts w:ascii="Times New Roman;Times;Serif" w:hAnsi="Times New Roman;Times;Serif"/>
          <w:b w:val="false"/>
          <w:i w:val="false"/>
          <w:caps w:val="false"/>
          <w:smallCaps w:val="false"/>
          <w:sz w:val="20"/>
        </w:rPr>
        <w:t>” as used herein with respect to the Registration Statement, the Basic Prospectus, the Time of Sale Prospectus, any preliminary prospectus or the Prospectus shall include all documents subsequently filed by the Company with the Commission pursuant to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that are deemed to be incorporated by reference therein.</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 xml:space="preserve">Representations and Warranties of the Company. </w:t>
      </w:r>
      <w:r>
        <w:rPr>
          <w:rFonts w:ascii="Times New Roman;Times;Serif" w:hAnsi="Times New Roman;Times;Serif"/>
          <w:b w:val="false"/>
          <w:i w:val="false"/>
          <w:caps w:val="false"/>
          <w:smallCaps w:val="false"/>
          <w:sz w:val="20"/>
        </w:rPr>
        <w:t>The Company represents and warrants to and agrees with each of the Underwriters that: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Registration Statement has become effective; no stop order suspending the effectiveness of the Registration Statement is in effect, and no proceedings for such purpose or pursuant to Section 8A under the Securities Act are pending before or to the knowledge of the Company, threatened by the Commission.</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will not contain, as of the date of such amendment or supplement, any untrue statement of a material fact or omit to state a material fact required to be stated therein or necessary to make the statements therein not misleading, (iii) the Registration Statement and the Prospectus comply and, as amended or supplemented, if applicable, will, as of the date of such amendment or supplement, comply in all material respects with the Securities Act and the applicable rules and regulations of the Commission thereunder, (iv) the Time of Sale Prospectus does not, and at the time of each sale of the Shares in connection with the offering when the Prospectus is not yet available to prospective purchasers and at the Closing Date (as defined in Section 5) and at the Option Closing Date (as defined in Section 3), as the case may be,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 it being understood and agreed that the only such information furnished by any Underwriter consists of the Underwriter Information (as defined in Section 11(c) of this Agreement).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roadshows, if any, each furnished to the Representatives before first use, the Company has not prepared, used or referred to, and will not, without the Representatives’ prior consent, prepare, use or refer to, any free writing prospectus.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been duly incorporated, is validly existing as a public limited company under the laws of the Republic of Singapore,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have a material adverse effect on the Company and its subsidiaries, taken as a whole. The Company is not currently designated as a “declared company” (under the provisions of Part 9 of the Companies Act 1967 of the Republic of Singapore (the “</w:t>
      </w:r>
      <w:r>
        <w:rPr>
          <w:rFonts w:ascii="Times New Roman;Times;Serif" w:hAnsi="Times New Roman;Times;Serif"/>
          <w:b/>
          <w:i w:val="false"/>
          <w:caps w:val="false"/>
          <w:smallCaps w:val="false"/>
          <w:sz w:val="20"/>
        </w:rPr>
        <w:t>Singapore Companies Act</w:t>
      </w:r>
      <w:r>
        <w:rPr>
          <w:rFonts w:ascii="Times New Roman;Times;Serif" w:hAnsi="Times New Roman;Times;Serif"/>
          <w:b w:val="false"/>
          <w:i w:val="false"/>
          <w:caps w:val="false"/>
          <w:smallCaps w:val="false"/>
          <w:sz w:val="20"/>
        </w:rPr>
        <w:t>”)) by the Minister of Finance of Singapore, nor have any steps been taken or legal proceedings started or threatened in any jurisdiction against the Company for its winding up or dissolution, or for it to enter into any compromise, arrangement, scheme of arrangement or composition for the benefit of creditors, or for the appointment of a receiver, receiver and manager, judicial manager, trustee, liquidator or similar officer or equivalent person of the Company or any of its properties, revenues or assets.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subsidiary of the Company has been duly incorporated, organized or formed, is validly existing as a corporation or other business entity in good standing (to the extent the concept of good standing is applicable in such jurisdiction) under the laws of the jurisdiction of its incorporation, organization or formation, has the corporate or other business entity power and authority to own or lease its property and to conduct its business as described in each of the Registration Statement, the Time of Sale Prospectus and the Prospectus and is duly qualified to transact business and is in good standing (to the extent the concept of good standing is applicable in such jurisdiction) in each jurisdiction in which the conduct of its business or its ownership or leasing of property requires such qualification, except to the extent that the failure to be so qualified or be in good standing (to the extent the concept of good standing is applicable in such jurisdiction) would not reasonably be expected to, singly or in the aggregate, have a material adverse effect on the Company and its subsidiaries, taken as a whole; all of the issued shares of capital stock or other equity interests of each subsidiary of the Company have been duly and validly authorized and issued, are fully paid and non-assessable and are owned directly or indirectly by the Company, free and clear of all liens, encumbrances, equities or claims.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This Agreement has been duly authorized, executed and delivered by the Company.</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authorized capital stock of the Company conforms as to legal matters to the description thereof contained in each of the Registration Statement, the Time of Sale Prospectus and the Prospectus.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Ordinary Shares to be sold by the Selling Shareholder pursuant to this Agreement outstanding as of the date hereof have been duly authorized and are validly issued, fully paid and non-assessable.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execution and delivery by the Company of, nor the performance by the Company of its obligations under, this Agreement, nor the consummation of the transactions contemplated by this Agreement, contravene any provision of (i) applicable law, (ii) the respective articles of association, memoranda of incorporation, business license or other similar constitutive documents of the Company or any of its subsidiaries, (iii) any agreement or other instrument binding upon the Company or any of its subsidiaries, or (iv) any judgment, order or decree of any governmental body, agency or court having jurisdiction over the Company or any subsidiary, except that in the case of clauses (i), (iii) and (iv) as would not, singly or in the aggregate, reasonably be expected to have a material adverse effect on the Company and its subsidiaries, taken as a whole; and no consent, approval, authorization or order of, or qualification with, the South African Reserve Bank, JSE Limited or any governmental body, agency or court is required for the performance by the Company of its obligations under this Agreement, except as has been previously obtained or waived or such (i) as may be required by the securities or Blue Sky laws of the various states in connection with the offer and sale of the Shares and (ii) that have been, or on or prior to the Closing Date will be, obtained or made.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There are no legal or governmental proceedings pending or, to the knowledge of the Company,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singly or in the aggregate, reasonably be expected to have a material adverse effect on the Company and its subsidiaries, taken as a whole, or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in all material respects; and there are no statutes, regulations, contracts or other documents to which the Company or its subsidiaries is subject or bound that are required to be described in the Registration Statement, the Time of Sale Prospectus or the Prospectus or to be filed as exhibits to the Registration Statement that are not described in all material respects or filed as required.</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is not required to register as an “investment company” as such term is defined in the Investment Company Act of 1940, as amended.</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Company and each of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Except as disclosed in the Registration Statement or the Time of Sale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 None of the Company or any of its subsidiaries or controlled affiliates, or any director, officer, or employee thereof, nor, to the knowledge of the Company, any other affiliate, employees thereof, or any agent or representative of the Company or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Times;Serif" w:hAnsi="Times New Roman;Times;Serif"/>
          <w:b/>
          <w:i w:val="false"/>
          <w:caps w:val="false"/>
          <w:smallCaps w:val="false"/>
          <w:sz w:val="20"/>
        </w:rPr>
        <w:t>Government Official</w:t>
      </w:r>
      <w:r>
        <w:rPr>
          <w:rFonts w:ascii="Times New Roman;Times;Serif" w:hAnsi="Times New Roman;Times;Serif"/>
          <w:b w:val="false"/>
          <w:i w:val="false"/>
          <w:caps w:val="false"/>
          <w:smallCaps w:val="false"/>
          <w:sz w:val="20"/>
        </w:rPr>
        <w:t>”) in order to influence official action, or to any person, in each case, in violation of any applicable anti-corruption laws; and (ii) the Company and each of its subsidiaries and controlled affiliates, and to the Company’s knowledge, its other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the South African Financial Intelligence Centre Act, 2001,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Times;Serif" w:hAnsi="Times New Roman;Times;Serif"/>
          <w:b/>
          <w:i w:val="false"/>
          <w:caps w:val="false"/>
          <w:smallCaps w:val="false"/>
          <w:sz w:val="20"/>
        </w:rPr>
        <w:t>Anti-Money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 None of the Company, any of its subsidiaries, or any director, officer, or employee thereof, or, to the knowledge of the Company, any agent, affiliate or representative of the Company or any of its subsidiaries, is an individual or entity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that is, or is owned or controlled by one or more Persons that are:</w:t>
      </w:r>
    </w:p>
    <w:p>
      <w:pPr>
        <w:pStyle w:val="TextBody"/>
        <w:bidi w:val="0"/>
        <w:spacing w:before="0" w:after="0"/>
        <w:ind w:left="2304" w:right="0" w:firstLine="1296"/>
        <w:jc w:val="left"/>
        <w:rPr>
          <w:caps w:val="false"/>
          <w:smallCaps w:val="false"/>
        </w:rPr>
      </w:pPr>
      <w:r>
        <w:rPr>
          <w:caps w:val="false"/>
          <w:smallCaps w:val="false"/>
        </w:rPr>
        <w:t> </w:t>
      </w:r>
    </w:p>
    <w:p>
      <w:pPr>
        <w:pStyle w:val="TextBody"/>
        <w:bidi w:val="0"/>
        <w:spacing w:before="0" w:after="0"/>
        <w:ind w:left="2304"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or</w:t>
      </w:r>
    </w:p>
    <w:p>
      <w:pPr>
        <w:pStyle w:val="TextBody"/>
        <w:bidi w:val="0"/>
        <w:spacing w:before="0" w:after="0"/>
        <w:ind w:left="2304" w:right="0" w:firstLine="1296"/>
        <w:jc w:val="left"/>
        <w:rPr>
          <w:caps w:val="false"/>
          <w:smallCaps w:val="false"/>
        </w:rPr>
      </w:pPr>
      <w:r>
        <w:rPr>
          <w:caps w:val="false"/>
          <w:smallCaps w:val="false"/>
        </w:rPr>
        <w:t> </w:t>
      </w:r>
    </w:p>
    <w:p>
      <w:pPr>
        <w:pStyle w:val="TextBody"/>
        <w:bidi w:val="0"/>
        <w:spacing w:before="0" w:after="0"/>
        <w:ind w:left="2304"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located, organized or resident in a country or territory that is the subject of Sanctions (including, without limitation, Crimea, the so-called Donetsk and Luhansk People’s Republics, Cuba, Iran, North Korea and Syria).</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Since April 24, 2019, 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capital stock, nor declared, paid or otherwise made any dividend or distribution of any kind on its capital stock other than ordinary and customary dividends; and (iii) there has not been any material change in the capital stock, short-term debt or long-term debt of the Company and its subsidiaries, taken as a whole; except in each case as described in the Registration Statement, the Time of Sale Prospectus and the Prospectus.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The Company and each of its subsidiaries have good and marketable title in fee simple to all real property and good and marketable title to all personal property owned by them which is necessary to the business of the Company and its subsidiaries, in each case free and clear of all liens, encumbrances and defects except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Except as would not, singly or in the aggregate, reasonably be expected to have a material adverse effect on the Company and its subsidiaries, taken as a whole, (i) the Company and its subsidiaries own or, have and possess, or to the Company’s knowledge can readily obtain on commercially reasonable terms a valid and enforceable license to use all patents, inventions, copyrights, know how (including trade secrets and other unpatented and/or unpatentable proprietary or confidential information, systems or procedures), trademarks, service marks and trade names (collectively, “</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in each case, used in or reasonably necessary to the conduct of their businesses as currently conducted and as described in each of the Registration Statement, the Time of Sale Prospectus and the Prospectus (the “</w:t>
      </w:r>
      <w:r>
        <w:rPr>
          <w:rFonts w:ascii="Times New Roman;Times;Serif" w:hAnsi="Times New Roman;Times;Serif"/>
          <w:b/>
          <w:i w:val="false"/>
          <w:caps w:val="false"/>
          <w:smallCaps w:val="false"/>
          <w:sz w:val="20"/>
        </w:rPr>
        <w:t>Company Intellectual Property</w:t>
      </w:r>
      <w:r>
        <w:rPr>
          <w:rFonts w:ascii="Times New Roman;Times;Serif" w:hAnsi="Times New Roman;Times;Serif"/>
          <w:b w:val="false"/>
          <w:i w:val="false"/>
          <w:caps w:val="false"/>
          <w:smallCaps w:val="false"/>
          <w:sz w:val="20"/>
        </w:rPr>
        <w:t>”); (ii) the registered or applied for Company Intellectual Property owned or purported to be owned by the Company and its subsidiaries is subsisting and, to the knowledge of the Company (excluding, for the avoidance of doubt, applications for registrations), the Company Intellectual Property licensed to the Company and its subsidiaries, is valid, subsisting and enforceable, and there is no pending or, to the knowledge of the Company, threatened action, suit, proceeding or claim by others challenging the validity, scope or enforceability of any such Company Intellectual Property; (iii) neither the Company nor any of its subsidiaries has received any notice alleging any infringement, misappropriation or other violation of Intellectual Property Rights; (iv) to the knowledge of the Company, no third party is infringing, misappropriating or otherwise violating, or has infringed, misappropriated or otherwise violated, any Company Intellectual Property owned by the Company or any of its subsidiaries; (v) to the knowledge of the Company, neither the Company nor any of its subsidiaries infringes, misappropriates or otherwise violates, or has infringed, misappropriated or otherwise violated, any Intellectual Property Rights; (vi) all employees or contractors engaged in the development of Intellectual Property Rights on behalf of the Company or any subsidiary of the Company have executed agreements whereby such employees or contractors presently assign all of their right, title and interest in and to such Intellectual Property Rights to the Company or the applicable subsidiary, and to the knowledge of the Company, no such agreement has been breached or violated; and (vii) the Company and its subsidiaries use, and have used, commercially reasonable efforts to appropriately maintain the confidentiality of and protect any and all Company Intellectual Property, the value of which to the Company or any of its subsidiaries is contingent upon maintaining the confidentiality thereof, including software source code and trade secrets.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Except as would not, singly or in the aggregate, reasonably be expected to have a material adverse effect on the Company and its subsidiaries, taken as a whole, (i) the Company and its subsidiaries use and have used any and all software and other materials distributed under a “free,” “open source,” or similar licensing model (“</w:t>
      </w:r>
      <w:r>
        <w:rPr>
          <w:rFonts w:ascii="Times New Roman;Times;Serif" w:hAnsi="Times New Roman;Times;Serif"/>
          <w:b/>
          <w:i w:val="false"/>
          <w:caps w:val="false"/>
          <w:smallCaps w:val="false"/>
          <w:sz w:val="20"/>
        </w:rPr>
        <w:t>Open Source Software</w:t>
      </w:r>
      <w:r>
        <w:rPr>
          <w:rFonts w:ascii="Times New Roman;Times;Serif" w:hAnsi="Times New Roman;Times;Serif"/>
          <w:b w:val="false"/>
          <w:i w:val="false"/>
          <w:caps w:val="false"/>
          <w:smallCaps w:val="false"/>
          <w:sz w:val="20"/>
        </w:rPr>
        <w:t>”)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to a third party (except as intentionally disclosed or distributed by the Company or its subsidiaries), (2) licensed for the purpose of making derivative works, or (3) redistributed at no charge.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Except as would not, singly or in the aggregate, reasonably be expected to have a material adverse effect on the Company and its subsidiaries, taken as a whole, (i) the Company and each of its subsidiaries have complied and are presently in compliance with (A) all internal and external privacy and data security policies, (B) contractual obligations, and (C) applicable laws, statutes, judgments, orders, rules and regulations of any court or arbitrator or other governmental or regulatory authority and any other legal obligations, in each case of (A) through (C), relating to the collection, use, transfer, import, export, storage, protection, disposal and disclosure by the Company or any of its subsidiaries of personal, personally identifiable, household, sensitive, confidential or regulated data, including, but not limited to, the data and information of the customers and employees of the Company or its subsidiaries and any other sensitive third-party data collected, maintained, processed or stored by or on behalf of any the Company or any of its subsidiaries (such data, the “</w:t>
      </w:r>
      <w:r>
        <w:rPr>
          <w:rFonts w:ascii="Times New Roman;Times;Serif" w:hAnsi="Times New Roman;Times;Serif"/>
          <w:b/>
          <w:i w:val="false"/>
          <w:caps w:val="false"/>
          <w:smallCaps w:val="false"/>
          <w:sz w:val="20"/>
        </w:rPr>
        <w:t>Data</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Data Security Obligations</w:t>
      </w:r>
      <w:r>
        <w:rPr>
          <w:rFonts w:ascii="Times New Roman;Times;Serif" w:hAnsi="Times New Roman;Times;Serif"/>
          <w:b w:val="false"/>
          <w:i w:val="false"/>
          <w:caps w:val="false"/>
          <w:smallCaps w:val="false"/>
          <w:sz w:val="20"/>
        </w:rPr>
        <w:t>”); (ii) none of the Company or any of its subsidiaries has received any written notification of, or complaint regarding, and is unaware of any other facts that, individually or in the aggregate, would reasonably indicate non-compliance with any Data Security Obligation; (iii) all vendors, processors, and subcontractors acting for or on behalf of the Company or any of its subsidiaries in connection with the processing of Data or that otherwise have been authorized to have access to the IT Systems (as defined below) or the Data in the possession or control of the Company or its subsidiaries are subject to reasonable contractual requirements regarding the processing of Data, and to the knowledge of the Company comply, and have complied, with such contractual requirements; and (iv) there is no action, suit or proceeding by or before any court or governmental agency, authority or body pending or, to the knowledge of the Company, threatened, against the Company or its subsidiaries alleging non-compliance with any Data Security Obligation.</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Except as would not, singly or in the aggregate, reasonably be expected to have a material adverse effect on the Company and its subsidiaries, taken as a whole, the Company and each of its subsidiaries have implemented and maintained all physical, technical, administrative and organizational controls, policies, procedures, and technical safeguards to maintain and protect their material confidential information and the integrity, continuous operation, redundancy and security necessary to protect the information technology assets and equipment, computers, systems, networks, hardware, software, firmware, middleware, websites, applications, data communication lines, routers, hubs, switches, databases and technology (the “</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and Data used in connection with the operation of the Company’s and its subsidiaries’ businesses. Without limiting the foregoing, the Company and its subsidiaries have used commercially reasonable efforts to establish and maintain, and have established, maintained, implemented and complied with,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phishing, social engineering, business email compromise, or other compromise or misuse of or relating to any information technology system or Data used in connection with the operation of the Company’s and its subsidiaries’ businesses as currently conducted and as proposed to be conducted by them as described in each of the Registration Statement, the Time of Sale Prospectus and the Prospectus (“</w:t>
      </w:r>
      <w:r>
        <w:rPr>
          <w:rFonts w:ascii="Times New Roman;Times;Serif" w:hAnsi="Times New Roman;Times;Serif"/>
          <w:b/>
          <w:i w:val="false"/>
          <w:caps w:val="false"/>
          <w:smallCaps w:val="false"/>
          <w:sz w:val="20"/>
        </w:rPr>
        <w:t>Breach</w:t>
      </w:r>
      <w:r>
        <w:rPr>
          <w:rFonts w:ascii="Times New Roman;Times;Serif" w:hAnsi="Times New Roman;Times;Serif"/>
          <w:b w:val="false"/>
          <w:i w:val="false"/>
          <w:caps w:val="false"/>
          <w:smallCaps w:val="false"/>
          <w:sz w:val="20"/>
        </w:rPr>
        <w:t>”). Neither the Company nor its subsidiaries have been notified in writing of, or have no knowledge of any event or condition that would reasonably be expected to result in, any such Breach, and except as would not, singly or in the aggregate, reasonably be expected to have a material adverse effect on the Company and its subsidiaries, taken as a whole, the Company and each of its subsidiaries have not experienced a Breach in the last year. The IT Systems and Data (i) are adequate for, and operate and perform as required in connection with the operation of the Company’s and its subsidiaries’ businesses as currently conducted and (ii) are free and clear of any material bugs, errors, defects, Trojan horses, time bombs and malware which have caused, singly or in the aggregate, a material adverse effect.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No material labor dispute with the employees of the Company or any of its subsidiaries exists, or, to the knowledge of the Company, is imminent; and neither the Company nor any of its subsidiaries is aware of any existing, threatened or imminent labor disturbance by the employees of any of its principal suppliers, manufacturers or contractors that would reasonably be expected to, singly or in the aggregate, have a material adverse effect on the Company and its subsidiaries, taken as a whole.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w:t>
        <w:tab/>
        <w:t>The Company and each of its subsidiaries are insured by insurers of recognized financial responsibility against such losses and risks and in such amounts, in the Company’s reasonable judgment, as are prudent and customary in the businesses in which they are engaged; neither the Company nor any of its subsidiaries has been refused any insurance coverage sought or applied for that would reasonably be expected to have a material adverse effect on the Company and its subsidiaries, taken as a whole;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singly or in the aggregate, have a material adverse effect on the Company and its subsidiaries, taken as a whole.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w:t>
        <w:tab/>
        <w:t>Except where failure to possess such certificates, authorizations licenses or permits would not, singly or in the aggregate, reasonably be expected to have a material adverse effect on the Company and its subsidiaries, taken as a whole, the Company and each of its subsidiaries possess all certificates, authorizations and permits issued by the appropriate federal, state or foreign regulatory authorities necessary to conduct their respective businesses, except where failure to possess such certificates, authorizations licenses or permits would not, singly or in the aggregate, reasonably be expected to have a material adverse effect on the Company and its subsidiaries, taken as a whole,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reasonably be expected to have a material adverse effect on the Company and its subsidiaries, taken as a whole.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w:t>
        <w:tab/>
        <w:t>The financial statements included or incorporated by reference in each of the Registration Statement, the Time of Sale Prospectus and the Prospectus, together with the related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International Financial Reporting Standards (“</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as issued by the International Accounting Standards Board applied on a consistent basis throughout the periods covered thereby. The other financial information included or incorporated by reference in each of the Registration Statement, the Time of Sale Prospectus and the Prospectus has been derived from the accounting records of the Company and its consolidated subsidiaries and presents fairly in all material respects the information shown thereby. The statistical, industry-related and market-related data included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w:t>
        <w:tab/>
        <w:t>Each of Deloitte &amp; Touche and Ernst &amp; Young LLP, who have each audited certain financial statements of the Company and its subsidiaries and delivered its report with respect to the audited consolidated financial statements filed with the Commission as part of the Registration Statement and included or incorporated by reference in each of the Registration Statement, the Time of Sale Prospectus and the Prospectus, is an independent registered public accounting firm with respect to the Company and its subsidiaries within the meaning of the Securities Act and the applicable rules and regulations thereunder adopted by the Commission and the Public Company Accounting Oversight Board (United States).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w:t>
        <w:tab/>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IFRS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Except as disclosed in each of the Registration Statement, the Time of Sale Prospectus and the Prospectus, since the end of the Company’s most recent audited fiscal year, there has been (x) no material weakness in the Company’s internal control over financial reporting (whether or not remediated) and (y) no change in the Company’s internal control over financial reporting that has materially affected, or is reasonably likely to materially affect, such entity’s internal control over financial reporting.</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w:t>
        <w:tab/>
        <w:t>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w:t>
        <w:tab/>
        <w:t>Except as described in the Registration Statement or the Time of Sale Prospectus, the Company has not sold, issued or distributed any Ordinary Shares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w:t>
        <w:tab/>
        <w:t>Neither the Company nor any of its subsidiaries has any securities rated by any “nationally recognized statistical rating organization,” as such term is defined in Section 3(a)(62) of the Exchange Act.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and each of its subsidiaries have filed all federal, state, local and foreign tax returns required to be filed through the date of this Agreement or have requested extensions thereof (except where the failure to file would not reasonably be expected to, singly or in the aggregate, have a material adverse effect on the Company and its subsidiaries, taken as a whole) and have paid all taxes required to be paid thereon (except for cases in which the failure to file or pay would not reasonably be expected to, singly or in the aggregate, have a material adverse effect on the Company and its subsidiaries, taken as a whole, or, except as currently being contested in good faith and for which reserves required by IFRS have been created in the financial statements of the Company), and no tax deficiency has been determined adversely to Company or any of its subsidiaries which, singly or in the aggregate, has had (nor does the Company or any of its subsidiaries have any notice or knowledge of any tax deficiency which would reasonably be expected to be determined adversely to the Company or its subsidiaries and which would reasonably be expected to have) a material adverse effect on the Company and its subsidiaries, taken as a whole.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w:t>
        <w:tab/>
        <w:t>From the time of initial filing of the Registration Statement to the Commission through the date hereof, the Company has been and is or is otherwise able to use the accommodations available to an “emerging growth company,” as defined in Section 2(a) of the Securities Act (an “</w:t>
      </w:r>
      <w:r>
        <w:rPr>
          <w:rFonts w:ascii="Times New Roman;Times;Serif" w:hAnsi="Times New Roman;Times;Serif"/>
          <w:b/>
          <w:i w:val="false"/>
          <w:caps w:val="false"/>
          <w:smallCaps w:val="false"/>
          <w:sz w:val="20"/>
        </w:rPr>
        <w:t>Emerging Growth Company</w:t>
      </w:r>
      <w:r>
        <w:rPr>
          <w:rFonts w:ascii="Times New Roman;Times;Serif" w:hAnsi="Times New Roman;Times;Serif"/>
          <w:b w:val="false"/>
          <w:i w:val="false"/>
          <w:caps w:val="false"/>
          <w:smallCaps w:val="false"/>
          <w:sz w:val="20"/>
        </w:rPr>
        <w: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w:t>
        <w:tab/>
        <w:t>The Company (i) has not alone engaged in any Testing-the-Waters Communication with any person other than Testing-the-Waters Communications with the consent of the Representatives with entities that are reasonably believed to be qualified institutional buyers within the meaning of Rule 144A under the Securities Act or institutions that are reasonably believed to be accredited investors within the meaning of Rule 501 under the Securities Act and (ii) has not authorized anyone other than the Representatives to engage in Testing-the-Waters Communications. The Company reconfirms that the Representatives has been authorized to act on its behalf in undertaking Testing-the-Waters Communications and that the Testing-the-Waters Communications, if any, did not contain information constituting inside information within the meaning of the South African Financial Markets Act 19 of 2012, as amended. The Company has not distributed any Testing-the-Waters Communication that is a written communication within the meaning of Rule 405 under the Securities Act. “</w:t>
      </w:r>
      <w:r>
        <w:rPr>
          <w:rFonts w:ascii="Times New Roman;Times;Serif" w:hAnsi="Times New Roman;Times;Serif"/>
          <w:b/>
          <w:i w:val="false"/>
          <w:caps w:val="false"/>
          <w:smallCaps w:val="false"/>
          <w:sz w:val="20"/>
        </w:rPr>
        <w:t>Testing-the-Waters Communication</w:t>
      </w:r>
      <w:r>
        <w:rPr>
          <w:rFonts w:ascii="Times New Roman;Times;Serif" w:hAnsi="Times New Roman;Times;Serif"/>
          <w:b w:val="false"/>
          <w:i w:val="false"/>
          <w:caps w:val="false"/>
          <w:smallCaps w:val="false"/>
          <w:sz w:val="20"/>
        </w:rPr>
        <w:t>” means any communication with potential investors undertaken in reliance on Section 5(d) or Rule 163B of the Securities Act.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w:t>
        <w:tab/>
        <w:t>As of the time of each sale of the Shares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paragraph do not apply to statements or omissions based upon information relating to any Underwriter furnished to the Company in writing by or on behalf of such Underwriter through you expressly for use therein, it being understood and agreed that the only such information furnished by any Underwriter consists of the Underwriter Information.</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w:t>
        <w:tab/>
        <w:t>Under the current laws and regulations of the Republic of Singapore all dividends and other distributions declared and payable on the Shares in cash may be freely remitted out of the Republic of Singapore and may be paid in, or freely converted into, United States dollars, in each case without there being required any consent, approval, authorization or order of, or qualification with, any court or governmental agency or body in the Republic of Singapore; and except as disclosed in each of the Registration Statement, the Time of Sale Prospectus and the Prospectus, all such dividends and other distributions paid by the Company will not be subject to withholding under the laws and regulations of the Republic of Singapore.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w:t>
        <w:tab/>
        <w:t>Except as described in the Registration Statement or the Time of Sale Prospectus, no subsidiary of the Company is currently prohibited, directly or indirectly, under any agreement or 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No stamp, documentary, issuance, registration, transfer, withholding, capital gains, income, value added, goods and services or other taxes, duties or deductions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xml:space="preserve">”) are payable by or on behalf of the Underwriters, the Company or any of its subsidiaries in the Republic of Singapore or the Republic of South Africa or to any taxing authority thereof or therein in connection with (i) the execution, delivery or consummation of this Agreement, (ii) the sale and delivery of the Shares by the Selling Shareholder to the Underwriters or purchasers procured by the Underwriters or (iii) the resale and delivery of the Shares by the Underwriters in the manner contemplated herein, except in each case (a) for any Taxes imposed on an Underwriter as a result of a connection with the jurisdiction imposing the Tax (other than a connection arising solely as a result of this Agreement or the transactions contemplated by this Agreement) and (b) any goods and services tax imposed on the Company as a result of the Underwriters carrying on their obligations under the Agreement through a trade or business in Singapore and invoicing through an entity in Singapore,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all electronic records and any information relating to transfers of the Shares are not electronically received by persons in Singapore, stored on any server or device in Singapore or made accessible to any person in Singapore.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w:t>
        <w:tab/>
        <w:t>Subject to the limitations and qualifications set forth in the Registration Statement, the Company does not expect to be a “passive foreign investment company” (“</w:t>
      </w:r>
      <w:r>
        <w:rPr>
          <w:rFonts w:ascii="Times New Roman;Times;Serif" w:hAnsi="Times New Roman;Times;Serif"/>
          <w:b/>
          <w:i w:val="false"/>
          <w:caps w:val="false"/>
          <w:smallCaps w:val="false"/>
          <w:sz w:val="20"/>
        </w:rPr>
        <w:t>PFIC</w:t>
      </w:r>
      <w:r>
        <w:rPr>
          <w:rFonts w:ascii="Times New Roman;Times;Serif" w:hAnsi="Times New Roman;Times;Serif"/>
          <w:b w:val="false"/>
          <w:i w:val="false"/>
          <w:caps w:val="false"/>
          <w:smallCaps w:val="false"/>
          <w:sz w:val="20"/>
        </w:rPr>
        <w:t>”) for U.S. federal income tax purposes for its current taxable year or in the foreseeable future.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w:t>
        <w:tab/>
        <w:t>Any waiver, relief, concession or preferential treatment relating to taxes granted to the Company or any subsidiary by any Republic of Singapore or Republic of South Africa taxing authority is valid and in full force and effect.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w:t>
        <w:tab/>
        <w:t xml:space="preserve">It is not necessary under the laws of the Republic of Singapore (i) to enable the Underwriters to enforce their rights under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they are not otherwise engaged in business in the Republic of Singapore, or (ii) solely by reason of the execution, delivery or consummation of this Agreement or the offering or sale by the Selling Shareholder of the Shares, for any of the Underwriters to be qualified or entitled to carry out business in the Republic of Singapore.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w:t>
        <w:tab/>
        <w:t>This Agreement is in proper form under the laws of the Republic of Singapore for the enforcement thereof against the Company, and to ensure the legality, validity, enforceability or admissibility into evidence in the Republic of Singapore of this Agreement.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w:t>
        <w:tab/>
        <w:t>The Company is a “foreign private issuer” as defined in Rule 405 of the Securities Act.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w:t>
        <w:tab/>
        <w:t xml:space="preserve">The courts of the Republic of Singapore would recognize as a valid judgment any final and conclusive monetary judgment obtained against the Company in the courts of the State of New York;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 any such judgment was not obtained by fraud, (ii) the enforcement of such judgment would not be contrary to public policy of the Republic of Singapore, (iii) the judgment had not been obtained in contravention of the principles of natural justice and (iv) the judgment of the relevant court does not include the payment of taxes, a fine or penalty.</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w:t>
        <w:tab/>
        <w:t>Neither the Company nor any of its subsidiaries nor any of its or their properties or assets has any immunity from the jurisdiction of any court or from any legal process (whether through service or notice, attachment prior to judgment, attachment in aid of execution or otherwise) under the laws of the Republic of Singapore or the Republic of South Africa. The irrevocable and unconditional waiver and agreement of the Company contained in Section 20(a) not to plead or claim any such immunity in any legal action, suit or proceeding based on this Agreement is valid and binding under the laws of the Republic of Singapore and the Republic of South Africa, respectively.</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t>
        <w:tab/>
        <w:t xml:space="preserve">The choice of law of the State of New York as the governing law of this Agreement is a valid choice of law under the laws of the Republic of Singapore and will be honored by the courts of the Republic of Singapore,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 such law is proven to the satisfaction of the courts of the Republic of Singapore, (ii) the application of New York law would not be illegal or contrary to public policy or any applicable mandatory laws in the Republic of Singapore or (iii) matters of procedure including questions of set-off and counter-claim, interest chargeable on judgment debts, priorities, measure of damages, limitation of actions and submissions to the jurisdiction of foreign courts would as a general rule be governed by the laws of the Republic of Singapore. The Company has the power to submit, and pursuant to Section 20(a) has, to the extent permitted by law, legally, validly, effectively and irrevocably submitted, to the jurisdiction of the Specified Courts (as defined in Section 20(a)), and has the power to designate, appoint and empower, and pursuant to Section 20(b), has legally, validly and effectively designated, appointed and empowered an agent for service of process in any suit or proceeding based on or arising under this Agreement in any of the Specified Courts.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The statements relating to legal matters, documents or proceedings included in the Time of Sale Prospectus and the Prospectus under the caption “Tax Considerations—South African Tax Considerations” fairly summarize in all material respects such matters, documents or proceedings.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w:t>
        <w:tab/>
        <w:t>Neither the Company nor any of its subsidiaries (1) is a “covered foreign person”, as that term is defined in 31 C.F.R. § 850.209 (“</w:t>
      </w:r>
      <w:r>
        <w:rPr>
          <w:rFonts w:ascii="Times New Roman;Times;Serif" w:hAnsi="Times New Roman;Times;Serif"/>
          <w:b/>
          <w:i w:val="false"/>
          <w:caps w:val="false"/>
          <w:smallCaps w:val="false"/>
          <w:sz w:val="20"/>
        </w:rPr>
        <w:t>Covered Foreign Person</w:t>
      </w:r>
      <w:r>
        <w:rPr>
          <w:rFonts w:ascii="Times New Roman;Times;Serif" w:hAnsi="Times New Roman;Times;Serif"/>
          <w:b w:val="false"/>
          <w:i w:val="false"/>
          <w:caps w:val="false"/>
          <w:smallCaps w:val="false"/>
          <w:sz w:val="20"/>
        </w:rPr>
        <w:t>”), or (2) plans to make any investment, become a party to any joint venture or other arrangement, or engage in any other activity as a result of which the Company or any of its subsidiaries would be or become a Covered Foreign Person.</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Representations and Warranties of the Selling Shareholder</w:t>
      </w:r>
      <w:r>
        <w:rPr>
          <w:rFonts w:ascii="Times New Roman;Times;Serif" w:hAnsi="Times New Roman;Times;Serif"/>
          <w:b w:val="false"/>
          <w:i w:val="false"/>
          <w:caps w:val="false"/>
          <w:smallCaps w:val="false"/>
          <w:sz w:val="20"/>
        </w:rPr>
        <w:t>. The Selling Shareholder represents and warrants to and agrees with each of the Underwriters that: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has been executed and delivered by or on behalf of the Selling Shareholder.</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and delivery by the Selling Shareholder of, and the performance by the Selling Shareholder of its obligations under, this Agreement will not contravene any provision of applicable law or any agreement or other instrument binding upon the Selling Shareholder or any judgment, order or decree of any governmental body, agency or court having jurisdiction over the Selling Shareholder, except in the case of such conflicts, breaches and violations that would not reasonably be expected to affect the validity of the Shares or have a material adverse effect on the ability of the Selling Shareholder to consummate the transactions contemplated by this Agreement, and no consent, approval, authorization or order of, or qualification with, any governmental body, agency or court is required for the performance by the Selling Shareholder of its obligations under this Agreement of the Selling Shareholder, except such as (A) may be required by the securities or Blue Sky laws of the various states in connection with the offer and sale of the Shares or (B) have already been obtained.</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Selling Shareholder has, and on the Closing Date will have, valid title to, or a valid “security entitlement” within the meaning of Section 8-501 of the New York Uniform Commercial Code in respect of, the Shares to be sold by the Selling Shareholder free and clear of all security interests, claims, liens, equities or other encumbrances and the legal right and power, and all authorization and approval required by law, to enter into this Agreement and to sell, transfer and deliver the Shares to be sold by the Selling Shareholder or a security entitlement in respect of such Shares.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payment for the security entitlement in respect of the Shares to be sold by the Selling Shareholder pursuant to this Agreement and the crediting of such Shares on the books of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to securities accounts of the Underwriters (assuming that neither DTC nor any such Underwriter has notice of any adverse claim (within the meaning of Section 8-105 of the New York Uniform Commercial Code (the “</w:t>
      </w:r>
      <w:r>
        <w:rPr>
          <w:rFonts w:ascii="Times New Roman;Times;Serif" w:hAnsi="Times New Roman;Times;Serif"/>
          <w:b/>
          <w:i w:val="false"/>
          <w:caps w:val="false"/>
          <w:smallCaps w:val="false"/>
          <w:sz w:val="20"/>
        </w:rPr>
        <w:t>UCC</w:t>
      </w:r>
      <w:r>
        <w:rPr>
          <w:rFonts w:ascii="Times New Roman;Times;Serif" w:hAnsi="Times New Roman;Times;Serif"/>
          <w:b w:val="false"/>
          <w:i w:val="false"/>
          <w:caps w:val="false"/>
          <w:smallCaps w:val="false"/>
          <w:sz w:val="20"/>
        </w:rPr>
        <w:t>”)) to such Shares), (A) DTC shall be a “protected purchaser” of such Shares within the meaning of Section 8-303 of the UCC, (B) under Section 8-501 of the UCC, the Underwriters will acquire a valid security entitlement in respect of such Shares and (C) no action based on any “adverse claim”, within the meaning of Section 8-102 of the UCC, to such Shares may be asserted against the Underwriters with respect to such security entitlement; for purposes of this representation, the Selling Shareholder may assume that when such payment and crediting occur, (x) such Shares will have been registered in the name of Cede &amp; Co.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several Underwriters on the records of DTC will have been made pursuant to the UCC.</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Selling Shareholder has delivered to the Representatives an executed lock-up agreement in substantially the form attached hereto as Exhibit A (the “</w:t>
      </w:r>
      <w:r>
        <w:rPr>
          <w:rFonts w:ascii="Times New Roman;Times;Serif" w:hAnsi="Times New Roman;Times;Serif"/>
          <w:b/>
          <w:i w:val="false"/>
          <w:caps w:val="false"/>
          <w:smallCaps w:val="false"/>
          <w:sz w:val="20"/>
        </w:rPr>
        <w:t>Lock-up Agreement</w:t>
      </w:r>
      <w:r>
        <w:rPr>
          <w:rFonts w:ascii="Times New Roman;Times;Serif" w:hAnsi="Times New Roman;Times;Serif"/>
          <w:b w:val="false"/>
          <w:i w:val="false"/>
          <w:caps w:val="false"/>
          <w:smallCaps w:val="false"/>
          <w:sz w:val="20"/>
        </w:rPr>
        <w: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Selling Shareholder has no reason to believe that the representations and warranties of the Company contained in Section 1 are not true and correct. The Selling Shareholder is not prompted by any information concerning the Company or its subsidiaries that is not set forth in the Registration Statement, the Time of Sale Prospectus or the Prospectus to sell its Shares pursuant to this Agreement.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as of the date of such amendment or supplement, comply in all material respects with the Securities Act and the applicable rules and regulations of the Commission thereunder, (iv) the Time of Sale Prospectus does not, and at the time of each sale of the Shares in connection with the offering when the Prospectus is not yet available to prospective purchasers and at the Closing Date and at the Option Closing Date, as the case may be,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 it being understood and agreed that the only such information furnished by any Underwriter consists of the Underwriter Information.</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 None of the Selling Shareholder or, to the knowledge of the Selling Shareholder, any employee, agent, representative, or affiliate thereof, is a Person that is, or is owned or controlled by one or more Persons that are:</w:t>
      </w:r>
    </w:p>
    <w:p>
      <w:pPr>
        <w:pStyle w:val="TextBody"/>
        <w:bidi w:val="0"/>
        <w:spacing w:before="0" w:after="0"/>
        <w:ind w:left="2304" w:right="0" w:firstLine="1296"/>
        <w:jc w:val="left"/>
        <w:rPr>
          <w:caps w:val="false"/>
          <w:smallCaps w:val="false"/>
        </w:rPr>
      </w:pPr>
      <w:r>
        <w:rPr>
          <w:caps w:val="false"/>
          <w:smallCaps w:val="false"/>
        </w:rPr>
        <w:t> </w:t>
      </w:r>
    </w:p>
    <w:p>
      <w:pPr>
        <w:pStyle w:val="TextBody"/>
        <w:bidi w:val="0"/>
        <w:spacing w:before="0" w:after="0"/>
        <w:ind w:left="2304"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subject of any Sanctions, or</w:t>
      </w:r>
    </w:p>
    <w:p>
      <w:pPr>
        <w:pStyle w:val="TextBody"/>
        <w:bidi w:val="0"/>
        <w:spacing w:before="0" w:after="0"/>
        <w:ind w:left="2304" w:right="0" w:firstLine="1296"/>
        <w:jc w:val="left"/>
        <w:rPr>
          <w:caps w:val="false"/>
          <w:smallCaps w:val="false"/>
        </w:rPr>
      </w:pPr>
      <w:r>
        <w:rPr>
          <w:caps w:val="false"/>
          <w:smallCaps w:val="false"/>
        </w:rPr>
        <w:t> </w:t>
      </w:r>
    </w:p>
    <w:p>
      <w:pPr>
        <w:pStyle w:val="TextBody"/>
        <w:bidi w:val="0"/>
        <w:spacing w:before="0" w:after="0"/>
        <w:ind w:left="2304" w:right="0" w:firstLine="129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2304" w:right="0" w:firstLine="1296"/>
        <w:jc w:val="left"/>
        <w:rPr>
          <w:caps w:val="false"/>
          <w:smallCaps w:val="false"/>
        </w:rPr>
      </w:pPr>
      <w:r>
        <w:rPr>
          <w:caps w:val="false"/>
          <w:smallCaps w:val="false"/>
        </w:rPr>
        <w:t> </w:t>
      </w:r>
    </w:p>
    <w:p>
      <w:pPr>
        <w:pStyle w:val="TextBody"/>
        <w:bidi w:val="0"/>
        <w:spacing w:before="0" w:after="0"/>
        <w:ind w:left="2304"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located, organized or resident in a country or territory that is the subject of Sanctions (including, without limitation, Crimea, the so-called Donetsk and Luhansk People’s Republics, Cuba, Iran, North Korea and Syria).</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Selling Shareholder will not, directly or indirectly, use the proceeds of the offering, or lend, contribute or otherwise make available such proceeds to any subsidiary, joint venture partner or other Person:</w:t>
      </w:r>
    </w:p>
    <w:p>
      <w:pPr>
        <w:pStyle w:val="TextBody"/>
        <w:bidi w:val="0"/>
        <w:spacing w:before="0" w:after="0"/>
        <w:ind w:left="2304" w:right="0" w:firstLine="1296"/>
        <w:jc w:val="left"/>
        <w:rPr>
          <w:caps w:val="false"/>
          <w:smallCaps w:val="false"/>
        </w:rPr>
      </w:pPr>
      <w:r>
        <w:rPr>
          <w:caps w:val="false"/>
          <w:smallCaps w:val="false"/>
        </w:rPr>
        <w:t> </w:t>
      </w:r>
    </w:p>
    <w:p>
      <w:pPr>
        <w:pStyle w:val="TextBody"/>
        <w:bidi w:val="0"/>
        <w:spacing w:before="0" w:after="0"/>
        <w:ind w:left="2304"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fund or facilitate any activities or business of or with any Person or in any country or territory that, at the time of such funding or facilitation, is the subject of Sanctions; or</w:t>
      </w:r>
    </w:p>
    <w:p>
      <w:pPr>
        <w:pStyle w:val="TextBody"/>
        <w:bidi w:val="0"/>
        <w:spacing w:before="0" w:after="0"/>
        <w:ind w:left="2304" w:right="0" w:firstLine="1296"/>
        <w:jc w:val="left"/>
        <w:rPr>
          <w:caps w:val="false"/>
          <w:smallCaps w:val="false"/>
        </w:rPr>
      </w:pPr>
      <w:r>
        <w:rPr>
          <w:caps w:val="false"/>
          <w:smallCaps w:val="false"/>
        </w:rPr>
        <w:t> </w:t>
      </w:r>
    </w:p>
    <w:p>
      <w:pPr>
        <w:pStyle w:val="TextBody"/>
        <w:bidi w:val="0"/>
        <w:spacing w:before="0" w:after="0"/>
        <w:ind w:left="2304"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any other manner that will result in a violation of Sanctions by any Person (including any Person participating in the offering, whether as underwriter, advisor, investor or otherwise).</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Selling Shareholder has not knowingly engaged in, is not now knowingly engaged in, and will not engage in, any dealings or transactions with any Person, or in any country or territory, that at the time of the dealing or transaction is or was the subject of Sanctions.</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Neither the Selling Shareholder nor, to the knowledge of the Selling Shareholder, any employee, agent, representative, or affiliate thereof has taken or will take any action in furtherance of an offer, payment, promise to pay, or authorization or approval of the payment giving or receipt of money, property, gifts or anything else of value, directly or indirectly, to any Government Official in order to influence official action, or to any person in violation of any applicable anti-corruption laws; and (b) the Selling Shareholder has conducted its business in compliance with applicable anti-corruption laws and will not use, directly or indirectly, the proceeds of the offering in furtherance of an offer, payment, promise to pay, or authorization of the payment or giving of money, or anything else of value, to any person in violation of any anti-corruption laws applicable to the Selling Shareholder.</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Selling Shareholder represents and warrants that it is not (i) an employee benefit plan subject to Title I of the Employee Retirement Income Security Act of 1974, as amended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(ii) a plan or account subject to Section 4975 of the Internal Revenue Code of 1986, as amended or (iii) an entity deemed to hold “plan assets” of any such plan or account under Section 3(42) of ERISA, 29 C.F.R. 2510.3-101, or otherwise.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Selling Shareholder has, pursuant to Section 20(a), to the extent permitted by law, legally, validly, effectively and irrevocably submitted, to the jurisdiction of the Specified Courts, and has, pursuant to Section 20(c), legally, validly and effectively designated, appointed and empowered an agent for service of process in any suit or proceeding based on or arising under this Agreement in any of the Specified Courts.</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Agreements to Sell and Purchase</w:t>
      </w:r>
      <w:r>
        <w:rPr>
          <w:rFonts w:ascii="Times New Roman;Times;Serif" w:hAnsi="Times New Roman;Times;Serif"/>
          <w:b w:val="false"/>
          <w:i w:val="false"/>
          <w:caps w:val="false"/>
          <w:smallCaps w:val="false"/>
          <w:sz w:val="20"/>
        </w:rPr>
        <w:t>. The Selling Shareholder hereby agrees to sell to the several Underwriters, and each Underwriter, upon the basis of the representations and warranties herein contained, but subject to the terms and conditions hereinafter stated, agrees, severally and not jointly, to purchase from the Selling Shareholder, the respective number of Firm Shares set forth in Schedule I hereto opposite its name at $47.50 a share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representations and warranties contained in this Agreement, and subject to its terms and conditions, the Selling Shareholder agrees to sell to the Underwriters the Additional Shares, and the Underwriters shall have the right to purchase, severally and not jointly, up to 225,000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or later than ten business days after the date of such notice. Additional Shares may be purchased as provided in Section 5 hereof solely in connection with the option to purchase Additional Shares. On each day, if any, that Additional Shares are to be purchased (an “</w:t>
      </w:r>
      <w:r>
        <w:rPr>
          <w:rFonts w:ascii="Times New Roman;Times;Serif" w:hAnsi="Times New Roman;Times;Serif"/>
          <w:b/>
          <w:i w:val="false"/>
          <w:caps w:val="false"/>
          <w:smallCaps w:val="false"/>
          <w:sz w:val="20"/>
        </w:rPr>
        <w:t>Option Closing Date</w:t>
      </w:r>
      <w:r>
        <w:rPr>
          <w:rFonts w:ascii="Times New Roman;Times;Serif" w:hAnsi="Times New Roman;Times;Serif"/>
          <w:b w:val="false"/>
          <w:i w:val="false"/>
          <w:caps w:val="false"/>
          <w:smallCaps w:val="false"/>
          <w:sz w:val="20"/>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Terms of Public Offering</w:t>
      </w:r>
      <w:r>
        <w:rPr>
          <w:rFonts w:ascii="Times New Roman;Times;Serif" w:hAnsi="Times New Roman;Times;Serif"/>
          <w:b w:val="false"/>
          <w:i w:val="false"/>
          <w:caps w:val="false"/>
          <w:smallCaps w:val="false"/>
          <w:sz w:val="20"/>
        </w:rPr>
        <w:t>. The Company and the Selling Shareholder are advised by the Representatives that the Underwriters propose to make a public offering of their respective portions of the Shares as soon after the Registration Statement and this Agreement have become effective as in the Representatives’ judgment is advisable. The Selling Shareholder is further advised by the Representatives that the Shares are to be offered to the public initially at $50.00 a share (the “</w:t>
      </w:r>
      <w:r>
        <w:rPr>
          <w:rFonts w:ascii="Times New Roman;Times;Serif" w:hAnsi="Times New Roman;Times;Serif"/>
          <w:b/>
          <w:i w:val="false"/>
          <w:caps w:val="false"/>
          <w:smallCaps w:val="false"/>
          <w:sz w:val="20"/>
        </w:rPr>
        <w:t>Public Offering Price</w:t>
      </w:r>
      <w:r>
        <w:rPr>
          <w:rFonts w:ascii="Times New Roman;Times;Serif" w:hAnsi="Times New Roman;Times;Serif"/>
          <w:b w:val="false"/>
          <w:i w:val="false"/>
          <w:caps w:val="false"/>
          <w:smallCaps w:val="false"/>
          <w:sz w:val="20"/>
        </w:rPr>
        <w:t>”) and to certain dealers selected by the Representatives at a price that represents a concession not in excess of $1.50 a share under the Public Offering Price.</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Payment and Delivery</w:t>
      </w:r>
      <w:r>
        <w:rPr>
          <w:rFonts w:ascii="Times New Roman;Times;Serif" w:hAnsi="Times New Roman;Times;Serif"/>
          <w:b w:val="false"/>
          <w:i w:val="false"/>
          <w:caps w:val="false"/>
          <w:smallCaps w:val="false"/>
          <w:sz w:val="20"/>
        </w:rPr>
        <w:t>. Payment for the Firm Shares shall be made to the Selling Shareholder in Federal or other funds immediately available in New York City against delivery of such Firm Shares for the respective accounts of the several Underwriters at 10:00 a.m., New York City time, on June 13, 2025, or at such other time on the same or such other date, not later than June 23, 2025, as shall be designated in writing by the Representatives. The time and date of such payment are hereinafter referred to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any Additional Shares shall be made to the Selling Shareholder in Federal or other funds immediately available in New York City against delivery of such Additional Shares for the respective accounts of the several Underwriters at 10:00 a.m., New York City time, on the date specified in the corresponding notice described in Section 3 or at such other time on the same or on such other date, in any event not later than July 25, 2025, as shall be designated in writing by the Representatives.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Firm Shares and Additional Shares shall be registered in such names and in such denominations as the Representatives shall request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The Purchase Price payable by the Underwriters shall be reduced by (i) any transfer taxes paid by, or on behalf of, the Underwriters in connection with the transfer of the Shares to the Underwriters duly paid and (ii) any withholding required by law (it being understood that no such withholding is required under current law).</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caps w:val="false"/>
          <w:smallCaps w:val="false"/>
          <w:sz w:val="20"/>
        </w:rPr>
        <w:t>Conditions to the Underwriters’ Obligations</w:t>
      </w:r>
      <w:r>
        <w:rPr>
          <w:rFonts w:ascii="Times New Roman;Times;Serif" w:hAnsi="Times New Roman;Times;Serif"/>
          <w:b w:val="false"/>
          <w:i w:val="false"/>
          <w:caps w:val="false"/>
          <w:smallCaps w:val="false"/>
          <w:sz w:val="20"/>
        </w:rPr>
        <w:t>. The several obligations of the Underwriters are subject to the following conditions: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Subsequent to the execution and delivery of this Agreement and prior to the Closing Date:</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order suspending the effectiveness of the Registration Statement shall be in effect, and no proceeding for such purpose or pursuant to Section 8A under the Securities Act shall be pending before or, to the Company’s knowledge, threatened by the Commission; and</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Representatives’ judgment, is material and adverse and that makes it, in the Representatives’ judgment, impracticable to market the Shares on the terms and in the manner contemplated in the Time of Sale Prospectus.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Underwriters shall have received on the Closing Date a certificate, dated the Closing Date and signed by an executive officer of the Company to the effect set forth in Sections 6(a)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 The officer signing and delivering such certificate may rely upon the best of his or her knowledge as to proceedings threatened. The Underwriters shall have received on the Closing Date a certificate, dated the Closing Date and signed by the Selling Shareholder to the effect that the representations and warranties of the Selling Shareholder contained in this Agreement are true and correct as of the Closing Date and that the Selling Shareholder has complied with all of the agreements and satisfied all of the conditions on its part to be performed or satisfied hereunder on or before the Closing Date.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Underwriters shall have received on the Closing Date an opinion and negative assurance letter of Davis Polk &amp; Wardwell LLP, U.S., outside counsel for the Company and the Selling Shareholder, dated the Closing Date, in the form attached hereto as Exhibit B.</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Underwriters shall have received on the Closing Date an opinion letter of Allen &amp; Gledhill LLP, Singapore counsel for the Company, dated the Closing Date, in the form attached hereto as Exhibit C.</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Underwriters shall have received on the Closing Date an opinion and negative assurance letter of Fried, Frank, Harris, Shriver &amp; Jacobson LLP, counsel for the Underwriters, dated the Closing Date, in form and substance satisfactory to the Representatives, together with signed or reproduced copies of such opinion for each of the other Underwriters.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Underwriters shall have received, on each of the date hereof and the Closing Date, (i) a letter dated the date hereof or the Closing Date, as the case may be, in form and substance satisfactory to the Underwriters, from Deloitte &amp; Touche, independent public accountants, and (ii) a letter dated the date hereof or the Closing Date, as the case may be, in form and substance satisfactory to the Underwriters from Ernst &amp; Young LLP, independent public accountants, in each case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each letter delivered on the Closing Date shall use a “cut-off date” not earlier than the date hereof.</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Underwriters shall have received, on each of the date hereof and the Closing Date, a certificate dated the date hereof or the Closing Date, as the case may be, and signed by the chief financial officer of the Company, in her capacity as such, with respect to certain financial and accounting information in the Registration Statement, the Time of Sale Prospectus and the Prospectus, in form and substance reasonably satisfactory to the Representatives.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Lock-up Agreements between the Representatives and the Selling Shareholder and the other officers and directors of the Company shall be in full force and effect on the Closing Date.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several obligations of the Underwriters to purchase Additional Shares hereunder are subject to the delivery to the Representatives, to the extent the Representatives require such deliverables, on the applicable Option Closing Date of the following:</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certificate, dated the Option Closing Date and signed by an executive officer of the Company, and a certificate, dated the Option Closing Date and signed by the Selling Shareholder, in each case confirming that the respective certificate delivered on the Closing Date pursuant to Section 6(b) hereof remains true and correct as of such Option Closing Date;</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opinion and negative assurance letter of Davis Polk &amp; Wardwell LLP, outside counsel for the Company and the Selling Shareholder, dated the Option Closing Date, relating to the Additional Shares to be purchased on such Option Closing Date and otherwise to the same effect as the opinion required by Section 6(c) hereof;</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opinion letter of Allen &amp; Gledhill LLP, Singapore counsel for the Company, dated the Option Closing Date, relating to the Additional Shares to be purchased on such Option Closing Date and otherwise to the same effect as the opinion required by Section 6(d) hereof;</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 opinion and negative assurance letter of Fried, Frank, Harris, Shriver &amp; Jacobson LLP, counsel for the Underwriters, dated the Option Closing Date, relating to the Additional Shares to be purchased on such Option Closing Date and otherwise to the same effect as the opinion required by Section 6(e) hereof;</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(i) a letter dated the Option Closing Date, in form and substance satisfactory to the Underwriters, from Deloitte &amp; Touche, independent public accountants, and (ii) a letter dated the Option Closing Date, in form and substance satisfactory to the Underwriters, from Ernst &amp; Young LLP, independent public accountants, in each case substantially in the same form and substance as the respective letter furnished to the Underwriters pursuant to Section 6(f)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each letter delivered on the Option Closing Date shall use a “cut-off date” not earlier than two business days prior to such Option Closing Date;</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certificate, dated the Option Closing Date and signed by the chief financial officer of the Company, substantially in the same form and substance as the certificate delivered to the Underwriters pursuant to Section 6(h) hereof; and</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1512" w:right="0" w:firstLine="1152"/>
        <w:jc w:val="left"/>
        <w:rPr>
          <w:caps w:val="false"/>
          <w:smallCaps w:val="false"/>
        </w:rPr>
      </w:pPr>
      <w:r>
        <w:rPr>
          <w:caps w:val="false"/>
          <w:smallCaps w:val="false"/>
        </w:rPr>
        <w:t> </w:t>
      </w:r>
    </w:p>
    <w:p>
      <w:pPr>
        <w:pStyle w:val="TextBody"/>
        <w:bidi w:val="0"/>
        <w:spacing w:before="0" w:after="0"/>
        <w:ind w:left="1512"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such other documents as the Representatives may reasonably request with respect to the good standing of the Company and its subsidiaries, the due authorization and issuance of the Additional Shares to be sold on such Option Closing Date and other matters related to the issuance of such Additional Shares.</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Covenants of the Company</w:t>
      </w:r>
      <w:r>
        <w:rPr>
          <w:rFonts w:ascii="Times New Roman;Times;Serif" w:hAnsi="Times New Roman;Times;Serif"/>
          <w:b w:val="false"/>
          <w:i w:val="false"/>
          <w:caps w:val="false"/>
          <w:smallCaps w:val="false"/>
          <w:sz w:val="20"/>
        </w:rPr>
        <w:t>. The Company covenants with each Underwriter as follows: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comply with the requirements of Rule 430A and Rule 430B, and notify the Representatives immediately, and confirm the notice in writing, (i) when any post-effective amendment to the Registration Statement shall become effective, or any supplement to the Prospectus (including any prospectus wrapper) or any amended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the preliminary prospectus or the Prospectus, or of the suspension of the qualification of the Shares for offering or sale in any jurisdiction, or of the initiation or threatening of any proceedings for any of such purposes or of any examination pursuant to Section 8(e) of the Securities Act concerning the Registration Statement and (v) if the Company becomes the subject of a proceeding under Section 8A of the Securities Act in connection with the offering of the Shares.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use reasonable efforts to prevent the issuance of any stop order, prevention or suspension and, if any such order is issued, to obtain the lifting thereof at the earliest possible moment.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furnish to the Representatives, without charge, five signed copies of the Registration Statement (including exhibits thereto and documents incorporated by reference therein) and for delivery to each other Underwriter a conformed copy of the Registration Statement (without exhibits thereto) and to furnish to the Representatives in New York City, without charge, prior to 10:00 a.m. New York City time on the business day next succeeding the date of this Agreement and during the period mentioned in Section 7(e) or 7(f) below, as many copies of the Time of Sale Prospectus, the Prospectus, any documents incorporated by reference therein and any supplements and amendments thereto or to the Registration Statement as the Representatives may reasonably request.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provided, however, that it would not be reasonable to object where a filing is required by applicable law, rule or regulation, and to file with the Commission within the applicable period specified in Rule 424(b) under the Securities Act any prospectus required to be filed pursuant to such Rule.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give the Representatives notice of its intention to make any filing pursuant to the Exchange Act prior to or on the later of the Closing Date or any Option Closing Date and to furnish the Representatives with copies of any such documents a reasonable amount of time prior to such proposed filing, and not to file or use any such document to which the Representatives or counsel for the Underwriters shall reasonably object, provided, however, that it would not be reasonable to object where a filing is required by applicable law, rule or regulation.</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at any time following issuance of a free writing prospectus and prior to the Closing Date or the Option Closing Date, as the case may be, there occurred or occurs an event or development as a result of which such free writing prospectus conflicted or would conflict with the information contained in the Registration Statement relating to the Shares or included or would include an untrue statement of a material fact or omitted or would omit to state a material fact necessary in order to make the statements therein, in the light of the circumstances, prevailing at that subsequent time, not misleading, to promptly notify the Representatives and to promptly (subject to Section 7(e)) amend or supplement, at its own expense, such free writing prospectus to eliminate or correct such conflict, untrue statement or omission.</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Not to (and to cause its affiliates not to) take, directly or indirectly, any action which is designed to or which constitutes or which would reasonably be expected to cause or result in stabilization or manipulation of the price of any security of the Company or facilitate the sale or resale of the Shares.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under which they were made,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 to promptly give the Representatives written notice of any such event or condition of which the Company becomes aware; and before amending or supplementing the Time of Sale Prospectus, to furnish to the Representatives a copy of each such proposed amendment or supplement and not to file any such proposed amendment or supplement to which the Representatives reasonably object, provided, however, that it would not be reasonable to object where a filing is required by applicable law, rule or regulation.</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 to promptly give the Representatives written notice of any such event or condition of which the Company becomes aware; and before amending or supplementing the Prospectus, to furnish to the Representatives a copy of each such proposed amendment or supplement and not to file any such proposed amendment or supplement to which the Representatives reasonably object, provided, however, that it would not be reasonable to object where a filing is required by applicable law, rule or regulation.</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endeavor to qualify the Shares for offer and sale under the securities or Blue Sky laws of such jurisdictions as the Representatives shall reasonably request, provided, however, that nothing contained herein shall require the Company to qualify to do business in any jurisdiction, execute a general consent to service of process in any jurisdiction or to subject itself to taxation in any jurisdiction in which it is not otherwise subject.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make generally available (which may be satisfied by the filing with the Commission on its Electronic Data Gathering Analysis and Retrieval System)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will promptly notify the Representatives if the Company ceases to be an Emerging Growth Company at any time prior to the later of (i) completion of the distribution of the Shares within the meaning of the Securities Act and (ii) completion of the Restricted Period (as defined below).</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Testing-the-Waters Communication to eliminate or correct such untrue statement or omission.</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shall pay, and shall indemnify and hold the Underwriters harmless against, any stamp, issue, registration, documentary, sales, transfer or other similar taxes or duties imposed under the laws of the Republic of Singapore, the Republic of South Africa or any political sub-division or taxing authority thereof or therein that is payable in connection with (i) the execution, delivery, consummation or enforcement of this Agreement, (ii) the sale and delivery of the Shares to the Underwriters or purchasers procured by the Underwriters, or (iii) the resale and delivery of the Shares by the Underwriters in the manner contemplated herein, other than any income tax imposed on an Underwriter as a result of a connection with the jurisdiction imposing the Taxes (other than a connection arising solely as a result of this Agreement or the transactions contemplated by this Agreement) or any goods and services tax imposed as a result of the Underwriters carrying on their obligations under the Agreement through a trade or business in Singapore and invoicing through an entity in Singapore, in each case, on any gains derived by, or fees accruing to, the Underwriters in connection with the transactions set out in (i) to (iii) above, provided that all electronic records and any information relating to transfers of the Shares are not electronically received by persons in Singapore, stored on any server or device in Singapore or made accessible to any person in Singapore.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All sums payable by the Company under this Agreement shall be paid free and clear of and without deductions or withholdings of any present or future Taxes, unless the deduction or withholding is required by law, in which case the Company shall pay such additional amount as will result in the receipt by each Underwriter of the full amount that would have been received had no deduction or withholding been made, except that no additional amounts shall be payable for any Taxes that would not have been imposed but for (i) a failure of an Underwriter to timely provide upon request any certification, documentation or form which such Underwriter is eligible to provide to the extent necessary in order to eliminate or reduce such Taxes, or (ii) any present or former connection between the relevant Underwriter and the jurisdiction imposing the Taxes (other than a connection arising solely from (a) the execution, delivery or consummation of this Agreement, (b) the sale and delivery of the Shares to the Underwriters or purchasers procured by the Underwriters or (c) the resale and delivery of the Shares by the Underwriters in the manner contemplated herein).</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All sums payable to an Underwriter shall be considered exclusive of any value added or similar taxes. Where the Company is obliged to pay value added or similar tax on any amount payable hereunder to an Underwriter, the Company shall in addition to the sum payable hereunder pay an amount equal to any applicable value added or similar tax.</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covenants with each Underwriter that, without the prior written consent of UBS Securities LLC and William Blair &amp; Company, L.L.C. on behalf of the Underwriters, it will not, and will not publicly disclose an intention to, during the period ending 90 days after the date of the Prospectus (the “</w:t>
      </w:r>
      <w:r>
        <w:rPr>
          <w:rFonts w:ascii="Times New Roman;Times;Serif" w:hAnsi="Times New Roman;Times;Serif"/>
          <w:b/>
          <w:i w:val="false"/>
          <w:caps w:val="false"/>
          <w:smallCaps w:val="false"/>
          <w:sz w:val="20"/>
        </w:rPr>
        <w:t>Restricted Period</w:t>
      </w:r>
      <w:r>
        <w:rPr>
          <w:rFonts w:ascii="Times New Roman;Times;Serif" w:hAnsi="Times New Roman;Times;Serif"/>
          <w:b w:val="false"/>
          <w:i w:val="false"/>
          <w:caps w:val="false"/>
          <w:smallCaps w:val="false"/>
          <w:sz w:val="20"/>
        </w:rPr>
        <w:t>”), (1) offer, pledge, sell, contract to sell, sell any option or contract to purchase, purchase any option or contract to sell, grant any option, right or warrant to purchase, lend, or otherwise transfer or dispose of, directly or indirectly, any Ordinary Shares or any securities convertible into or exercisable or exchangeable for Ordinary Shares or (2) enter into any swap or other arrangement that transfers to another, in whole or in part, any of the economic consequences of ownership of the Ordinary Shares, whether any such transaction described in clause (1) or (2) above is to be settled by delivery of Ordinary Shares or such other securities, in cash or otherwise or (3) file any registration statement with the Commission relating to the offering of any Ordinary Shares or any securities convertible into or exercisable or exchangeable for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restrictions contained in the preceding paragraph shall not apply to (A) the Shares to be sold hereunder, (B) the issuance by the Company of Ordinary Shares upon the exercise of an option or warrant or the conversion of a security outstanding on the date hereof as described in each of the Time of Sale Prospectus and Prospectus of which the Representatives have been advised in writing, (C) the issuance of Ordinary Shares or any securities convertible into or exercisable or exchangeable for Ordinary Shares in connection with (i) the acquisition by the Company or any of its subsidiaries of the securities, business, property or other assets of another person or business entity or pursuant to any employee benefit plan assumed by the Company in connection with such acquisition or (ii) the Company’s joint ventures, commercial relationships and other strategic transactions,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number of Ordinary Shares issued or issuable pursuant to this clause (C) does not exceed 5% of the aggregate number of Ordinary Shares outstanding immediately following the offering of Shares pursuant to this Agreement;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each recipient of Ordinary Shares or any securities convertible into or exercisable or exchangeable for Ordinary Shares shall (x) execute a lock-up agreement in the form of Exhibit A hereto or (y) enter into an agreement with the Company and the Representatives no less restrictive than the form of lock-up agreement set forth in Exhibit A hereto, in each case with respect to the remaining portion of the Restricted Period, or (D) facilitating the establishment or amendment of a trading plan on behalf of a shareholder, officer or director of the Company pursuant to Rule 10b5-1 under the Exchange Act for the transfer of Ordinary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such plan does not provide for the transfer of Ordinary Shares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Ordinary Shares may be made under such plan during the Restricted Period.</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caps w:val="false"/>
          <w:smallCaps w:val="false"/>
          <w:sz w:val="20"/>
        </w:rPr>
        <w:t>Covenants of the Selling Shareholder</w:t>
      </w:r>
      <w:r>
        <w:rPr>
          <w:rFonts w:ascii="Times New Roman;Times;Serif" w:hAnsi="Times New Roman;Times;Serif"/>
          <w:b w:val="false"/>
          <w:i w:val="false"/>
          <w:caps w:val="false"/>
          <w:smallCaps w:val="false"/>
          <w:sz w:val="20"/>
        </w:rPr>
        <w:t>. The Selling Shareholder covenants with each Underwriter as follows: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will deliver to the Underwriters (or their agent), prior to or at the Closing Date, a properly completed and executed IRS Form W-9 or an IRS Form W-8, as appropriate, together with all required attachments to such form.</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will deliver to each Underwriter (or its agent), on the date of execution of this Agreement, a properly completed and executed Certification Regarding Beneficial Owners of Legal Entity Customers, together with copies of identifying documentation, and it undertakes to provide such additional supporting documentation as each Underwriter may reasonably request in connection with the verification of the foregoing Certification.</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sums payable by the Selling Shareholder under this Agreement shall be paid free and clear of and without deductions or withholdings of any present or future Taxes, unless the deduction or withholding is required by law, in which case the Selling Shareholder shall pay such additional amount as will result in the receipt by each Underwriter of the full amount that would have been received had no deduction or withholding been made, except that no additional amounts shall be payable for any Taxes that would not have been imposed but for (i) a failure of an Underwriter to timely provide upon request any certification, documentation or form which such Underwriter is eligible to provide to the extent necessary in order to eliminate or reduce such Taxes, or (ii) any present or former connection between the relevant Underwriter and the jurisdiction imposing the Taxes (other than a connection arising solely from (a) the execution, delivery or consummation of this Agreement, (b) the sale and delivery of the Shares to the Underwriters or purchasers procured by the Underwriters or (c) the resale and delivery of the Shares by the Underwriters in the manner contemplated herein).</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sums payable to an Underwriter shall be considered exclusive of any value added or similar taxes. Where the Selling Shareholder is obliged to pay value added or similar tax on any amount payable hereunder to an Underwriter, the Selling Shareholder shall in addition to the sum payable hereunder pay an amount equal to any applicable value added or similar tax.</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Whether or not the transactions contemplated in this Agreement are consummated or this Agreement is terminated, the Company agrees to pay or cause to be paid all expenses incident to the performance of their obligations under this Agreement, including: (i) the fees, disbursements and expenses of the Company’s counsel, the Company’s accountants and counsel for the Selling Shareholder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stamp, issuance, transfer or other similar taxes payable thereon (it being understood that the Underwriters shall be responsible for the initial payment of any New York State Stock Transfer Tax and related reporting requirements, but that the Company shall reimburse the Underwriters to the extent that such tax is not refunded to the Underwriters upon their timely compliance with necessary payment and reporting requirements) to the extent the Purchase Price has not been reduced by such amounts pursuant to Section 5, (iii) the reasonable and documented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7(g) hereof, including filing fees and the reasonable and documented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Shares by the FINRA (provided, that, the amount payable by the Company with respect to fees and disbursements of counsel for the Underwriters pursuant to subsections (iii) and (iv) shall not exceed $35,000 in the aggregate, (v) the cost of printing certificates representing the Shares, (vi) the costs and charges of any transfer agent, registrar or depositary, (vii) the costs and expenses of the Company relating to investor presentations on any “roadshow” undertaken in connection with the marketing of the offering of the Shares, including, without limitation, expenses associated with the preparation or dissemination of any electronic roadshow, expenses associated with the production of roadshow slides and graphics, fees and expenses of any consultants engaged in connection with the roadshow presentations with the prior approval of the Company, travel and lodging expenses of the representatives and officers of the Company and any such consultants, and the cost of any aircraft chartered in connection with the roadshow, (ix) the document production charges and expenses associated with printing this Agreement, (x) all other costs and expenses incident to the performance of the obligations of the Company and its subsidiaries hereunder for which provision is not otherwise made in this Section and (xi) all expenses in connection with any offer and sale of the Shares outside of the United States, including filing fees and the reasonable and documented fees and disbursements of counsel for the Underwriters in connection with offers and sales outside of the United States. It is understood, however, that except as provided in this Section, Section 11 entitled “Indemnity and Contribution” and the last paragraph of Section 13 below, the Underwriters will pay all of their costs and expenses, including fees and disbursements of their counsel, stock transfer taxes payable on resale of any of the Shares by them and any advertising expenses connected with any offers they may make.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shall not supersede or otherwise affect any agreement that the Company and the Selling Shareholder may otherwise have for the allocation of such expenses among themselves.</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caps w:val="false"/>
          <w:smallCaps w:val="false"/>
          <w:sz w:val="20"/>
        </w:rPr>
        <w:t>Covenants of the Underwriters</w:t>
      </w:r>
      <w:r>
        <w:rPr>
          <w:rFonts w:ascii="Times New Roman;Times;Serif" w:hAnsi="Times New Roman;Times;Serif"/>
          <w:b w:val="false"/>
          <w:i w:val="false"/>
          <w:caps w:val="false"/>
          <w:smallCaps w:val="false"/>
          <w:sz w:val="20"/>
        </w:rPr>
        <w:t>. Each Underwriter, severally and not jointly, covenants with the Company 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caps w:val="false"/>
          <w:smallCaps w:val="false"/>
          <w:sz w:val="20"/>
        </w:rPr>
        <w:t>Indemnity and Contribution</w:t>
      </w:r>
      <w:r>
        <w:rPr>
          <w:rFonts w:ascii="Times New Roman;Times;Serif" w:hAnsi="Times New Roman;Times;Serif"/>
          <w:b w:val="false"/>
          <w:i w:val="false"/>
          <w:caps w:val="false"/>
          <w:smallCaps w:val="false"/>
          <w:sz w:val="20"/>
        </w:rPr>
        <w:t>. (a) 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“roadshow” as defined in Rule 433(h) under the Securities Act (a “</w:t>
      </w:r>
      <w:r>
        <w:rPr>
          <w:rFonts w:ascii="Times New Roman;Times;Serif" w:hAnsi="Times New Roman;Times;Serif"/>
          <w:b/>
          <w:i w:val="false"/>
          <w:caps w:val="false"/>
          <w:smallCaps w:val="false"/>
          <w:sz w:val="20"/>
        </w:rPr>
        <w:t>roadshow</w:t>
      </w:r>
      <w:r>
        <w:rPr>
          <w:rFonts w:ascii="Times New Roman;Times;Serif" w:hAnsi="Times New Roman;Times;Serif"/>
          <w:b w:val="false"/>
          <w:i w:val="false"/>
          <w:caps w:val="false"/>
          <w:smallCaps w:val="false"/>
          <w:sz w:val="20"/>
        </w:rPr>
        <w:t>”),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information described as such in paragraph (b) below.</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Selling Shareholder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but only with reference to information relating to the Selling Shareholder furnished in writing by or on behalf of the Selling Shareholder expressly for use in the Registration Statement, any preliminary prospectus, the Time of Sale Prospectus, any issuer free writing prospectus, road show or the Prospectus or any amendment or supplement thereto.</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Underwriter agrees, severally and not jointly, to indemnify and hold harmless the Company, the Selling Shareholder, the directors of the Company, the officers of the Company who sign the Registration Statement and each person, if any, who controls the Company or the Selling Shareholder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roadshow or the Prospectus or any amendment or supplement thereto, or arise out of, or are based upon, any omission or alleged omission to state therein a material fact required to be stated therein or necessary to make the statements therein not misleading,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roadshow, or the Prospectus or any amendment or supplement thereto. The Company acknowledges that the following statements set forth under the heading “Underwriting” in the Prospectus (x) the name of the Underwriters and their respective roles and participation in the sale of the Shares, (y) the sentence related to the Underwriter’s intention not to make sales to discretionary accounts, and (z) the paragraphs related to stabilization, syndicate covering transactions and penalty bids constitute the only information furnished in writing by or on behalf of the several Underwriters for inclusion in the documents referred to in the foregoing indemnity (the “</w:t>
      </w:r>
      <w:r>
        <w:rPr>
          <w:rFonts w:ascii="Times New Roman;Times;Serif" w:hAnsi="Times New Roman;Times;Serif"/>
          <w:b/>
          <w:i w:val="false"/>
          <w:caps w:val="false"/>
          <w:smallCaps w:val="false"/>
          <w:sz w:val="20"/>
        </w:rPr>
        <w:t>Underwriter Information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case any proceeding (including any governmental investigation) shall be instituted involving any person in respect of which indemnity may be sought pursuant to Section 11(a), 11(b) or 11 (c), such person (the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shall promptly notify the person against whom such indemnity may be sought (the “</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reasonable and documented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if there may be legal defenses available to any such indemnified party that are different from or additional to those available to the indemnifying party .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all Underwriters and all persons, if any, who control any Underwriter within the meaning of either Section 15 of the Securities Act or Section 20 of the Exchange Act or who are affiliates of any Underwriter within the meaning of Rule 405 under the Securities Act, (ii) the fees and expenses of more than one separate firm (in addition to any local counsel) for the Company, its directors, its officers who sign the Registration Statement and each person, if any, who controls the Company within the meaning of either such Section and (iii) the fees and expenses of more than one separate firm (in addition to any local counsel) for the Selling Shareholder, and that all such fees and expenses shall be reimbursed as they are incurred. In the case of any such separate firm for the Underwriters and such control persons and affiliates of any Underwriters, such firm shall be designated in writing by the Representatives. In the case of any such separate firm for the Company and such directors, officers and control persons of the Company, such firm shall be designated in writing by the Company. In the case of any such separate firm for the Selling Shareholder, such firm shall be designated in writing by the Selling Shareholder.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60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any statements to or any admission of fault, culpability or failure to act by or on behalf of any indemnified party.</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the indemnification provided for in Section 11(a), 11(b) or 11(c)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Shares or (ii) if the allocation provided by clause 11(e)(i) above is not permitted by applicable law, in such proportion as is appropriate to reflect not only the relative benefits referred to in clause 11(e)(i)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Company and the Selling Shareholder on the one hand and the Underwriters on the other hand in connection with the offering of the Shares shall be deemed to be in the same respective proportions as the net proceeds from the offering of the Shares (before deducting expenses) received by the Selling Shareholder and the total underwriting discounts and commissions received by the Underwriters, in each case as set forth in the table on the cover of the Prospectus, bear to the aggregate Public Offering Price of the Shares. The relative fault of the Company and the Selling Shareholder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and the Selling Shareholder or by the Underwriters and the parties’ relative intent, knowledge, access to information and opportunity to correct or prevent such statement or omission. The Underwriters’ respective obligations to contribute pursuant to this Section 11 are several in proportion to the respective number of Shares they have purchased hereunder, and not joint.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Company, the Selling Shareholder and the Underwriters agree that it would not be just or equitable if contribution pursuant to this Section 11 were determined by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allocation (even if the Underwriters were treated as one entity for such purpose) or by any other method of allocation that does not take account of the equitable considerations referred to in Section 11(e). The amount paid or payable by an indemnified party as a result of the losses, claims, damages and liabilities referred to in Section 11(e) shall be deemed to include, subject to the limitations set forth above, any legal or other expenses reasonably incurred by such indemnified party in connection with investigating or defending any such action or claim. Notwithstanding the provisions of this Section 11,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11 are not exclusive and shall not limit any rights or remedies that may otherwise be available to any indemnified party at law or in equity.</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indemnity and contribution provisions contained in this Section 11 and the representations, warranties and other statements of the Company and the Selling Shareholder in this Agreement shall remain operative and in full force and effect regardless of (i) any termination of this Agreement, (ii) any investigation made by or on behalf of any Underwriter, any person controlling any Underwriter or any affiliate of any Underwriter, by or on behalf of the Selling Shareholder or any person controlling the Selling Shareholder or by or on behalf of the Company, its officers or directors or any person controlling the Company and (iii) acceptance of and payment for any of the Shares.</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The Underwriters may terminate this Agreement by notice given by the Representatives to the Company, if after the execution and delivery of this Agreement and prior to or on the Closing Date or any Option Closing Date, as the case may be, (i) trading generally shall have been suspended or materially limited on, or by, as the case may be, any of the New York Stock Exchange, the NYSE American, the Nasdaq Global Market, the Chicago Board of Options Exchange, the Chicago Mercantile Exchange or the Chicago Board of Trade, the Johannesburg Stock Exchange or other relevant exchanges, (ii) trading of any securities of the Company shall have been suspended on any exchange or in any over-the-counter market, (iii) a material disruption in securities settlement, payment or clearance services in the United States or other relevant jurisdiction shall have occurred, (iv) any moratorium on commercial banking activities shall have been declared by Federal or New York State or relevant foreign country authorities or (v) there shall have occurred any outbreak or escalation of hostilities, or any change in financial markets, currency exchange rates or controls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caps w:val="false"/>
          <w:smallCaps w:val="false"/>
          <w:sz w:val="20"/>
        </w:rPr>
        <w:t>Effectiveness; Defaulting Underwriters</w:t>
      </w:r>
      <w:r>
        <w:rPr>
          <w:rFonts w:ascii="Times New Roman;Times;Serif" w:hAnsi="Times New Roman;Times;Serif"/>
          <w:b w:val="false"/>
          <w:i w:val="false"/>
          <w:caps w:val="false"/>
          <w:smallCaps w:val="false"/>
          <w:sz w:val="20"/>
        </w:rPr>
        <w:t>. This Agreement shall become effective upon the execution and delivery hereof by the parties 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shall the number of Shares that any Underwriter has agreed to purchase pursuant to this Agreement be increased pursuant to this Section 13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the Company and the Selling Shareholder for the purchase of such Firm Shares are not made within 36 hours after such default, this Agreement shall terminate without liability on the part of any non-defaulting Underwriter, the Company or the Selling Shareholder. In any such case, either the Representatives, the Company or the Selling Shareholder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Agreement shall be terminated by the Underwriters, or any of them, because of any failure or refusal on the part the Company or the Selling Shareholder to comply with the terms or to fulfil any of the conditions of this Agreement, or if for any reason the Company or the Selling Shareholder shall be unable to perform its respective obligations under this Agreement (other than by reason of the occurrence of any of the events described in clauses (i), (iii), (iv) or (v) of Section 12), the Company will reimburse the Underwriters or such Underwriters as have so terminated this Agreement with respect to themselves, severally, for all out-of-pocket expenses (including the reasonable and documented fees and disbursements of their counsel) reasonably incurred by such Underwriters in connection with this Agreement or the offering contemplated hereunder. If this Agreement is terminated pursuant to Section 13 by reason of the default of one or more Underwriters, the Company shall not be obligated to reimburse any defaulting Underwriter on account of those expenses.</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 (a) This Agreement, together with any contemporaneous written agreements and any prior written agreements (to the extent not superseded by this Agreement) that relate to the offering of the Shares, represents the entire agreement between the Company and the Selling Shareholder, on the one hand, and the Underwriters, on the other, with respect to the preparation of any preliminary prospectus, the Time of Sale Prospectus, the Prospectus, the conduct of the offering.</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the Selling Shareholder acknowledge that in connection with the offering of the Shares: (i) the Underwriters have acted at arm’s length, are not agents of, and owe no fiduciary duties to, the Company, the Selling Shareholder or any other person, (ii) the Underwriters owe the Company and the Selling Shareholder only those duties and obligations set forth in this Agreement, any contemporaneous written agreements and prior written agreements (to the extent not superseded by this Agreement), if any, (iii) the Underwriters may have interests that differ from those of the Company and the Selling Shareholder and (iv) none of the activities of the Underwriters in connection with the transactions contemplated herein constitutes a recommendation, investment advice, or solicitation of any action by the Underwriters with respect to any entity or natural person. The Company and the Selling Shareholder waive to the full extent permitted by applicable law any claims it may have against the Underwriters arising from an alleged breach of fiduciary duty in connection with the offering of the Shares.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Selling Shareholder further acknowledges and agrees that, although the Underwriters may provide the Selling Shareholder with certain Regulation Best Interest and Form CRS disclosures or other related documentation in connection with the offering, the Underwriters are not making a recommendation to the Selling Shareholder to participate in the offering or sell any Shares at the Purchase Price, and nothing set forth in such disclosures or documentation is intended to suggest that any Underwriter is making such a recommendation.</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caps w:val="false"/>
          <w:smallCaps w:val="false"/>
          <w:sz w:val="20"/>
        </w:rPr>
        <w:t>Recognition of the U.S. Special Resolution Regimes</w:t>
      </w:r>
      <w:r>
        <w:rPr>
          <w:rFonts w:ascii="Times New Roman;Times;Serif" w:hAnsi="Times New Roman;Times;Serif"/>
          <w:b w:val="false"/>
          <w:i w:val="false"/>
          <w:caps w:val="false"/>
          <w:smallCaps w:val="false"/>
          <w:sz w:val="20"/>
        </w:rPr>
        <w:t>. (a)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a “</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 “</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 “</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Agreement may be signed in two or more counterparts, each of which shall be an original, with the same effect as if the signatures thereto and hereto were upon the same instrument.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caps w:val="false"/>
          <w:smallCaps w:val="false"/>
          <w:sz w:val="20"/>
        </w:rPr>
        <w:t>Applicable Law</w:t>
      </w:r>
      <w:r>
        <w:rPr>
          <w:rFonts w:ascii="Times New Roman;Times;Serif" w:hAnsi="Times New Roman;Times;Serif"/>
          <w:b w:val="false"/>
          <w:i w:val="false"/>
          <w:caps w:val="false"/>
          <w:smallCaps w:val="false"/>
          <w:sz w:val="20"/>
        </w:rPr>
        <w:t>. This Agreement shall be governed by and construed in accordance with the internal laws of the State of New York.</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caps w:val="false"/>
          <w:smallCaps w:val="false"/>
          <w:sz w:val="20"/>
        </w:rPr>
        <w:t>Headings</w:t>
      </w:r>
      <w:r>
        <w:rPr>
          <w:rFonts w:ascii="Times New Roman;Times;Serif" w:hAnsi="Times New Roman;Times;Serif"/>
          <w:b w:val="false"/>
          <w:i w:val="false"/>
          <w:caps w:val="false"/>
          <w:smallCaps w:val="false"/>
          <w:sz w:val="20"/>
        </w:rPr>
        <w:t>. The headings of the sections of this Agreement have been inserted for convenience of reference only and shall not be deemed a part of this Agreement.</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caps w:val="false"/>
          <w:smallCaps w:val="false"/>
          <w:sz w:val="20"/>
        </w:rPr>
        <w:t xml:space="preserve">Notices. </w:t>
      </w:r>
      <w:r>
        <w:rPr>
          <w:rFonts w:ascii="Times New Roman;Times;Serif" w:hAnsi="Times New Roman;Times;Serif"/>
          <w:b w:val="false"/>
          <w:i w:val="false"/>
          <w:caps w:val="false"/>
          <w:smallCaps w:val="false"/>
          <w:sz w:val="20"/>
        </w:rPr>
        <w:t>All communications hereunder shall be in writing and effective only upon receipt and if to the Underwriters shall be delivered, mailed or sent to UBS Securities LLC at 1285 Avenue of the Americas, New York, New York 10019, Attention: Equity Syndicate, to William Blair &amp; Company, L.L.C. at 150 North Riverside Plaza, Chicago, Illinois 60606, and to The Standard Bank of South Africa Limited at 30 Baker Street, Rosebank, Johannesburg, 2196, South Africa, Attention: Head of Equity Capital Markets; if to the Company shall be delivered, mailed or sent to Karooooo Ltd. at 1 Harbourfront Avenue, Keppel Bay Tower #14-07, Singapore 098632 and if to the Selling Shareholder shall be delivered, mailed or sent to Isaias (Zak) Jose Calisto, c/o Karooooo Ltd., 1 Harbourfront Avenue, Keppel Bay Tower #14-07, Singapore 098632.</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caps w:val="false"/>
          <w:smallCaps w:val="false"/>
          <w:sz w:val="20"/>
        </w:rPr>
        <w:t>Submission to Jurisdiction; Appointment of Agents for Service</w:t>
      </w:r>
      <w:r>
        <w:rPr>
          <w:rFonts w:ascii="Times New Roman;Times;Serif" w:hAnsi="Times New Roman;Times;Serif"/>
          <w:b w:val="false"/>
          <w:i w:val="false"/>
          <w:caps w:val="false"/>
          <w:smallCaps w:val="false"/>
          <w:sz w:val="20"/>
        </w:rPr>
        <w:t>. (a) Each of the Company and the Selling Shareholder irrevocably submits to the non-exclusive jurisdiction of any New York State or United States Federal court sitting in The City of New York (the “</w:t>
      </w:r>
      <w:r>
        <w:rPr>
          <w:rFonts w:ascii="Times New Roman;Times;Serif" w:hAnsi="Times New Roman;Times;Serif"/>
          <w:b/>
          <w:i w:val="false"/>
          <w:caps w:val="false"/>
          <w:smallCaps w:val="false"/>
          <w:sz w:val="20"/>
        </w:rPr>
        <w:t>Specified Courts</w:t>
      </w:r>
      <w:r>
        <w:rPr>
          <w:rFonts w:ascii="Times New Roman;Times;Serif" w:hAnsi="Times New Roman;Times;Serif"/>
          <w:b w:val="false"/>
          <w:i w:val="false"/>
          <w:caps w:val="false"/>
          <w:smallCaps w:val="false"/>
          <w:sz w:val="20"/>
        </w:rPr>
        <w:t>”) over any suit, action or proceeding arising out of or relating to this Agreement, the Time of Sale Prospectus, the Prospectus, the Registration Statement or the offering of the Shares (each, a “</w:t>
      </w:r>
      <w:r>
        <w:rPr>
          <w:rFonts w:ascii="Times New Roman;Times;Serif" w:hAnsi="Times New Roman;Times;Serif"/>
          <w:b/>
          <w:i w:val="false"/>
          <w:caps w:val="false"/>
          <w:smallCaps w:val="false"/>
          <w:sz w:val="20"/>
        </w:rPr>
        <w:t>Related Proceeding</w:t>
      </w:r>
      <w:r>
        <w:rPr>
          <w:rFonts w:ascii="Times New Roman;Times;Serif" w:hAnsi="Times New Roman;Times;Serif"/>
          <w:b w:val="false"/>
          <w:i w:val="false"/>
          <w:caps w:val="false"/>
          <w:smallCaps w:val="false"/>
          <w:sz w:val="20"/>
        </w:rPr>
        <w:t>”). Each of the Company and the Selling Shareholder irrevocably waives, to the fullest extent permitted by law, any objection which it may now or hereafter have to the laying of venue of any Related Proceeding brought in such a court and any claim that any such Related Proceeding brought in such a court has been brought in an inconvenient forum. To the extent that each of the Company and the Selling Shareholder has or hereafter may acquire any immunity (on the grounds of sovereignty or otherwise) from the jurisdiction of any court or from any legal process with respect to itself or its property, each of the Company and the Selling Shareholder irrevocably waives, to the fullest extent permitted by law, such immunity in respect of any such suit, action or proceeding.</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hereby irrevocably appoints Cogency Global Inc., with offices at 122 East 42nd Street, 18th Floor, New York, NY 10168, as its agent for service of process in any Related Proceeding and agrees that service of process in any such Related Proceeding may be made upon it at the office of such agent. The Company waives, to the fullest extent permitted by law, any other requirements of or objections to personal jurisdiction with respect thereto.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Selling Shareholder hereby irrevocably appoints Cogency Global Inc., with offices at 122 East 42nd Street, 18th Floor, New York, NY 10168, as its agent for service of process in any Related Proceeding and agrees that service of process in any such Related Proceeding may be made upon it at the office of such agent. The Selling Shareholder waives, to the fullest extent permitted by law, any other requirements of or objections to personal jurisdiction with respect thereto. The Selling Shareholder represents and warrants that such agent has agreed to act as the Selling Shareholder’s agent for service of process, and the Selling Shareholder agrees to take any and all action, including the filing of any and all documents and instruments, that may be necessary to continue such appointment in full force and effect.</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caps w:val="false"/>
          <w:smallCaps w:val="false"/>
          <w:sz w:val="20"/>
        </w:rPr>
        <w:t>Judgment Currency</w:t>
      </w:r>
      <w:r>
        <w:rPr>
          <w:rFonts w:ascii="Times New Roman;Times;Serif" w:hAnsi="Times New Roman;Times;Serif"/>
          <w:b w:val="false"/>
          <w:i w:val="false"/>
          <w:caps w:val="false"/>
          <w:smallCaps w:val="false"/>
          <w:sz w:val="20"/>
        </w:rPr>
        <w:t>. If for the purposes of obtaining judgment in any court it is necessary to convert a sum due hereunder into any currency other than United States dollars, the parties hereto agree, to the fullest extent permitted by law, that the rate of exchange used shall be the rate at which in accordance with normal banking procedures the Underwriters could purchase United States dollars with such other currency in The City of New York on the business day preceding that on which final judgment is given. The obligation of the Company or the Selling Shareholder with respect to any sum due from it to any Underwriter or any person controlling any Underwriter shall, notwithstanding any judgment in a currency other than United States dollars, not be discharged until the first business day following receipt by such Underwriter or controlling person of any sum in such other currency, and only to the extent that such Underwriter or controlling person may in accordance with normal banking procedures purchase United States dollars with such other currency. If the United States dollars so purchased are less than the sum originally due to such Underwriter or controlling person hereunder, each of the Company and the Selling Shareholder agrees as a separate obligation and notwithstanding any such judgment, to indemnify such Underwriter or controlling person against such loss. If the United States dollars so purchased are greater than the sum originally due to such Underwriter or controlling person hereunder, such Underwriter or controlling person agrees to pay to the Company or the Selling Shareholder, as applicable, an amount equal to the excess of the dollars so purchased over the sum originally due to such Underwriter or controlling person hereunder.</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590"/>
        <w:gridCol w:w="1895"/>
      </w:tblGrid>
      <w:tr>
        <w:trPr/>
        <w:tc>
          <w:tcPr>
            <w:tcW w:w="7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sz w:val="20"/>
              </w:rPr>
            </w:pPr>
            <w:r>
              <w:rPr>
                <w:sz w:val="20"/>
              </w:rPr>
              <w:t>KAROOOOO LTD.</w:t>
            </w:r>
          </w:p>
        </w:tc>
      </w:tr>
      <w:tr>
        <w:trPr/>
        <w:tc>
          <w:tcPr>
            <w:tcW w:w="7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8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Hoe Shin Goy</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895" w:type="dxa"/>
            <w:tcBorders/>
            <w:vAlign w:val="center"/>
          </w:tcPr>
          <w:p>
            <w:pPr>
              <w:pStyle w:val="TableContents"/>
              <w:bidi w:val="0"/>
              <w:spacing w:before="0" w:after="283"/>
              <w:jc w:val="left"/>
              <w:rPr>
                <w:sz w:val="20"/>
              </w:rPr>
            </w:pPr>
            <w:r>
              <w:rPr>
                <w:sz w:val="20"/>
              </w:rPr>
              <w:t>Hoe Shin Goy</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2405" w:type="dxa"/>
        <w:jc w:val="left"/>
        <w:tblInd w:w="0" w:type="dxa"/>
        <w:tblLayout w:type="fixed"/>
        <w:tblCellMar>
          <w:top w:w="0" w:type="dxa"/>
          <w:left w:w="0" w:type="dxa"/>
          <w:bottom w:w="0" w:type="dxa"/>
          <w:right w:w="0" w:type="dxa"/>
        </w:tblCellMar>
      </w:tblPr>
      <w:tblGrid>
        <w:gridCol w:w="75"/>
        <w:gridCol w:w="2330"/>
      </w:tblGrid>
      <w:tr>
        <w:trPr/>
        <w:tc>
          <w:tcPr>
            <w:tcW w:w="75" w:type="dxa"/>
            <w:tcBorders/>
            <w:vAlign w:val="center"/>
          </w:tcPr>
          <w:p>
            <w:pPr>
              <w:pStyle w:val="TableContents"/>
              <w:bidi w:val="0"/>
              <w:spacing w:before="0" w:after="283"/>
              <w:ind w:left="0" w:right="0" w:hanging="360"/>
              <w:jc w:val="left"/>
              <w:rPr/>
            </w:pPr>
            <w:r>
              <w:rPr/>
              <w:t> </w:t>
            </w:r>
          </w:p>
        </w:tc>
        <w:tc>
          <w:tcPr>
            <w:tcW w:w="2330" w:type="dxa"/>
            <w:tcBorders/>
            <w:vAlign w:val="center"/>
          </w:tcPr>
          <w:p>
            <w:pPr>
              <w:pStyle w:val="TableContents"/>
              <w:bidi w:val="0"/>
              <w:spacing w:before="0" w:after="283"/>
              <w:jc w:val="left"/>
              <w:rPr>
                <w:sz w:val="20"/>
              </w:rPr>
            </w:pPr>
            <w:r>
              <w:rPr>
                <w:sz w:val="20"/>
              </w:rPr>
              <w:t>The Selling Shareholder,</w:t>
            </w:r>
          </w:p>
        </w:tc>
      </w:tr>
      <w:tr>
        <w:trPr/>
        <w:tc>
          <w:tcPr>
            <w:tcW w:w="75"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3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Isaias (Zak) Jose Calisto</w:t>
            </w:r>
          </w:p>
        </w:tc>
      </w:tr>
      <w:tr>
        <w:trPr/>
        <w:tc>
          <w:tcPr>
            <w:tcW w:w="75"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sz w:val="20"/>
              </w:rPr>
            </w:pPr>
            <w:r>
              <w:rPr>
                <w:sz w:val="20"/>
              </w:rPr>
              <w:t>By: Isaias (Zak) Jose Calisto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Underwriting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364" w:type="dxa"/>
        <w:jc w:val="left"/>
        <w:tblInd w:w="0" w:type="dxa"/>
        <w:tblLayout w:type="fixed"/>
        <w:tblCellMar>
          <w:top w:w="0" w:type="dxa"/>
          <w:left w:w="0" w:type="dxa"/>
          <w:bottom w:w="0" w:type="dxa"/>
          <w:right w:w="0" w:type="dxa"/>
        </w:tblCellMar>
      </w:tblPr>
      <w:tblGrid>
        <w:gridCol w:w="774"/>
        <w:gridCol w:w="1446"/>
        <w:gridCol w:w="7069"/>
        <w:gridCol w:w="75"/>
      </w:tblGrid>
      <w:tr>
        <w:trPr/>
        <w:tc>
          <w:tcPr>
            <w:tcW w:w="9289" w:type="dxa"/>
            <w:gridSpan w:val="3"/>
            <w:tcBorders/>
            <w:vAlign w:val="center"/>
          </w:tcPr>
          <w:p>
            <w:pPr>
              <w:pStyle w:val="TableContents"/>
              <w:bidi w:val="0"/>
              <w:spacing w:before="0" w:after="283"/>
              <w:jc w:val="left"/>
              <w:rPr/>
            </w:pPr>
            <w:r>
              <w:rPr/>
              <w:t>Accepted as of the date hereof</w:t>
            </w:r>
          </w:p>
        </w:tc>
        <w:tc>
          <w:tcPr>
            <w:tcW w:w="75" w:type="dxa"/>
            <w:tcBorders/>
            <w:vAlign w:val="center"/>
          </w:tcPr>
          <w:p>
            <w:pPr>
              <w:pStyle w:val="TableContents"/>
              <w:bidi w:val="0"/>
              <w:spacing w:before="0" w:after="283"/>
              <w:jc w:val="left"/>
              <w:rPr/>
            </w:pPr>
            <w:r>
              <w:rPr/>
              <w:t> </w:t>
            </w:r>
          </w:p>
        </w:tc>
      </w:tr>
      <w:tr>
        <w:trPr/>
        <w:tc>
          <w:tcPr>
            <w:tcW w:w="928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289" w:type="dxa"/>
            <w:gridSpan w:val="3"/>
            <w:tcBorders/>
            <w:vAlign w:val="center"/>
          </w:tcPr>
          <w:p>
            <w:pPr>
              <w:pStyle w:val="TableContents"/>
              <w:bidi w:val="0"/>
              <w:spacing w:before="0" w:after="283"/>
              <w:jc w:val="left"/>
              <w:rPr/>
            </w:pPr>
            <w:r>
              <w:rPr/>
              <w:t>UBS Securities LLC</w:t>
            </w:r>
          </w:p>
        </w:tc>
        <w:tc>
          <w:tcPr>
            <w:tcW w:w="75" w:type="dxa"/>
            <w:tcBorders/>
            <w:vAlign w:val="center"/>
          </w:tcPr>
          <w:p>
            <w:pPr>
              <w:pStyle w:val="TableContents"/>
              <w:bidi w:val="0"/>
              <w:spacing w:before="0" w:after="283"/>
              <w:jc w:val="left"/>
              <w:rPr/>
            </w:pPr>
            <w:r>
              <w:rPr/>
              <w:t> </w:t>
            </w:r>
          </w:p>
        </w:tc>
      </w:tr>
      <w:tr>
        <w:trPr/>
        <w:tc>
          <w:tcPr>
            <w:tcW w:w="9289" w:type="dxa"/>
            <w:gridSpan w:val="3"/>
            <w:tcBorders/>
            <w:vAlign w:val="center"/>
          </w:tcPr>
          <w:p>
            <w:pPr>
              <w:pStyle w:val="TableContents"/>
              <w:bidi w:val="0"/>
              <w:spacing w:before="0" w:after="283"/>
              <w:jc w:val="left"/>
              <w:rPr/>
            </w:pPr>
            <w:r>
              <w:rPr/>
              <w:t>William Blair &amp; Company, L.L.C.</w:t>
            </w:r>
          </w:p>
        </w:tc>
        <w:tc>
          <w:tcPr>
            <w:tcW w:w="75" w:type="dxa"/>
            <w:tcBorders/>
            <w:vAlign w:val="center"/>
          </w:tcPr>
          <w:p>
            <w:pPr>
              <w:pStyle w:val="TableContents"/>
              <w:bidi w:val="0"/>
              <w:spacing w:before="0" w:after="283"/>
              <w:jc w:val="left"/>
              <w:rPr/>
            </w:pPr>
            <w:r>
              <w:rPr/>
              <w:t> </w:t>
            </w:r>
          </w:p>
        </w:tc>
      </w:tr>
      <w:tr>
        <w:trPr/>
        <w:tc>
          <w:tcPr>
            <w:tcW w:w="9289" w:type="dxa"/>
            <w:gridSpan w:val="3"/>
            <w:tcBorders/>
            <w:vAlign w:val="center"/>
          </w:tcPr>
          <w:p>
            <w:pPr>
              <w:pStyle w:val="TableContents"/>
              <w:bidi w:val="0"/>
              <w:spacing w:before="0" w:after="283"/>
              <w:jc w:val="left"/>
              <w:rPr/>
            </w:pPr>
            <w:r>
              <w:rPr/>
              <w:t>The Standard Bank of South Africa Limited</w:t>
            </w:r>
          </w:p>
        </w:tc>
        <w:tc>
          <w:tcPr>
            <w:tcW w:w="75" w:type="dxa"/>
            <w:tcBorders/>
            <w:vAlign w:val="center"/>
          </w:tcPr>
          <w:p>
            <w:pPr>
              <w:pStyle w:val="TableContents"/>
              <w:bidi w:val="0"/>
              <w:spacing w:before="0" w:after="283"/>
              <w:jc w:val="left"/>
              <w:rPr/>
            </w:pPr>
            <w:r>
              <w:rPr/>
              <w:t> </w:t>
            </w:r>
          </w:p>
        </w:tc>
      </w:tr>
      <w:tr>
        <w:trPr/>
        <w:tc>
          <w:tcPr>
            <w:tcW w:w="928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289" w:type="dxa"/>
            <w:gridSpan w:val="3"/>
            <w:tcBorders/>
            <w:vAlign w:val="center"/>
          </w:tcPr>
          <w:p>
            <w:pPr>
              <w:pStyle w:val="TableContents"/>
              <w:bidi w:val="0"/>
              <w:spacing w:before="0" w:after="283"/>
              <w:jc w:val="left"/>
              <w:rPr/>
            </w:pPr>
            <w:r>
              <w:rPr/>
              <w:t>Acting severally on behalf of themselves and the several Underwriters named in Schedule I hereto</w:t>
            </w:r>
          </w:p>
        </w:tc>
        <w:tc>
          <w:tcPr>
            <w:tcW w:w="75" w:type="dxa"/>
            <w:tcBorders/>
            <w:vAlign w:val="center"/>
          </w:tcPr>
          <w:p>
            <w:pPr>
              <w:pStyle w:val="TableContents"/>
              <w:bidi w:val="0"/>
              <w:spacing w:before="0" w:after="283"/>
              <w:jc w:val="left"/>
              <w:rPr/>
            </w:pPr>
            <w:r>
              <w:rPr/>
              <w:t> </w:t>
            </w:r>
          </w:p>
        </w:tc>
      </w:tr>
      <w:tr>
        <w:trPr/>
        <w:tc>
          <w:tcPr>
            <w:tcW w:w="928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4" w:type="dxa"/>
            <w:tcBorders/>
            <w:vAlign w:val="center"/>
          </w:tcPr>
          <w:p>
            <w:pPr>
              <w:pStyle w:val="TableContents"/>
              <w:bidi w:val="0"/>
              <w:spacing w:before="0" w:after="283"/>
              <w:jc w:val="left"/>
              <w:rPr/>
            </w:pPr>
            <w:r>
              <w:rPr/>
              <w:t>By:</w:t>
            </w:r>
          </w:p>
        </w:tc>
        <w:tc>
          <w:tcPr>
            <w:tcW w:w="8515" w:type="dxa"/>
            <w:gridSpan w:val="2"/>
            <w:tcBorders/>
            <w:vAlign w:val="center"/>
          </w:tcPr>
          <w:p>
            <w:pPr>
              <w:pStyle w:val="TableContents"/>
              <w:bidi w:val="0"/>
              <w:spacing w:before="0" w:after="283"/>
              <w:jc w:val="left"/>
              <w:rPr/>
            </w:pPr>
            <w:r>
              <w:rPr/>
              <w:t>UBS Securities LLC</w:t>
            </w:r>
          </w:p>
        </w:tc>
        <w:tc>
          <w:tcPr>
            <w:tcW w:w="75" w:type="dxa"/>
            <w:tcBorders/>
            <w:vAlign w:val="center"/>
          </w:tcPr>
          <w:p>
            <w:pPr>
              <w:pStyle w:val="TableContents"/>
              <w:bidi w:val="0"/>
              <w:spacing w:before="0" w:after="283"/>
              <w:jc w:val="left"/>
              <w:rPr/>
            </w:pPr>
            <w:r>
              <w:rPr/>
              <w:t> </w:t>
            </w:r>
          </w:p>
        </w:tc>
      </w:tr>
      <w:tr>
        <w:trPr/>
        <w:tc>
          <w:tcPr>
            <w:tcW w:w="774" w:type="dxa"/>
            <w:tcBorders/>
            <w:vAlign w:val="center"/>
          </w:tcPr>
          <w:p>
            <w:pPr>
              <w:pStyle w:val="TableContents"/>
              <w:bidi w:val="0"/>
              <w:spacing w:before="0" w:after="283"/>
              <w:jc w:val="left"/>
              <w:rPr/>
            </w:pPr>
            <w:r>
              <w:rPr/>
              <w:t> </w:t>
            </w:r>
          </w:p>
        </w:tc>
        <w:tc>
          <w:tcPr>
            <w:tcW w:w="85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4" w:type="dxa"/>
            <w:tcBorders/>
            <w:vAlign w:val="center"/>
          </w:tcPr>
          <w:p>
            <w:pPr>
              <w:pStyle w:val="TableContents"/>
              <w:bidi w:val="0"/>
              <w:spacing w:before="0" w:after="283"/>
              <w:jc w:val="left"/>
              <w:rPr/>
            </w:pPr>
            <w:r>
              <w:rPr/>
              <w:t>By:</w:t>
            </w:r>
          </w:p>
        </w:tc>
        <w:tc>
          <w:tcPr>
            <w:tcW w:w="8515" w:type="dxa"/>
            <w:gridSpan w:val="2"/>
            <w:tcBorders>
              <w:bottom w:val="single" w:sz="12" w:space="0" w:color="000000"/>
            </w:tcBorders>
            <w:tcMar>
              <w:bottom w:w="28" w:type="dxa"/>
            </w:tcMar>
            <w:vAlign w:val="center"/>
          </w:tcPr>
          <w:p>
            <w:pPr>
              <w:pStyle w:val="TableContents"/>
              <w:bidi w:val="0"/>
              <w:spacing w:before="0" w:after="283"/>
              <w:jc w:val="left"/>
              <w:rPr/>
            </w:pPr>
            <w:r>
              <w:rPr/>
              <w:t>/s/ Gretchen Richter</w:t>
            </w:r>
          </w:p>
        </w:tc>
        <w:tc>
          <w:tcPr>
            <w:tcW w:w="75" w:type="dxa"/>
            <w:tcBorders/>
            <w:vAlign w:val="center"/>
          </w:tcPr>
          <w:p>
            <w:pPr>
              <w:pStyle w:val="TableContents"/>
              <w:bidi w:val="0"/>
              <w:spacing w:before="0" w:after="283"/>
              <w:jc w:val="left"/>
              <w:rPr/>
            </w:pPr>
            <w:r>
              <w:rPr/>
              <w:t> </w:t>
            </w:r>
          </w:p>
        </w:tc>
      </w:tr>
      <w:tr>
        <w:trPr/>
        <w:tc>
          <w:tcPr>
            <w:tcW w:w="774" w:type="dxa"/>
            <w:tcBorders/>
            <w:vAlign w:val="center"/>
          </w:tcPr>
          <w:p>
            <w:pPr>
              <w:pStyle w:val="TableContents"/>
              <w:bidi w:val="0"/>
              <w:spacing w:before="0" w:after="283"/>
              <w:jc w:val="left"/>
              <w:rPr/>
            </w:pPr>
            <w:r>
              <w:rPr/>
              <w:t> </w:t>
            </w:r>
          </w:p>
        </w:tc>
        <w:tc>
          <w:tcPr>
            <w:tcW w:w="1446" w:type="dxa"/>
            <w:tcBorders/>
            <w:vAlign w:val="center"/>
          </w:tcPr>
          <w:p>
            <w:pPr>
              <w:pStyle w:val="TableContents"/>
              <w:bidi w:val="0"/>
              <w:spacing w:before="0" w:after="283"/>
              <w:jc w:val="left"/>
              <w:rPr/>
            </w:pPr>
            <w:r>
              <w:rPr/>
              <w:t>Name: </w:t>
            </w:r>
          </w:p>
        </w:tc>
        <w:tc>
          <w:tcPr>
            <w:tcW w:w="7069" w:type="dxa"/>
            <w:tcBorders/>
            <w:vAlign w:val="center"/>
          </w:tcPr>
          <w:p>
            <w:pPr>
              <w:pStyle w:val="TableContents"/>
              <w:bidi w:val="0"/>
              <w:spacing w:before="0" w:after="283"/>
              <w:jc w:val="left"/>
              <w:rPr/>
            </w:pPr>
            <w:r>
              <w:rPr/>
              <w:t>Gretchen Richter</w:t>
            </w:r>
          </w:p>
        </w:tc>
        <w:tc>
          <w:tcPr>
            <w:tcW w:w="75" w:type="dxa"/>
            <w:tcBorders/>
            <w:vAlign w:val="center"/>
          </w:tcPr>
          <w:p>
            <w:pPr>
              <w:pStyle w:val="TableContents"/>
              <w:bidi w:val="0"/>
              <w:spacing w:before="0" w:after="283"/>
              <w:jc w:val="left"/>
              <w:rPr/>
            </w:pPr>
            <w:r>
              <w:rPr/>
              <w:t> </w:t>
            </w:r>
          </w:p>
        </w:tc>
      </w:tr>
      <w:tr>
        <w:trPr/>
        <w:tc>
          <w:tcPr>
            <w:tcW w:w="774" w:type="dxa"/>
            <w:tcBorders/>
            <w:vAlign w:val="center"/>
          </w:tcPr>
          <w:p>
            <w:pPr>
              <w:pStyle w:val="TableContents"/>
              <w:bidi w:val="0"/>
              <w:spacing w:before="0" w:after="283"/>
              <w:jc w:val="left"/>
              <w:rPr/>
            </w:pPr>
            <w:r>
              <w:rPr/>
              <w:t> </w:t>
            </w:r>
          </w:p>
        </w:tc>
        <w:tc>
          <w:tcPr>
            <w:tcW w:w="1446" w:type="dxa"/>
            <w:tcBorders/>
            <w:vAlign w:val="center"/>
          </w:tcPr>
          <w:p>
            <w:pPr>
              <w:pStyle w:val="TableContents"/>
              <w:bidi w:val="0"/>
              <w:spacing w:before="0" w:after="283"/>
              <w:jc w:val="left"/>
              <w:rPr/>
            </w:pPr>
            <w:r>
              <w:rPr/>
              <w:t>Title:</w:t>
            </w:r>
          </w:p>
        </w:tc>
        <w:tc>
          <w:tcPr>
            <w:tcW w:w="7069" w:type="dxa"/>
            <w:tcBorders/>
            <w:vAlign w:val="center"/>
          </w:tcPr>
          <w:p>
            <w:pPr>
              <w:pStyle w:val="TableContents"/>
              <w:bidi w:val="0"/>
              <w:spacing w:before="0" w:after="283"/>
              <w:jc w:val="left"/>
              <w:rPr/>
            </w:pPr>
            <w:r>
              <w:rPr/>
              <w:t>Associate Director</w:t>
            </w:r>
          </w:p>
        </w:tc>
        <w:tc>
          <w:tcPr>
            <w:tcW w:w="75" w:type="dxa"/>
            <w:tcBorders/>
            <w:vAlign w:val="center"/>
          </w:tcPr>
          <w:p>
            <w:pPr>
              <w:pStyle w:val="TableContents"/>
              <w:bidi w:val="0"/>
              <w:spacing w:before="0" w:after="283"/>
              <w:jc w:val="left"/>
              <w:rPr/>
            </w:pPr>
            <w:r>
              <w:rPr/>
              <w:t> </w:t>
            </w:r>
          </w:p>
        </w:tc>
      </w:tr>
      <w:tr>
        <w:trPr/>
        <w:tc>
          <w:tcPr>
            <w:tcW w:w="928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4" w:type="dxa"/>
            <w:tcBorders/>
            <w:vAlign w:val="center"/>
          </w:tcPr>
          <w:p>
            <w:pPr>
              <w:pStyle w:val="TableContents"/>
              <w:bidi w:val="0"/>
              <w:spacing w:before="0" w:after="283"/>
              <w:jc w:val="left"/>
              <w:rPr/>
            </w:pPr>
            <w:r>
              <w:rPr/>
              <w:t>By:</w:t>
            </w:r>
          </w:p>
        </w:tc>
        <w:tc>
          <w:tcPr>
            <w:tcW w:w="8515" w:type="dxa"/>
            <w:gridSpan w:val="2"/>
            <w:tcBorders>
              <w:bottom w:val="single" w:sz="12" w:space="0" w:color="000000"/>
            </w:tcBorders>
            <w:tcMar>
              <w:bottom w:w="28" w:type="dxa"/>
            </w:tcMar>
            <w:vAlign w:val="center"/>
          </w:tcPr>
          <w:p>
            <w:pPr>
              <w:pStyle w:val="TableContents"/>
              <w:bidi w:val="0"/>
              <w:spacing w:before="0" w:after="283"/>
              <w:jc w:val="left"/>
              <w:rPr/>
            </w:pPr>
            <w:r>
              <w:rPr/>
              <w:t>/s/ Austin Gobbo</w:t>
            </w:r>
          </w:p>
        </w:tc>
        <w:tc>
          <w:tcPr>
            <w:tcW w:w="75" w:type="dxa"/>
            <w:tcBorders/>
            <w:vAlign w:val="center"/>
          </w:tcPr>
          <w:p>
            <w:pPr>
              <w:pStyle w:val="TableContents"/>
              <w:bidi w:val="0"/>
              <w:spacing w:before="0" w:after="283"/>
              <w:jc w:val="left"/>
              <w:rPr/>
            </w:pPr>
            <w:r>
              <w:rPr/>
              <w:t> </w:t>
            </w:r>
          </w:p>
        </w:tc>
      </w:tr>
      <w:tr>
        <w:trPr/>
        <w:tc>
          <w:tcPr>
            <w:tcW w:w="774" w:type="dxa"/>
            <w:tcBorders/>
            <w:vAlign w:val="center"/>
          </w:tcPr>
          <w:p>
            <w:pPr>
              <w:pStyle w:val="TableContents"/>
              <w:bidi w:val="0"/>
              <w:spacing w:before="0" w:after="283"/>
              <w:jc w:val="left"/>
              <w:rPr/>
            </w:pPr>
            <w:r>
              <w:rPr/>
              <w:t> </w:t>
            </w:r>
          </w:p>
        </w:tc>
        <w:tc>
          <w:tcPr>
            <w:tcW w:w="1446" w:type="dxa"/>
            <w:tcBorders/>
            <w:vAlign w:val="center"/>
          </w:tcPr>
          <w:p>
            <w:pPr>
              <w:pStyle w:val="TableContents"/>
              <w:bidi w:val="0"/>
              <w:spacing w:before="0" w:after="283"/>
              <w:jc w:val="left"/>
              <w:rPr/>
            </w:pPr>
            <w:r>
              <w:rPr/>
              <w:t>Name:</w:t>
            </w:r>
          </w:p>
        </w:tc>
        <w:tc>
          <w:tcPr>
            <w:tcW w:w="7069" w:type="dxa"/>
            <w:tcBorders/>
            <w:vAlign w:val="center"/>
          </w:tcPr>
          <w:p>
            <w:pPr>
              <w:pStyle w:val="TableContents"/>
              <w:bidi w:val="0"/>
              <w:spacing w:before="0" w:after="283"/>
              <w:jc w:val="left"/>
              <w:rPr/>
            </w:pPr>
            <w:r>
              <w:rPr/>
              <w:t>Austin Gobbo</w:t>
            </w:r>
          </w:p>
        </w:tc>
        <w:tc>
          <w:tcPr>
            <w:tcW w:w="75" w:type="dxa"/>
            <w:tcBorders/>
            <w:vAlign w:val="center"/>
          </w:tcPr>
          <w:p>
            <w:pPr>
              <w:pStyle w:val="TableContents"/>
              <w:bidi w:val="0"/>
              <w:spacing w:before="0" w:after="283"/>
              <w:jc w:val="left"/>
              <w:rPr/>
            </w:pPr>
            <w:r>
              <w:rPr/>
              <w:t> </w:t>
            </w:r>
          </w:p>
        </w:tc>
      </w:tr>
      <w:tr>
        <w:trPr/>
        <w:tc>
          <w:tcPr>
            <w:tcW w:w="774" w:type="dxa"/>
            <w:tcBorders/>
            <w:vAlign w:val="center"/>
          </w:tcPr>
          <w:p>
            <w:pPr>
              <w:pStyle w:val="TableContents"/>
              <w:bidi w:val="0"/>
              <w:spacing w:before="0" w:after="283"/>
              <w:jc w:val="left"/>
              <w:rPr/>
            </w:pPr>
            <w:r>
              <w:rPr/>
              <w:t> </w:t>
            </w:r>
          </w:p>
        </w:tc>
        <w:tc>
          <w:tcPr>
            <w:tcW w:w="1446" w:type="dxa"/>
            <w:tcBorders/>
            <w:vAlign w:val="center"/>
          </w:tcPr>
          <w:p>
            <w:pPr>
              <w:pStyle w:val="TableContents"/>
              <w:bidi w:val="0"/>
              <w:spacing w:before="0" w:after="283"/>
              <w:jc w:val="left"/>
              <w:rPr/>
            </w:pPr>
            <w:r>
              <w:rPr/>
              <w:t>Title:</w:t>
            </w:r>
          </w:p>
        </w:tc>
        <w:tc>
          <w:tcPr>
            <w:tcW w:w="7069" w:type="dxa"/>
            <w:tcBorders/>
            <w:vAlign w:val="center"/>
          </w:tcPr>
          <w:p>
            <w:pPr>
              <w:pStyle w:val="TableContents"/>
              <w:bidi w:val="0"/>
              <w:spacing w:before="0" w:after="283"/>
              <w:jc w:val="left"/>
              <w:rPr/>
            </w:pPr>
            <w:r>
              <w:rPr/>
              <w:t>Director</w:t>
            </w:r>
          </w:p>
        </w:tc>
        <w:tc>
          <w:tcPr>
            <w:tcW w:w="75" w:type="dxa"/>
            <w:tcBorders/>
            <w:vAlign w:val="center"/>
          </w:tcPr>
          <w:p>
            <w:pPr>
              <w:pStyle w:val="TableContents"/>
              <w:bidi w:val="0"/>
              <w:spacing w:before="0" w:after="283"/>
              <w:jc w:val="left"/>
              <w:rPr/>
            </w:pPr>
            <w:r>
              <w:rPr/>
              <w:t> </w:t>
            </w:r>
          </w:p>
        </w:tc>
      </w:tr>
      <w:tr>
        <w:trPr/>
        <w:tc>
          <w:tcPr>
            <w:tcW w:w="928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4" w:type="dxa"/>
            <w:tcBorders/>
            <w:vAlign w:val="center"/>
          </w:tcPr>
          <w:p>
            <w:pPr>
              <w:pStyle w:val="TableContents"/>
              <w:bidi w:val="0"/>
              <w:spacing w:before="0" w:after="283"/>
              <w:jc w:val="left"/>
              <w:rPr/>
            </w:pPr>
            <w:r>
              <w:rPr/>
              <w:t>By:</w:t>
            </w:r>
          </w:p>
        </w:tc>
        <w:tc>
          <w:tcPr>
            <w:tcW w:w="8515" w:type="dxa"/>
            <w:gridSpan w:val="2"/>
            <w:tcBorders/>
            <w:vAlign w:val="center"/>
          </w:tcPr>
          <w:p>
            <w:pPr>
              <w:pStyle w:val="TableContents"/>
              <w:bidi w:val="0"/>
              <w:spacing w:before="0" w:after="283"/>
              <w:jc w:val="left"/>
              <w:rPr/>
            </w:pPr>
            <w:r>
              <w:rPr/>
              <w:t>William Blair &amp; Company, L.L.C.</w:t>
            </w:r>
          </w:p>
        </w:tc>
        <w:tc>
          <w:tcPr>
            <w:tcW w:w="75" w:type="dxa"/>
            <w:tcBorders/>
            <w:vAlign w:val="center"/>
          </w:tcPr>
          <w:p>
            <w:pPr>
              <w:pStyle w:val="TableContents"/>
              <w:bidi w:val="0"/>
              <w:spacing w:before="0" w:after="283"/>
              <w:jc w:val="left"/>
              <w:rPr/>
            </w:pPr>
            <w:r>
              <w:rPr/>
              <w:t> </w:t>
            </w:r>
          </w:p>
        </w:tc>
      </w:tr>
      <w:tr>
        <w:trPr/>
        <w:tc>
          <w:tcPr>
            <w:tcW w:w="928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4" w:type="dxa"/>
            <w:tcBorders/>
            <w:vAlign w:val="center"/>
          </w:tcPr>
          <w:p>
            <w:pPr>
              <w:pStyle w:val="TableContents"/>
              <w:bidi w:val="0"/>
              <w:spacing w:before="0" w:after="283"/>
              <w:jc w:val="left"/>
              <w:rPr/>
            </w:pPr>
            <w:r>
              <w:rPr/>
              <w:t>By:</w:t>
            </w:r>
          </w:p>
        </w:tc>
        <w:tc>
          <w:tcPr>
            <w:tcW w:w="8515" w:type="dxa"/>
            <w:gridSpan w:val="2"/>
            <w:tcBorders>
              <w:bottom w:val="single" w:sz="12" w:space="0" w:color="000000"/>
            </w:tcBorders>
            <w:tcMar>
              <w:bottom w:w="28" w:type="dxa"/>
            </w:tcMar>
            <w:vAlign w:val="center"/>
          </w:tcPr>
          <w:p>
            <w:pPr>
              <w:pStyle w:val="TableContents"/>
              <w:bidi w:val="0"/>
              <w:spacing w:before="0" w:after="283"/>
              <w:jc w:val="left"/>
              <w:rPr/>
            </w:pPr>
            <w:r>
              <w:rPr/>
              <w:t>/s/ Steve Maletzky</w:t>
            </w:r>
          </w:p>
        </w:tc>
        <w:tc>
          <w:tcPr>
            <w:tcW w:w="75" w:type="dxa"/>
            <w:tcBorders/>
            <w:vAlign w:val="center"/>
          </w:tcPr>
          <w:p>
            <w:pPr>
              <w:pStyle w:val="TableContents"/>
              <w:bidi w:val="0"/>
              <w:spacing w:before="0" w:after="283"/>
              <w:jc w:val="left"/>
              <w:rPr/>
            </w:pPr>
            <w:r>
              <w:rPr/>
              <w:t> </w:t>
            </w:r>
          </w:p>
        </w:tc>
      </w:tr>
      <w:tr>
        <w:trPr/>
        <w:tc>
          <w:tcPr>
            <w:tcW w:w="774" w:type="dxa"/>
            <w:tcBorders/>
            <w:vAlign w:val="center"/>
          </w:tcPr>
          <w:p>
            <w:pPr>
              <w:pStyle w:val="TableContents"/>
              <w:bidi w:val="0"/>
              <w:spacing w:before="0" w:after="283"/>
              <w:jc w:val="left"/>
              <w:rPr/>
            </w:pPr>
            <w:r>
              <w:rPr/>
              <w:t> </w:t>
            </w:r>
          </w:p>
        </w:tc>
        <w:tc>
          <w:tcPr>
            <w:tcW w:w="1446" w:type="dxa"/>
            <w:tcBorders/>
            <w:vAlign w:val="center"/>
          </w:tcPr>
          <w:p>
            <w:pPr>
              <w:pStyle w:val="TableContents"/>
              <w:bidi w:val="0"/>
              <w:spacing w:before="0" w:after="283"/>
              <w:jc w:val="left"/>
              <w:rPr/>
            </w:pPr>
            <w:r>
              <w:rPr/>
              <w:t>Name:</w:t>
            </w:r>
          </w:p>
        </w:tc>
        <w:tc>
          <w:tcPr>
            <w:tcW w:w="7069" w:type="dxa"/>
            <w:tcBorders/>
            <w:vAlign w:val="center"/>
          </w:tcPr>
          <w:p>
            <w:pPr>
              <w:pStyle w:val="TableContents"/>
              <w:bidi w:val="0"/>
              <w:spacing w:before="0" w:after="283"/>
              <w:jc w:val="left"/>
              <w:rPr/>
            </w:pPr>
            <w:r>
              <w:rPr/>
              <w:t>Steve Maletzky</w:t>
            </w:r>
          </w:p>
        </w:tc>
        <w:tc>
          <w:tcPr>
            <w:tcW w:w="75" w:type="dxa"/>
            <w:tcBorders/>
            <w:vAlign w:val="center"/>
          </w:tcPr>
          <w:p>
            <w:pPr>
              <w:pStyle w:val="TableContents"/>
              <w:bidi w:val="0"/>
              <w:spacing w:before="0" w:after="283"/>
              <w:jc w:val="left"/>
              <w:rPr/>
            </w:pPr>
            <w:r>
              <w:rPr/>
              <w:t> </w:t>
            </w:r>
          </w:p>
        </w:tc>
      </w:tr>
      <w:tr>
        <w:trPr/>
        <w:tc>
          <w:tcPr>
            <w:tcW w:w="774" w:type="dxa"/>
            <w:tcBorders/>
            <w:vAlign w:val="center"/>
          </w:tcPr>
          <w:p>
            <w:pPr>
              <w:pStyle w:val="TableContents"/>
              <w:bidi w:val="0"/>
              <w:spacing w:before="0" w:after="283"/>
              <w:jc w:val="left"/>
              <w:rPr/>
            </w:pPr>
            <w:r>
              <w:rPr/>
              <w:t> </w:t>
            </w:r>
          </w:p>
        </w:tc>
        <w:tc>
          <w:tcPr>
            <w:tcW w:w="1446" w:type="dxa"/>
            <w:tcBorders/>
            <w:vAlign w:val="center"/>
          </w:tcPr>
          <w:p>
            <w:pPr>
              <w:pStyle w:val="TableContents"/>
              <w:bidi w:val="0"/>
              <w:spacing w:before="0" w:after="283"/>
              <w:jc w:val="left"/>
              <w:rPr/>
            </w:pPr>
            <w:r>
              <w:rPr/>
              <w:t>Title:</w:t>
            </w:r>
          </w:p>
        </w:tc>
        <w:tc>
          <w:tcPr>
            <w:tcW w:w="7069" w:type="dxa"/>
            <w:tcBorders/>
            <w:vAlign w:val="center"/>
          </w:tcPr>
          <w:p>
            <w:pPr>
              <w:pStyle w:val="TableContents"/>
              <w:bidi w:val="0"/>
              <w:spacing w:before="0" w:after="283"/>
              <w:jc w:val="left"/>
              <w:rPr/>
            </w:pPr>
            <w:r>
              <w:rPr/>
              <w:t>Partner, Head of Capital Markets</w:t>
            </w:r>
          </w:p>
        </w:tc>
        <w:tc>
          <w:tcPr>
            <w:tcW w:w="75" w:type="dxa"/>
            <w:tcBorders/>
            <w:vAlign w:val="center"/>
          </w:tcPr>
          <w:p>
            <w:pPr>
              <w:pStyle w:val="TableContents"/>
              <w:bidi w:val="0"/>
              <w:spacing w:before="0" w:after="283"/>
              <w:jc w:val="left"/>
              <w:rPr/>
            </w:pPr>
            <w:r>
              <w:rPr/>
              <w:t> </w:t>
            </w:r>
          </w:p>
        </w:tc>
      </w:tr>
      <w:tr>
        <w:trPr/>
        <w:tc>
          <w:tcPr>
            <w:tcW w:w="928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4" w:type="dxa"/>
            <w:tcBorders/>
            <w:vAlign w:val="center"/>
          </w:tcPr>
          <w:p>
            <w:pPr>
              <w:pStyle w:val="TableContents"/>
              <w:bidi w:val="0"/>
              <w:spacing w:before="0" w:after="283"/>
              <w:jc w:val="left"/>
              <w:rPr/>
            </w:pPr>
            <w:r>
              <w:rPr/>
              <w:t>By:</w:t>
            </w:r>
          </w:p>
        </w:tc>
        <w:tc>
          <w:tcPr>
            <w:tcW w:w="8515" w:type="dxa"/>
            <w:gridSpan w:val="2"/>
            <w:tcBorders/>
            <w:vAlign w:val="center"/>
          </w:tcPr>
          <w:p>
            <w:pPr>
              <w:pStyle w:val="TableContents"/>
              <w:bidi w:val="0"/>
              <w:spacing w:before="0" w:after="283"/>
              <w:jc w:val="left"/>
              <w:rPr/>
            </w:pPr>
            <w:r>
              <w:rPr/>
              <w:t>The Standard Bank of South Africa Limited</w:t>
            </w:r>
          </w:p>
        </w:tc>
        <w:tc>
          <w:tcPr>
            <w:tcW w:w="75" w:type="dxa"/>
            <w:tcBorders/>
            <w:vAlign w:val="center"/>
          </w:tcPr>
          <w:p>
            <w:pPr>
              <w:pStyle w:val="TableContents"/>
              <w:bidi w:val="0"/>
              <w:spacing w:before="0" w:after="283"/>
              <w:jc w:val="left"/>
              <w:rPr/>
            </w:pPr>
            <w:r>
              <w:rPr/>
              <w:t> </w:t>
            </w:r>
          </w:p>
        </w:tc>
      </w:tr>
      <w:tr>
        <w:trPr/>
        <w:tc>
          <w:tcPr>
            <w:tcW w:w="928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4" w:type="dxa"/>
            <w:tcBorders/>
            <w:vAlign w:val="center"/>
          </w:tcPr>
          <w:p>
            <w:pPr>
              <w:pStyle w:val="TableContents"/>
              <w:bidi w:val="0"/>
              <w:spacing w:before="0" w:after="283"/>
              <w:jc w:val="left"/>
              <w:rPr/>
            </w:pPr>
            <w:r>
              <w:rPr/>
              <w:t>By:</w:t>
            </w:r>
          </w:p>
        </w:tc>
        <w:tc>
          <w:tcPr>
            <w:tcW w:w="8515" w:type="dxa"/>
            <w:gridSpan w:val="2"/>
            <w:tcBorders>
              <w:bottom w:val="single" w:sz="12" w:space="0" w:color="000000"/>
            </w:tcBorders>
            <w:tcMar>
              <w:bottom w:w="28" w:type="dxa"/>
            </w:tcMar>
            <w:vAlign w:val="center"/>
          </w:tcPr>
          <w:p>
            <w:pPr>
              <w:pStyle w:val="TableContents"/>
              <w:bidi w:val="0"/>
              <w:spacing w:before="0" w:after="283"/>
              <w:jc w:val="left"/>
              <w:rPr/>
            </w:pPr>
            <w:r>
              <w:rPr/>
              <w:t>/s/ Richard Stout</w:t>
            </w:r>
          </w:p>
        </w:tc>
        <w:tc>
          <w:tcPr>
            <w:tcW w:w="75" w:type="dxa"/>
            <w:tcBorders/>
            <w:vAlign w:val="center"/>
          </w:tcPr>
          <w:p>
            <w:pPr>
              <w:pStyle w:val="TableContents"/>
              <w:bidi w:val="0"/>
              <w:spacing w:before="0" w:after="283"/>
              <w:jc w:val="left"/>
              <w:rPr/>
            </w:pPr>
            <w:r>
              <w:rPr/>
              <w:t> </w:t>
            </w:r>
          </w:p>
        </w:tc>
      </w:tr>
      <w:tr>
        <w:trPr/>
        <w:tc>
          <w:tcPr>
            <w:tcW w:w="774" w:type="dxa"/>
            <w:tcBorders/>
            <w:vAlign w:val="center"/>
          </w:tcPr>
          <w:p>
            <w:pPr>
              <w:pStyle w:val="TableContents"/>
              <w:bidi w:val="0"/>
              <w:spacing w:before="0" w:after="283"/>
              <w:jc w:val="left"/>
              <w:rPr/>
            </w:pPr>
            <w:r>
              <w:rPr/>
              <w:t> </w:t>
            </w:r>
          </w:p>
        </w:tc>
        <w:tc>
          <w:tcPr>
            <w:tcW w:w="1446" w:type="dxa"/>
            <w:tcBorders/>
            <w:vAlign w:val="center"/>
          </w:tcPr>
          <w:p>
            <w:pPr>
              <w:pStyle w:val="TableContents"/>
              <w:bidi w:val="0"/>
              <w:spacing w:before="0" w:after="283"/>
              <w:jc w:val="left"/>
              <w:rPr/>
            </w:pPr>
            <w:r>
              <w:rPr/>
              <w:t>Name:</w:t>
            </w:r>
          </w:p>
        </w:tc>
        <w:tc>
          <w:tcPr>
            <w:tcW w:w="7069" w:type="dxa"/>
            <w:tcBorders/>
            <w:vAlign w:val="center"/>
          </w:tcPr>
          <w:p>
            <w:pPr>
              <w:pStyle w:val="TableContents"/>
              <w:bidi w:val="0"/>
              <w:spacing w:before="0" w:after="283"/>
              <w:jc w:val="left"/>
              <w:rPr/>
            </w:pPr>
            <w:r>
              <w:rPr/>
              <w:t>Richard Stout</w:t>
            </w:r>
          </w:p>
        </w:tc>
        <w:tc>
          <w:tcPr>
            <w:tcW w:w="75" w:type="dxa"/>
            <w:tcBorders/>
            <w:vAlign w:val="center"/>
          </w:tcPr>
          <w:p>
            <w:pPr>
              <w:pStyle w:val="TableContents"/>
              <w:bidi w:val="0"/>
              <w:spacing w:before="0" w:after="283"/>
              <w:jc w:val="left"/>
              <w:rPr/>
            </w:pPr>
            <w:r>
              <w:rPr/>
              <w:t> </w:t>
            </w:r>
          </w:p>
        </w:tc>
      </w:tr>
      <w:tr>
        <w:trPr/>
        <w:tc>
          <w:tcPr>
            <w:tcW w:w="774" w:type="dxa"/>
            <w:tcBorders/>
            <w:vAlign w:val="center"/>
          </w:tcPr>
          <w:p>
            <w:pPr>
              <w:pStyle w:val="TableContents"/>
              <w:bidi w:val="0"/>
              <w:spacing w:before="0" w:after="283"/>
              <w:jc w:val="left"/>
              <w:rPr/>
            </w:pPr>
            <w:r>
              <w:rPr/>
              <w:t> </w:t>
            </w:r>
          </w:p>
        </w:tc>
        <w:tc>
          <w:tcPr>
            <w:tcW w:w="1446" w:type="dxa"/>
            <w:tcBorders/>
            <w:vAlign w:val="center"/>
          </w:tcPr>
          <w:p>
            <w:pPr>
              <w:pStyle w:val="TableContents"/>
              <w:bidi w:val="0"/>
              <w:spacing w:before="0" w:after="283"/>
              <w:jc w:val="left"/>
              <w:rPr/>
            </w:pPr>
            <w:r>
              <w:rPr/>
              <w:t>Title:</w:t>
            </w:r>
          </w:p>
        </w:tc>
        <w:tc>
          <w:tcPr>
            <w:tcW w:w="7069" w:type="dxa"/>
            <w:tcBorders/>
            <w:vAlign w:val="center"/>
          </w:tcPr>
          <w:p>
            <w:pPr>
              <w:pStyle w:val="TableContents"/>
              <w:bidi w:val="0"/>
              <w:spacing w:before="0" w:after="283"/>
              <w:jc w:val="left"/>
              <w:rPr/>
            </w:pPr>
            <w:r>
              <w:rPr/>
              <w:t>Head of Equity Capital Markets, SA</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Underwriting Agreement]</w:t>
      </w:r>
    </w:p>
    <w:p>
      <w:pPr>
        <w:pStyle w:val="TextBody"/>
        <w:bidi w:val="0"/>
        <w:spacing w:before="0" w:after="0"/>
        <w:jc w:val="center"/>
        <w:rPr>
          <w:caps/>
        </w:rPr>
      </w:pPr>
      <w:r>
        <w:rPr>
          <w:caps/>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caps/>
        </w:rPr>
      </w:pPr>
      <w:r>
        <w:rPr>
          <w:caps/>
        </w:rPr>
        <w:t> </w:t>
      </w:r>
    </w:p>
    <w:p>
      <w:pPr>
        <w:pStyle w:val="TextBody"/>
        <w:bidi w:val="0"/>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Schedule I</w:t>
      </w:r>
    </w:p>
    <w:p>
      <w:pPr>
        <w:pStyle w:val="TextBody"/>
        <w:bidi w:val="0"/>
        <w:spacing w:before="0" w:after="0"/>
        <w:ind w:left="0" w:right="0" w:hanging="0"/>
        <w:jc w:val="right"/>
        <w:rPr>
          <w:caps/>
        </w:rPr>
      </w:pPr>
      <w:r>
        <w:rPr>
          <w:caps/>
        </w:rPr>
        <w:t> </w:t>
      </w:r>
    </w:p>
    <w:tbl>
      <w:tblPr>
        <w:tblW w:w="5619" w:type="dxa"/>
        <w:jc w:val="left"/>
        <w:tblInd w:w="0" w:type="dxa"/>
        <w:tblLayout w:type="fixed"/>
        <w:tblCellMar>
          <w:top w:w="0" w:type="dxa"/>
          <w:left w:w="0" w:type="dxa"/>
          <w:bottom w:w="28" w:type="dxa"/>
          <w:right w:w="0" w:type="dxa"/>
        </w:tblCellMar>
      </w:tblPr>
      <w:tblGrid>
        <w:gridCol w:w="4205"/>
        <w:gridCol w:w="60"/>
        <w:gridCol w:w="73"/>
        <w:gridCol w:w="1206"/>
        <w:gridCol w:w="75"/>
      </w:tblGrid>
      <w:tr>
        <w:trPr/>
        <w:tc>
          <w:tcPr>
            <w:tcW w:w="4205" w:type="dxa"/>
            <w:tcBorders>
              <w:bottom w:val="single" w:sz="12" w:space="0" w:color="000000"/>
            </w:tcBorders>
            <w:vAlign w:val="center"/>
          </w:tcPr>
          <w:p>
            <w:pPr>
              <w:pStyle w:val="TableContents"/>
              <w:bidi w:val="0"/>
              <w:spacing w:before="0" w:after="283"/>
              <w:jc w:val="left"/>
              <w:rPr>
                <w:b/>
              </w:rPr>
            </w:pPr>
            <w:r>
              <w:rPr>
                <w:b/>
              </w:rPr>
              <w:t>Underwriter</w:t>
            </w:r>
          </w:p>
        </w:tc>
        <w:tc>
          <w:tcPr>
            <w:tcW w:w="60" w:type="dxa"/>
            <w:tcBorders/>
            <w:tcMar>
              <w:bottom w:w="0" w:type="dxa"/>
            </w:tcMar>
            <w:vAlign w:val="center"/>
          </w:tcPr>
          <w:p>
            <w:pPr>
              <w:pStyle w:val="TableContents"/>
              <w:bidi w:val="0"/>
              <w:spacing w:before="0" w:after="283"/>
              <w:jc w:val="left"/>
              <w:rPr/>
            </w:pPr>
            <w:r>
              <w:rPr/>
              <w:t> </w:t>
            </w:r>
          </w:p>
        </w:tc>
        <w:tc>
          <w:tcPr>
            <w:tcW w:w="1279" w:type="dxa"/>
            <w:gridSpan w:val="2"/>
            <w:tcBorders>
              <w:bottom w:val="single" w:sz="12" w:space="0" w:color="000000"/>
            </w:tcBorders>
            <w:vAlign w:val="center"/>
          </w:tcPr>
          <w:p>
            <w:pPr>
              <w:pStyle w:val="TableContents"/>
              <w:bidi w:val="0"/>
              <w:spacing w:before="0" w:after="283"/>
              <w:jc w:val="center"/>
              <w:rPr>
                <w:b/>
              </w:rPr>
            </w:pPr>
            <w:r>
              <w:rPr>
                <w:b/>
              </w:rPr>
              <w:t>Number of</w:t>
              <w:br/>
              <w:t>Firm Shares</w:t>
              <w:br/>
              <w:t>To Be</w:t>
              <w:br/>
              <w:t>Purchased</w:t>
            </w:r>
          </w:p>
        </w:tc>
        <w:tc>
          <w:tcPr>
            <w:tcW w:w="75" w:type="dxa"/>
            <w:tcBorders/>
            <w:tcMar>
              <w:bottom w:w="0" w:type="dxa"/>
            </w:tcMar>
            <w:vAlign w:val="center"/>
          </w:tcPr>
          <w:p>
            <w:pPr>
              <w:pStyle w:val="TableContents"/>
              <w:bidi w:val="0"/>
              <w:spacing w:before="0" w:after="283"/>
              <w:jc w:val="left"/>
              <w:rPr/>
            </w:pPr>
            <w:r>
              <w:rPr/>
              <w:t> </w:t>
            </w:r>
          </w:p>
        </w:tc>
      </w:tr>
      <w:tr>
        <w:trPr/>
        <w:tc>
          <w:tcPr>
            <w:tcW w:w="4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79"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205" w:type="dxa"/>
            <w:tcBorders/>
            <w:shd w:fill="CCEEFF" w:val="clear"/>
            <w:tcMar>
              <w:bottom w:w="0" w:type="dxa"/>
            </w:tcMar>
            <w:vAlign w:val="center"/>
          </w:tcPr>
          <w:p>
            <w:pPr>
              <w:pStyle w:val="TableContents"/>
              <w:bidi w:val="0"/>
              <w:spacing w:before="0" w:after="283"/>
              <w:jc w:val="left"/>
              <w:rPr/>
            </w:pPr>
            <w:r>
              <w:rPr/>
              <w:t>UBS Securities LLC</w:t>
              <w:tab/>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06" w:type="dxa"/>
            <w:tcBorders/>
            <w:shd w:fill="CCEEFF" w:val="clear"/>
            <w:tcMar>
              <w:bottom w:w="0" w:type="dxa"/>
            </w:tcMar>
            <w:vAlign w:val="center"/>
          </w:tcPr>
          <w:p>
            <w:pPr>
              <w:pStyle w:val="TableContents"/>
              <w:bidi w:val="0"/>
              <w:spacing w:before="0" w:after="283"/>
              <w:jc w:val="right"/>
              <w:rPr/>
            </w:pPr>
            <w:r>
              <w:rPr/>
              <w:t>525,000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05" w:type="dxa"/>
            <w:tcBorders/>
            <w:shd w:fill="FFFFFF" w:val="clear"/>
            <w:tcMar>
              <w:bottom w:w="0" w:type="dxa"/>
            </w:tcMar>
            <w:vAlign w:val="center"/>
          </w:tcPr>
          <w:p>
            <w:pPr>
              <w:pStyle w:val="TableContents"/>
              <w:bidi w:val="0"/>
              <w:spacing w:before="0" w:after="283"/>
              <w:jc w:val="left"/>
              <w:rPr/>
            </w:pPr>
            <w:r>
              <w:rPr/>
              <w:t xml:space="preserve">William Blair &amp; Company, L.L.C. </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06" w:type="dxa"/>
            <w:tcBorders/>
            <w:shd w:fill="FFFFFF" w:val="clear"/>
            <w:tcMar>
              <w:bottom w:w="0" w:type="dxa"/>
            </w:tcMar>
            <w:vAlign w:val="center"/>
          </w:tcPr>
          <w:p>
            <w:pPr>
              <w:pStyle w:val="TableContents"/>
              <w:bidi w:val="0"/>
              <w:spacing w:before="0" w:after="283"/>
              <w:jc w:val="right"/>
              <w:rPr/>
            </w:pPr>
            <w:r>
              <w:rPr/>
              <w:t>318,750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05" w:type="dxa"/>
            <w:tcBorders/>
            <w:shd w:fill="CCEEFF" w:val="clear"/>
            <w:tcMar>
              <w:bottom w:w="0" w:type="dxa"/>
            </w:tcMar>
            <w:vAlign w:val="center"/>
          </w:tcPr>
          <w:p>
            <w:pPr>
              <w:pStyle w:val="TableContents"/>
              <w:bidi w:val="0"/>
              <w:spacing w:before="0" w:after="283"/>
              <w:jc w:val="left"/>
              <w:rPr/>
            </w:pPr>
            <w:r>
              <w:rPr/>
              <w:t>The Standard Bank of South Africa Limited</w:t>
              <w:tab/>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06" w:type="dxa"/>
            <w:tcBorders/>
            <w:shd w:fill="CCEEFF" w:val="clear"/>
            <w:tcMar>
              <w:bottom w:w="0" w:type="dxa"/>
            </w:tcMar>
            <w:vAlign w:val="center"/>
          </w:tcPr>
          <w:p>
            <w:pPr>
              <w:pStyle w:val="TableContents"/>
              <w:bidi w:val="0"/>
              <w:spacing w:before="0" w:after="283"/>
              <w:jc w:val="right"/>
              <w:rPr/>
            </w:pPr>
            <w:r>
              <w:rPr/>
              <w:t>281,250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05" w:type="dxa"/>
            <w:tcBorders/>
            <w:shd w:fill="FFFFFF" w:val="clear"/>
            <w:tcMar>
              <w:bottom w:w="0" w:type="dxa"/>
            </w:tcMar>
            <w:vAlign w:val="center"/>
          </w:tcPr>
          <w:p>
            <w:pPr>
              <w:pStyle w:val="TableContents"/>
              <w:bidi w:val="0"/>
              <w:spacing w:before="0" w:after="283"/>
              <w:jc w:val="left"/>
              <w:rPr/>
            </w:pPr>
            <w:r>
              <w:rPr/>
              <w:t>Raymond James &amp; Associates, Inc.</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06" w:type="dxa"/>
            <w:tcBorders/>
            <w:shd w:fill="FFFFFF" w:val="clear"/>
            <w:tcMar>
              <w:bottom w:w="0" w:type="dxa"/>
            </w:tcMar>
            <w:vAlign w:val="center"/>
          </w:tcPr>
          <w:p>
            <w:pPr>
              <w:pStyle w:val="TableContents"/>
              <w:bidi w:val="0"/>
              <w:spacing w:before="0" w:after="283"/>
              <w:jc w:val="right"/>
              <w:rPr/>
            </w:pPr>
            <w:r>
              <w:rPr/>
              <w:t>195,000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05" w:type="dxa"/>
            <w:tcBorders/>
            <w:shd w:fill="CCEEFF" w:val="clear"/>
            <w:tcMar>
              <w:bottom w:w="0" w:type="dxa"/>
            </w:tcMar>
            <w:vAlign w:val="center"/>
          </w:tcPr>
          <w:p>
            <w:pPr>
              <w:pStyle w:val="TableContents"/>
              <w:bidi w:val="0"/>
              <w:spacing w:before="0" w:after="283"/>
              <w:jc w:val="left"/>
              <w:rPr/>
            </w:pPr>
            <w:r>
              <w:rPr/>
              <w:t xml:space="preserve">Needham &amp; Company, LLC </w:t>
              <w:tab/>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06" w:type="dxa"/>
            <w:tcBorders/>
            <w:shd w:fill="CCEEFF" w:val="clear"/>
            <w:tcMar>
              <w:bottom w:w="0" w:type="dxa"/>
            </w:tcMar>
            <w:vAlign w:val="center"/>
          </w:tcPr>
          <w:p>
            <w:pPr>
              <w:pStyle w:val="TableContents"/>
              <w:bidi w:val="0"/>
              <w:spacing w:before="0" w:after="283"/>
              <w:jc w:val="right"/>
              <w:rPr/>
            </w:pPr>
            <w:r>
              <w:rPr/>
              <w:t>150,000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05" w:type="dxa"/>
            <w:tcBorders/>
            <w:shd w:fill="FFFFFF" w:val="clear"/>
            <w:tcMar>
              <w:bottom w:w="0" w:type="dxa"/>
            </w:tcMar>
            <w:vAlign w:val="center"/>
          </w:tcPr>
          <w:p>
            <w:pPr>
              <w:pStyle w:val="TableContents"/>
              <w:bidi w:val="0"/>
              <w:spacing w:before="0" w:after="283"/>
              <w:jc w:val="left"/>
              <w:rPr/>
            </w:pPr>
            <w:r>
              <w:rPr/>
              <w:t>Roth Capital Partners, LLC</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bottom w:val="single" w:sz="12" w:space="0" w:color="000000"/>
            </w:tcBorders>
            <w:shd w:fill="FFFFFF" w:val="clear"/>
            <w:vAlign w:val="center"/>
          </w:tcPr>
          <w:p>
            <w:pPr>
              <w:pStyle w:val="TableContents"/>
              <w:bidi w:val="0"/>
              <w:spacing w:before="0" w:after="283"/>
              <w:jc w:val="left"/>
              <w:rPr/>
            </w:pPr>
            <w:r>
              <w:rPr/>
              <w:t> </w:t>
            </w:r>
          </w:p>
        </w:tc>
        <w:tc>
          <w:tcPr>
            <w:tcW w:w="1206" w:type="dxa"/>
            <w:tcBorders>
              <w:bottom w:val="single" w:sz="12" w:space="0" w:color="000000"/>
            </w:tcBorders>
            <w:shd w:fill="FFFFFF" w:val="clear"/>
            <w:vAlign w:val="center"/>
          </w:tcPr>
          <w:p>
            <w:pPr>
              <w:pStyle w:val="TableContents"/>
              <w:bidi w:val="0"/>
              <w:spacing w:before="0" w:after="283"/>
              <w:jc w:val="right"/>
              <w:rPr/>
            </w:pPr>
            <w:r>
              <w:rPr/>
              <w:t>30,000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05"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bottom w:val="double" w:sz="10" w:space="0" w:color="000000"/>
            </w:tcBorders>
            <w:shd w:fill="CCEEFF" w:val="clear"/>
            <w:vAlign w:val="center"/>
          </w:tcPr>
          <w:p>
            <w:pPr>
              <w:pStyle w:val="TableContents"/>
              <w:bidi w:val="0"/>
              <w:spacing w:before="0" w:after="283"/>
              <w:jc w:val="left"/>
              <w:rPr/>
            </w:pPr>
            <w:r>
              <w:rPr/>
              <w:t> </w:t>
            </w:r>
          </w:p>
        </w:tc>
        <w:tc>
          <w:tcPr>
            <w:tcW w:w="1206" w:type="dxa"/>
            <w:tcBorders>
              <w:bottom w:val="double" w:sz="10" w:space="0" w:color="000000"/>
            </w:tcBorders>
            <w:shd w:fill="CCEEFF" w:val="clear"/>
            <w:vAlign w:val="center"/>
          </w:tcPr>
          <w:p>
            <w:pPr>
              <w:pStyle w:val="TableContents"/>
              <w:bidi w:val="0"/>
              <w:spacing w:before="0" w:after="283"/>
              <w:jc w:val="right"/>
              <w:rPr/>
            </w:pPr>
            <w:r>
              <w:rPr/>
              <w:t>1,500,000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SCHEDULE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of Sale Prospectus</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303"/>
        <w:gridCol w:w="9845"/>
      </w:tblGrid>
      <w:tr>
        <w:trPr/>
        <w:tc>
          <w:tcPr>
            <w:tcW w:w="5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1.</w:t>
            </w:r>
          </w:p>
        </w:tc>
        <w:tc>
          <w:tcPr>
            <w:tcW w:w="9845" w:type="dxa"/>
            <w:tcBorders/>
            <w:vAlign w:val="center"/>
          </w:tcPr>
          <w:p>
            <w:pPr>
              <w:pStyle w:val="TableContents"/>
              <w:bidi w:val="0"/>
              <w:spacing w:before="0" w:after="283"/>
              <w:jc w:val="left"/>
              <w:rPr/>
            </w:pPr>
            <w:r>
              <w:rPr/>
              <w:t>Basic Prospectus dated July 22, 2024 relating to the Shelf Securities.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65"/>
        <w:gridCol w:w="9890"/>
      </w:tblGrid>
      <w:tr>
        <w:trPr/>
        <w:tc>
          <w:tcPr>
            <w:tcW w:w="5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2.</w:t>
            </w:r>
          </w:p>
        </w:tc>
        <w:tc>
          <w:tcPr>
            <w:tcW w:w="9890" w:type="dxa"/>
            <w:tcBorders/>
            <w:vAlign w:val="center"/>
          </w:tcPr>
          <w:p>
            <w:pPr>
              <w:pStyle w:val="TableContents"/>
              <w:bidi w:val="0"/>
              <w:spacing w:before="0" w:after="283"/>
              <w:jc w:val="left"/>
              <w:rPr/>
            </w:pPr>
            <w:r>
              <w:rPr/>
              <w:t>Preliminary Prospectus Supplement dated June 11, 2025 relating to the Shares.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59"/>
        <w:gridCol w:w="9778"/>
      </w:tblGrid>
      <w:tr>
        <w:trPr/>
        <w:tc>
          <w:tcPr>
            <w:tcW w:w="6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3.</w:t>
            </w:r>
          </w:p>
        </w:tc>
        <w:tc>
          <w:tcPr>
            <w:tcW w:w="9778" w:type="dxa"/>
            <w:tcBorders/>
            <w:vAlign w:val="center"/>
          </w:tcPr>
          <w:p>
            <w:pPr>
              <w:pStyle w:val="TableContents"/>
              <w:bidi w:val="0"/>
              <w:spacing w:before="0" w:after="283"/>
              <w:jc w:val="left"/>
              <w:rPr/>
            </w:pPr>
            <w:r>
              <w:rPr/>
              <w:t>The price to the public per share for the Shares is $50.00.</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05"/>
        <w:gridCol w:w="9961"/>
      </w:tblGrid>
      <w:tr>
        <w:trPr/>
        <w:tc>
          <w:tcPr>
            <w:tcW w:w="3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4.</w:t>
            </w:r>
          </w:p>
        </w:tc>
        <w:tc>
          <w:tcPr>
            <w:tcW w:w="9961" w:type="dxa"/>
            <w:tcBorders/>
            <w:vAlign w:val="center"/>
          </w:tcPr>
          <w:p>
            <w:pPr>
              <w:pStyle w:val="TableContents"/>
              <w:bidi w:val="0"/>
              <w:spacing w:before="0" w:after="283"/>
              <w:jc w:val="left"/>
              <w:rPr/>
            </w:pPr>
            <w:r>
              <w:rPr/>
              <w:t>The number of Firm Shares purchased by the Underwriters from the Selling Shareholder is 1,500,000.</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UBS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Blair &amp; Company,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Standard Bank of South Africa Limited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1320"/>
        <w:gridCol w:w="8721"/>
      </w:tblGrid>
      <w:tr>
        <w:trPr/>
        <w:tc>
          <w:tcPr>
            <w:tcW w:w="164"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pPr>
            <w:r>
              <w:rPr/>
              <w:t>c/o</w:t>
            </w:r>
          </w:p>
        </w:tc>
        <w:tc>
          <w:tcPr>
            <w:tcW w:w="8721" w:type="dxa"/>
            <w:tcBorders/>
            <w:vAlign w:val="center"/>
          </w:tcPr>
          <w:p>
            <w:pPr>
              <w:pStyle w:val="TableContents"/>
              <w:bidi w:val="0"/>
              <w:spacing w:before="0" w:after="283"/>
              <w:jc w:val="left"/>
              <w:rPr/>
            </w:pPr>
            <w:r>
              <w:rPr/>
              <w:t>UBS Securities LLC</w:t>
            </w:r>
          </w:p>
        </w:tc>
      </w:tr>
    </w:tbl>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 Avenue of the Americas</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ind w:left="0" w:right="0" w:hanging="0"/>
        <w:jc w:val="left"/>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305"/>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c/o</w:t>
            </w:r>
          </w:p>
        </w:tc>
        <w:tc>
          <w:tcPr>
            <w:tcW w:w="3305" w:type="dxa"/>
            <w:tcBorders/>
            <w:vAlign w:val="center"/>
          </w:tcPr>
          <w:p>
            <w:pPr>
              <w:pStyle w:val="TableContents"/>
              <w:bidi w:val="0"/>
              <w:spacing w:before="0" w:after="283"/>
              <w:jc w:val="both"/>
              <w:rPr/>
            </w:pPr>
            <w:r>
              <w:rPr/>
              <w:t>William Blair &amp; Company, L.L.C.</w:t>
            </w:r>
          </w:p>
        </w:tc>
      </w:tr>
    </w:tbl>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North Riverside Plaza</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Illinois 60606</w:t>
      </w:r>
    </w:p>
    <w:p>
      <w:pPr>
        <w:pStyle w:val="TextBody"/>
        <w:bidi w:val="0"/>
        <w:spacing w:before="0" w:after="0"/>
        <w:ind w:left="0" w:right="0" w:hanging="0"/>
        <w:jc w:val="left"/>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38"/>
        <w:gridCol w:w="305"/>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c/o</w:t>
            </w:r>
          </w:p>
        </w:tc>
        <w:tc>
          <w:tcPr>
            <w:tcW w:w="4205" w:type="dxa"/>
            <w:tcBorders/>
            <w:vAlign w:val="center"/>
          </w:tcPr>
          <w:p>
            <w:pPr>
              <w:pStyle w:val="TableContents"/>
              <w:bidi w:val="0"/>
              <w:spacing w:before="0" w:after="283"/>
              <w:jc w:val="both"/>
              <w:rPr/>
            </w:pPr>
            <w:r>
              <w:rPr/>
              <w:t>The Standard Bank of South Africa Limited</w:t>
            </w:r>
          </w:p>
        </w:tc>
      </w:tr>
    </w:tbl>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Baker Street, Rosebank</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Johannesburg, 2196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UBS Securities LLC, William Blair &amp; Company, L.L.C. and The Standard Bank of South Africa Limited (together, the “</w:t>
      </w:r>
      <w:r>
        <w:rPr>
          <w:rFonts w:ascii="Times New Roman;Times;Serif" w:hAnsi="Times New Roman;Times;Serif"/>
          <w:b/>
          <w:i w:val="false"/>
          <w:caps w:val="false"/>
          <w:smallCaps w:val="false"/>
          <w:sz w:val="20"/>
        </w:rPr>
        <w:t>Representative</w:t>
      </w:r>
      <w:r>
        <w:rPr>
          <w:rFonts w:ascii="Times New Roman;Times;Serif" w:hAnsi="Times New Roman;Times;Serif"/>
          <w:b w:val="false"/>
          <w:i w:val="false"/>
          <w:caps w:val="false"/>
          <w:smallCaps w:val="false"/>
          <w:sz w:val="20"/>
        </w:rPr>
        <w:t>s”) propose to enter into an Underwriting Agreement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with Karooooo Ltd., a public limited company under the laws of the Republic of Singapore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Isaias Jose Calisto (the “</w:t>
      </w:r>
      <w:r>
        <w:rPr>
          <w:rFonts w:ascii="Times New Roman;Times;Serif" w:hAnsi="Times New Roman;Times;Serif"/>
          <w:b/>
          <w:i w:val="false"/>
          <w:caps w:val="false"/>
          <w:smallCaps w:val="false"/>
          <w:sz w:val="20"/>
        </w:rPr>
        <w:t>Selling Shareholder</w:t>
      </w:r>
      <w:r>
        <w:rPr>
          <w:rFonts w:ascii="Times New Roman;Times;Serif" w:hAnsi="Times New Roman;Times;Serif"/>
          <w:b w:val="false"/>
          <w:i w:val="false"/>
          <w:caps w:val="false"/>
          <w:smallCaps w:val="false"/>
          <w:sz w:val="20"/>
        </w:rPr>
        <w:t>”) providing for the public offering (the “</w:t>
      </w:r>
      <w:r>
        <w:rPr>
          <w:rFonts w:ascii="Times New Roman;Times;Serif" w:hAnsi="Times New Roman;Times;Serif"/>
          <w:b/>
          <w:i w:val="false"/>
          <w:caps w:val="false"/>
          <w:smallCaps w:val="false"/>
          <w:sz w:val="20"/>
        </w:rPr>
        <w:t>Public Offering</w:t>
      </w:r>
      <w:r>
        <w:rPr>
          <w:rFonts w:ascii="Times New Roman;Times;Serif" w:hAnsi="Times New Roman;Times;Serif"/>
          <w:b w:val="false"/>
          <w:i w:val="false"/>
          <w:caps w:val="false"/>
          <w:smallCaps w:val="false"/>
          <w:sz w:val="20"/>
        </w:rPr>
        <w:t>”) by the several Underwriters, including the Representatives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of ordinary shares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no par value, of the Company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induce the Underwriters that may participate in the Public Offering to continue their efforts in connection with the Public Offering, the undersigned hereby agrees that, without the prior written consent of UBS Securities LLC and William Blair &amp; Company, L.L.C. on behalf of the Underwriters, it will not, and will not publicly disclose an intention to, during the period commencing on the date hereof and ending 90 days after the date of the final prospectus (the “</w:t>
      </w:r>
      <w:r>
        <w:rPr>
          <w:rFonts w:ascii="Times New Roman;Times;Serif" w:hAnsi="Times New Roman;Times;Serif"/>
          <w:b/>
          <w:i w:val="false"/>
          <w:caps w:val="false"/>
          <w:smallCaps w:val="false"/>
          <w:sz w:val="20"/>
        </w:rPr>
        <w:t>Restricted Period”</w:t>
      </w:r>
      <w:r>
        <w:rPr>
          <w:rFonts w:ascii="Times New Roman;Times;Serif" w:hAnsi="Times New Roman;Times;Serif"/>
          <w:b w:val="false"/>
          <w:i w:val="false"/>
          <w:caps w:val="false"/>
          <w:smallCaps w:val="false"/>
          <w:sz w:val="20"/>
        </w:rPr>
        <w:t>) relating to the Public Offering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(1) offer, pledge, sell, contract to sell, sell any option or contract to purchase, purchase any option or contract to sell, grant any option, right or warrant to purchase, lend, or otherwise transfer or dispose of, directly or indirectly, any Ordinary Shares beneficially owned (as such term is used in Rule 13d-3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by the undersigned or any other securities so owned convertible into or exercisable or exchangeable for Ordinary Shares or (2) enter into any swap or other arrangement that transfers to another, in whole or in part, any of the economic consequences of ownership of the Ordinary Shares, whether any such transaction described in clause (1) or (2) above is to be settled by delivery of Ordinary Shares or such other securities, in cash or otherwise. The undersigned acknowledges and agrees that the foregoing precludes the undersigned from engaging in any hedging or other transactions designed or intended, or which could reasonably be expected to lead to or result in, a sale or disposition of any Ordinary Shares, or securities convertible into or exercisable or exchangeable for Ordinary Shares, even if any such sale or disposition transaction or transactions would be made or executed by or on behalf of someone other than the undersigned.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terms of this Letter Agreement shall not apply to or prohibit: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transactions relating to Ordinary Shares or other securities acquired in open market transactions after the completion of the Public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transfers of Ordinary Shares or any security convertible into Ordinary Shares (i) as a bona fide gift, or for bona fide estate planning purposes, upon death or by will, testamentary document or intestate succession, (ii) to an immediate family member of the undersigned or to any trust for the direct or indirect benefit of the undersigned or the immediate family of the undersigned (for purposes of this agreement, “immediate family” shall mean any relationship by blood, marriage or adoption, not more remote than first cousin, including lineal descendants of the undersigned), (iii) not involving a change in beneficial ownership, or (iv) if the undersigned is a trust, to any beneficiary of the undersigned or the estate of any such beneficiary;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distributions, transfers or dispositions of Ordinary Shares or any security convertible into or exercisable or exchangeable for Ordinary Shares as part of a distribution, transfer or disposition without consideration by the undersigned to its stockholders, current or former partners (general or limited), members, beneficiaries or other equity holders, or to the estates of any such stockholders, partners, beneficiaries or other equity holders, or to another business entity that is an affiliate (as defined in Rule 405 promulgated under the Securities Act of 1933, as amended) of the undersigned, or to any investment fund or other entity controlling or managing, controlled or managed by, or under common control with, the undersigned or affiliates of the undersigned;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sales of Ordinary Shares pursuant to the terms of the Underwriting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facilitating the establishment of a trading plan on behalf of a shareholder, officer or director of the Company pursuant to Rule 10b5-1 under the Exchange Act for the transfer of Ordinary Shares (a “</w:t>
      </w:r>
      <w:r>
        <w:rPr>
          <w:rFonts w:ascii="Times New Roman;Times;Serif" w:hAnsi="Times New Roman;Times;Serif"/>
          <w:b/>
          <w:i w:val="false"/>
          <w:caps w:val="false"/>
          <w:smallCaps w:val="false"/>
          <w:sz w:val="20"/>
        </w:rPr>
        <w:t>10b5-1 Plan</w:t>
      </w:r>
      <w:r>
        <w:rPr>
          <w:rFonts w:ascii="Times New Roman;Times;Serif" w:hAnsi="Times New Roman;Times;Serif"/>
          <w:b w:val="false"/>
          <w:i w:val="false"/>
          <w:caps w:val="false"/>
          <w:smallCaps w:val="false"/>
          <w:sz w:val="20"/>
        </w:rPr>
        <w:t>”), provided that (i) such 10b5-1 Plan does not provide for the transfer of Ordinary Shares during the Restricted Period (except as otherwise allowed pursuant to clause (f) below) and (ii) to the extent a public announcement or filing under the Exchange Act, if any, is required of or voluntarily made by or on behalf of the undersigned or the Company regarding the establishment of such 10b5-1 Plan, such announcement or filing shall include a statement to the effect that no transfer of Ordinary Shares may be made under such 10b5-1 Plan during the Restricted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transfer of Ordinary Shares or any security convertible into or exercisable or exchangeable for Ordinary Shares that occurs by operation of law pursuant to a qualified domestic order in connection with a divorce settlement or other court order;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transfer of Ordinary Shares or any security convertible into or exercisable or exchangeable for Ordinary Shares to the Company pursuant to arrangements under which the Company has the option to repurchase such securities or a right of first refusal with respect to transfers of such securities; 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transfer of Ordinary Shares or any security convertible into or exercisable or exchangeable for Ordinary Shares in connection with a bona fide third-party tender offer, merger, consolidation or other similar transaction, that is approved by the Board of Directors of the Company, made to all holders of Ordinary Shares involving a Change of Control (as defined below),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that the tender offer, merger, consolidation or other such transaction is not completed, the Ordinary Shares owned by the undersigned shall remain subject to the restrictions contained in this agreement. For the purposes of this clause (h), “</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the transfer (whether by tender offer, merger, consolidation or other similar transaction), in one transaction or a series of related transactions, to a person or group of affiliated persons (other than the Underwriters pursuant to the Public Offering), of Ordinary Shares or any securities convertible into or exercisable or exchangeable for Ordinary Shares if, after such transfer, such person or group becomes the beneficial owner (as defined in Rules 13d-3 and 13d-5 of the Exchange Act) of at least 90% of total voting power of the voting stock of the Company (or the surviving entity);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any transfer pursuant to clause (a), no filing by any party under the Exchange Act (or the equivalent thereof in non-U.S. jurisdictions), or other public announcement shall be required or shall be made voluntarily in connection with such transfer during the Restricted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in the case of any transfer or distribution pursuant to clause (b) or (c), (i) each donee or distributee shall sign and deliver a lock-up agreement substantially in the form of this agreement and (ii) no filings by any party (donor, donee, transferor or transferee) under the Exchange Act (or the equivalent thereof in non-U.S. jurisdictions) shall be made voluntarily in connection with such transfer or distribution during the Restricted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in the case of any transfer or distribution pursuant to clause (f), each transferee shall sign and deliver a lock-up agreement substantially in the form of this agreement and (ii) no filing by any party (transferor or transferee) under the Exchange Act (or the equivalent thereof in non-U.S. jurisdictions), or other public announcement shall be required or shall be made voluntarily in connection with such transfer or distribution during the Restricted Period, unless such filing is required and clearly indicates in the footnotes thereto that the transfer is by operation of law, court order, or in connection with a divorce settlement;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in the case of any transfer pursuant to clause (g), no filing by any party (transferor or transferee) under the Exchange Act (or the equivalent thereof in non-U.S. jurisdictions), or other public announcement shall be required or shall be made voluntarily in connection with such transfer during the Restricted Period, unless such filing is required and clearly indicates in the footnotes thereto in that the transfer is in connection with a repurchase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undersigned agrees that, without the prior written consent of UBS Securities LLC and William Blair &amp; Company, L.L.C. on behalf of the Underwriters, it will not, during the Restricted Period, make any demand for or exercise any right with respect to, the registration of any Ordinary Shares or any security convertible into or exercisable or exchangeable for Ordinary Shares. The undersigned also agrees and consents to the entry of stop transfer instructions with the Company’s transfer agent and registrar against the transfer of the undersigned’s Ordinary Shares except in compliance with the foregoing restrictions.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consents to receipt of this agreement in electronic form and understand and agree that this letter agreement may be signed electronically. If any signature is delivered by facsimile transmission, electronic mail, or otherwise by electronic transmission evidencing an intent to sign this agreement (including any electronic signature complying with the U.S. federal ESIGN Act of 2000, e.g., www.docusign.com), such facsimile transmission, electronic mail or other electronic transmission shall create a valid and binding obligation of the undersigned with the same force and effect as if such signature were an original. Execution and delivery of this agreement by facsimile transmission, electronic mail or other electronic transmission is legal, valid and binding for all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the Company, the Selling Shareholder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Public Offering actually occurs depends on a number of factors, including market conditions. Any Public Offering will only be made pursuant to an Underwriting Agreement, the terms of which are subject to negotiation between the Company, the Selling Shareholder and the Underwriters.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herein, this agreement will automatically terminate and the undersigned will be released from all obligations hereunder upon the earliest to occur, if any, of (i) the Company or the Selling Shareholder, on the one hand, or all of the Representatives, on the other hand, advises in writing that it has determined not to proceed with the Public Offering prior to the execution of the Underwriting Agreement, (ii) the Company files an application with the Securities and Exchange Commission to withdraw the registration statement related to the Public Offering, (iii) the date the Underwriting Agreement (other than the provisions thereof which survive termination) shall terminate or be terminated prior to payment for and delivery of the Securities to be sold thereunder, or (iv) September 30, 2025, if the Underwriting Agreement has not been executed by such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the State of New York.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w:t>
      </w:r>
    </w:p>
    <w:p>
      <w:pPr>
        <w:pStyle w:val="TextBody"/>
        <w:bidi w:val="0"/>
        <w:spacing w:before="0" w:after="0"/>
        <w:ind w:left="0" w:right="0" w:firstLine="720"/>
        <w:jc w:val="left"/>
        <w:rPr>
          <w:caps w:val="false"/>
          <w:smallCaps w:val="false"/>
        </w:rPr>
      </w:pPr>
      <w:r>
        <w:rPr>
          <w:caps w:val="false"/>
          <w:smallCaps w:val="false"/>
        </w:rPr>
        <w:t> </w:t>
      </w:r>
    </w:p>
    <w:tbl>
      <w:tblPr>
        <w:tblW w:w="1730" w:type="dxa"/>
        <w:jc w:val="left"/>
        <w:tblInd w:w="0" w:type="dxa"/>
        <w:tblLayout w:type="fixed"/>
        <w:tblCellMar>
          <w:top w:w="0" w:type="dxa"/>
          <w:left w:w="0" w:type="dxa"/>
          <w:bottom w:w="0" w:type="dxa"/>
          <w:right w:w="0" w:type="dxa"/>
        </w:tblCellMar>
      </w:tblPr>
      <w:tblGrid>
        <w:gridCol w:w="75"/>
        <w:gridCol w:w="1655"/>
      </w:tblGrid>
      <w:tr>
        <w:trPr/>
        <w:tc>
          <w:tcPr>
            <w:tcW w:w="75"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(Address)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08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108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OPINION OF U.S. COMPANY AND SELLING SHAREHOLDER COUNSEL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8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OPINION OF COMPANY SINGAPORE COUNSEL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w:t>
      </w:r>
    </w:p>
    <w:p>
      <w:pPr>
        <w:pStyle w:val="TextBody"/>
        <w:bidi w:val="0"/>
        <w:spacing w:before="0" w:after="283"/>
        <w:jc w:val="left"/>
        <w:rPr/>
      </w:pPr>
      <w:r>
        <w:rPr/>
        <w:t> </w:t>
      </w:r>
    </w:p>
    <w:p>
      <w:pPr>
        <w:pStyle w:val="TextBody"/>
        <w:bidi w:val="0"/>
        <w:jc w:val="right"/>
        <w:rPr>
          <w:b/>
        </w:rPr>
      </w:pPr>
      <w:bookmarkStart w:id="4" w:name="ea024551701ex99-1_karooooo.htm"/>
      <w:bookmarkStart w:id="5" w:name="ksea024551701ex991_karooooo"/>
      <w:bookmarkEnd w:id="4"/>
      <w:bookmarkEnd w:id="5"/>
      <w:r>
        <w:rPr>
          <w:b/>
        </w:rPr>
        <w:t>Exhibit 99.1</w:t>
      </w:r>
      <w:r>
        <w:br w:type="page"/>
      </w:r>
    </w:p>
    <w:p>
      <w:pPr>
        <w:pStyle w:val="TextBody"/>
        <w:bidi w:val="0"/>
        <w:spacing w:before="0" w:after="283"/>
        <w:jc w:val="left"/>
        <w:rPr/>
      </w:pPr>
      <w:r>
        <w:rPr/>
        <w:t> </w:t>
      </w:r>
    </w:p>
    <w:p>
      <w:pPr>
        <w:pStyle w:val="TextBody"/>
        <w:bidi w:val="0"/>
        <w:jc w:val="center"/>
        <w:rPr/>
      </w:pPr>
      <w:r>
        <w:rPr/>
        <w:drawing>
          <wp:inline distT="0" distB="0" distL="0" distR="0">
            <wp:extent cx="2762250"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2762250" cy="781050"/>
                    </a:xfrm>
                    <a:prstGeom prst="rect">
                      <a:avLst/>
                    </a:prstGeom>
                  </pic:spPr>
                </pic:pic>
              </a:graphicData>
            </a:graphic>
          </wp:inline>
        </w:drawing>
      </w:r>
    </w:p>
    <w:p>
      <w:pPr>
        <w:pStyle w:val="TextBody"/>
        <w:bidi w:val="0"/>
        <w:jc w:val="center"/>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 Announces Pricing of Secondary Public Offering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SINGAPORE, June 12, 2025</w:t>
      </w:r>
      <w:r>
        <w:rPr>
          <w:rFonts w:ascii="Times New Roman;Times;Serif" w:hAnsi="Times New Roman;Times;Serif"/>
          <w:b w:val="false"/>
          <w:i w:val="false"/>
          <w:caps w:val="false"/>
          <w:smallCaps w:val="false"/>
          <w:sz w:val="20"/>
        </w:rPr>
        <w:t xml:space="preserve"> Karooooo Ltd. (“Karooooo”) announced the pricing of an underwritten secondary public offering (the “Offering”) of 1,500,000 ordinary shares held by Isaias (Zak) Jose Calisto, Karooooo’s chief executive officer (the “Selling Shareholder”), at a price to the public of $50.00 per ordinary share (the “public offering price”) for total gross proceeds of approximately $75.0 million. The Offering is expected to close on June 13, 2025, subject to customary closing conditions. In addition, the underwriters of the Offering will have a 30-day option to purchase up to an additional 225,000 ordinary shares from the Selling Shareholder at the public offering price. Karooooo’s ordinary shares are listed on the Nasdaq Capital Market under the symbol “KARO.”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is not selling any ordinary shares in the Offering and will not receive any of the proceeds from the sale of any ordinary shares by the Selling Shareholder, but will bear the costs associated with the sale of such shares, other than any underwriting commissions, which will be borne by the Selling Shareholder.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completion of the Offering, the Selling Shareholder will continue to beneficially own 17,917,958 ordinary shares, or 58.00% (or 17,692,958 ordinary shares, or 57.27% if the option to purchase additional shares is exercised in full) of the 30,893,300 ordinary shares issued and outstanding. In addition, Juan Marais, the Chief Sales Officer of Karooooo, is the beneficial owner of 3,250,793 ordinary shares, or 10.52% of the issued and outstanding shares of Karooooo, through One Spire (Pty) Ltd. (“One Spire”). The Selling Shareholder and One Spire have agreed that if the Selling Shareholder’s beneficial ownership falls to below 51% of the issued and outstanding shares of Karooooo, then One Spire will cast all votes in respect of the ordinary shares that One Spire beneficially owns as directed by the Selling Shareholder.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UBS Investment Bank, William Blair and Standard Bank are acting as joint active lead book-running managers for the Offering. Raymond James is acting as a joint book-running manager for the Offering. Needham &amp; Company is acting as lead manager. Roth Capital Partners is acting as a co-manager for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on Form F-3 relating to these securities has been filed with the Securities and Exchange Commission (the “SEC”) and was declared effective by the SEC on July 22, 2024. The Offering is being made only by means of a prospectus and an accompanying prospectus supplement. Before investing, prospective investors should read the prospectus, any accompanying prospectus supplement related to the Offering and the documents incorporated by reference therein for more complete information. Copies of these documents, including the final prospectus supplement, when available, may be obtained at no charge on the SEC’s website at www.sec.gov. Alternatively, copies of the preliminary prospectus supplement, the final prospectus supplement, when available, and the accompanying prospectus may be obtained by contacting UBS Securities LLC at 1285 6th Ave, New York, NY 10019, William Blair &amp; Company, L.L.C., Attention: Prospectus Department, 150 North Riverside Plaza, Chicago, Illinois 60606, by telephone at (800) 621-0687 or by email at prospectus@williamblair.com or The Standard Bank of South Africa Limited at 30 Baker Street, Rosebank, Johannesburg, South Africa 2196 or by telephone at +27 (0)11 344 5725.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Karooooo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digitally transforms physical operations by simplifying decision making. Through its cloud platform, Karooooo empowers businesses to conquer operations including fleet maintenance, fuel management and asset utilization, workforce management, logistics, safety, compliance, risk and environmental impact. Karooooo’s differentiated insights and analytics simplify day-to-day operations and enable businesses to decrease costs, increase efficiency, improve safety and strengthen workforce and customer satisfaction.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is headquartered in Singapore and services more than 125,000 commercial customers and more than 2,300,000 active subscribers in more than 20 countries globally, as of February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media@karooooo.com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Karooooo</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8102/000101376224000194/ea0209268-01.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24399</Words>
  <Characters>128539</Characters>
  <CharactersWithSpaces>152994</CharactersWithSpaces>
  <Paragraphs>836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