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185420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For the month of January, 2023</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Commission File Number: 001-40300</w:t>
      </w: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1 Harbourfront Avenue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Keppel Bay Tower #14-07</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Singapore 098632</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+65 6255 4151</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3" w:lineRule="exact"/>
        <w:rPr>
          <w:sz w:val="24"/>
          <w:szCs w:val="24"/>
          <w:color w:val="auto"/>
        </w:rPr>
      </w:pPr>
    </w:p>
    <w:p>
      <w:pPr>
        <w:ind w:left="4340"/>
        <w:spacing w:after="0" w:line="196" w:lineRule="exact"/>
        <w:tabs>
          <w:tab w:leader="none" w:pos="5220" w:val="left"/>
          <w:tab w:leader="none" w:pos="5840" w:val="left"/>
          <w:tab w:leader="none" w:pos="6740" w:val="left"/>
        </w:tabs>
        <w:rPr>
          <w:sz w:val="20"/>
          <w:szCs w:val="20"/>
          <w:color w:val="auto"/>
        </w:rPr>
      </w:pPr>
      <w:r>
        <w:rPr>
          <w:rFonts w:ascii="Times New Roman" w:cs="Times New Roman" w:eastAsia="Times New Roman" w:hAnsi="Times New Roman"/>
          <w:sz w:val="17"/>
          <w:szCs w:val="17"/>
          <w:color w:val="auto"/>
        </w:rPr>
        <w:t>Form 20-F</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Form 40-F</w:t>
      </w:r>
      <w:r>
        <w:rPr>
          <w:sz w:val="20"/>
          <w:szCs w:val="20"/>
          <w:color w:val="auto"/>
        </w:rPr>
        <w:tab/>
      </w:r>
      <w:r>
        <w:rPr>
          <w:rFonts w:ascii="MS PGothic" w:cs="MS PGothic" w:eastAsia="MS PGothic" w:hAnsi="MS PGothic"/>
          <w:sz w:val="14"/>
          <w:szCs w:val="14"/>
          <w:color w:val="auto"/>
        </w:rPr>
        <w:t>☐</w:t>
      </w:r>
    </w:p>
    <w:p>
      <w:pPr>
        <w:spacing w:after="0" w:line="2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186690</wp:posOffset>
            </wp:positionV>
            <wp:extent cx="71405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589915</wp:posOffset>
            </wp:positionV>
            <wp:extent cx="71405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39"/>
          </w:cols>
          <w:pgMar w:left="320" w:top="48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1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15240</wp:posOffset>
            </wp:positionV>
            <wp:extent cx="256540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5400" cy="1587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Isaias (Zak) Jose Calisto</w:t>
      </w:r>
    </w:p>
    <w:p>
      <w:pPr>
        <w:spacing w:after="0" w:line="23"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19, 2023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80" w:type="dxa"/>
            <w:vAlign w:val="bottom"/>
            <w:gridSpan w:val="2"/>
          </w:tcPr>
          <w:p>
            <w:pPr>
              <w:jc w:val="center"/>
              <w:ind w:right="13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13"/>
        </w:trPr>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880" w:type="dxa"/>
            <w:vAlign w:val="bottom"/>
            <w:gridSpan w:val="2"/>
          </w:tcPr>
          <w:p>
            <w:pPr>
              <w:ind w:left="45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3"/>
        </w:trPr>
        <w:tc>
          <w:tcPr>
            <w:tcW w:w="124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0000EE"/>
              </w:rPr>
              <w:t>Press release, dated January 19, 2023 - Karooooo Ltd. Announces Third Quarter 2023 Unaudited Financial Results</w:t>
            </w:r>
          </w:p>
        </w:tc>
      </w:tr>
      <w:tr>
        <w:trPr>
          <w:trHeight w:val="615"/>
        </w:trPr>
        <w:tc>
          <w:tcPr>
            <w:tcW w:w="12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780" w:type="dxa"/>
            <w:vAlign w:val="bottom"/>
            <w:tcBorders>
              <w:top w:val="single" w:sz="8" w:color="0000EE"/>
              <w:bottom w:val="single" w:sz="8" w:color="auto"/>
            </w:tcBorders>
          </w:tcPr>
          <w:p>
            <w:pPr>
              <w:jc w:val="right"/>
              <w:ind w:right="3395"/>
              <w:spacing w:after="0"/>
              <w:rPr>
                <w:sz w:val="20"/>
                <w:szCs w:val="20"/>
                <w:color w:val="auto"/>
              </w:rPr>
            </w:pPr>
            <w:r>
              <w:rPr>
                <w:rFonts w:ascii="Times New Roman" w:cs="Times New Roman" w:eastAsia="Times New Roman" w:hAnsi="Times New Roman"/>
                <w:sz w:val="17"/>
                <w:szCs w:val="17"/>
                <w:color w:val="auto"/>
              </w:rPr>
              <w:t>2</w:t>
            </w:r>
          </w:p>
        </w:tc>
        <w:tc>
          <w:tcPr>
            <w:tcW w:w="2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5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147320</wp:posOffset>
            </wp:positionV>
            <wp:extent cx="1064895" cy="581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489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SINGAPORE (January 19, 2023) - Karooooo Limited (“Karooooo”) reported solid results for the third quarter (“Q3 2023”), ended November 30, 2022. Karooooo owns 100% of Cartrack, 100% of Carzuka and 70.1% of Karooooo Logistics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(collectively, the “group”).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performance extends the group’s decade-plus track record of strong growth at scale, profitability and cash generation, in varying macro-economic environments.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entrepreneurial culture supports exceptional agility, customer centricity and ability to innovate, which underpins this success.</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Based on our proven business model, strong financial position and investment in future growth, we are leaving our outlook for growth in 2023 unchanged despite intensifying macro-economic uncertainty.</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Q3 2023, Karooooo’s total revenue grew 29% to ZAR930 million (Q3 2022: ZAR720 million). As expected, after substantial investment for future growth in all our segments, earnings per share for the period were similar to last year, at ZAR4.70 (Q3 2022: ZAR4.72). Strong and record free cash flow generation from our profitable SaaS business model continued to bolster our quality balance sheet, with net cash and cash equivalents at the end of November 2022 at ZAR819 million (Q3 2022: ZAR799 million). A cash dividend of USD18.6 million (USD0.60 per share) was paid to shareholders in the quarter.</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intellectual capital vests in our understanding that business operations rely heavily on systems, processes and actionable business intelligence. Karooooo’s leading connected cloud (“Operations Cloud”) enables customers to develop effective controls and workflows to digitalize critical elements of their day-to-day operations, on one enterprise-grade platform. This unified products platform supports our customers in better strategic decision-making and operational execution.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digital transformation of our customers’ operations eliminates inefficient processes and enables wide-ranging improvements in operational performance. Karooooo’s Operations Cloud collects and contextualizes over 120 billion data points per month through system integrations, workforce tools and advanced telemetry and video-based Internet of Things (“IoT”) devices. This intelligence empowers customers with insights that deliver real business impact.</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harness our leading technology to transform complex analytics into practical and easy-to-use tools that simplify day-to-day decision-making. Our customers yield significant short- and long-term benefits making them more competitive in their diverse industries.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Valuable benefits that create market demand for our offering include:</w:t>
      </w:r>
    </w:p>
    <w:p>
      <w:pPr>
        <w:spacing w:after="0" w:line="211" w:lineRule="exact"/>
        <w:rPr>
          <w:sz w:val="20"/>
          <w:szCs w:val="20"/>
          <w:color w:val="auto"/>
        </w:rPr>
      </w:pPr>
    </w:p>
    <w:p>
      <w:pPr>
        <w:ind w:left="620" w:hanging="313"/>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fuel, maintenance and all other fleet and mobility related costs</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driver and in-field service worker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176530</wp:posOffset>
            </wp:positionV>
            <wp:extent cx="17830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5875"/>
                    </a:xfrm>
                    <a:prstGeom prst="rect">
                      <a:avLst/>
                    </a:prstGeom>
                    <a:noFill/>
                  </pic:spPr>
                </pic:pic>
              </a:graphicData>
            </a:graphic>
          </wp:anchor>
        </w:drawing>
      </w:r>
    </w:p>
    <w:p>
      <w:pPr>
        <w:spacing w:after="0" w:line="228"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Following the consolidation of platforms, Picup was re-named Karooooo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403860</wp:posOffset>
            </wp:positionV>
            <wp:extent cx="714057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efficiencies and controls in supply chain management</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driver and worksite security and safety</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Leaner back-office teams (automated data entries and reporting)</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Better customer service (accurate billing, high quality service delivery, quicker query response times etc.)</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Robust risk management and regulatory compliance</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Environmental, Social and Governance (“ESG”) management and reporting</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Karooooo now empowers over 100,000 diverse commercial customers (Q3 2022: 87,000+) in solving their day-to-day challenges. Our Operations Cloud enjoys a high rate of successful implementation and strong customer retention across businesses of varying sizes in diverse geographical markets and industries. They include logistics, field-service-maintenance, transport, finance, mining, agriculture and emergency services.</w:t>
      </w:r>
    </w:p>
    <w:p>
      <w:pPr>
        <w:spacing w:after="0" w:line="1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Assessing the Q3 2023 results, </w:t>
      </w:r>
      <w:r>
        <w:rPr>
          <w:rFonts w:ascii="Times New Roman" w:cs="Times New Roman" w:eastAsia="Times New Roman" w:hAnsi="Times New Roman"/>
          <w:sz w:val="17"/>
          <w:szCs w:val="17"/>
          <w:b w:val="1"/>
          <w:bCs w:val="1"/>
          <w:color w:val="auto"/>
        </w:rPr>
        <w:t>Zak Calisto, CEO and Founder</w:t>
      </w:r>
      <w:r>
        <w:rPr>
          <w:rFonts w:ascii="Times New Roman" w:cs="Times New Roman" w:eastAsia="Times New Roman" w:hAnsi="Times New Roman"/>
          <w:sz w:val="17"/>
          <w:szCs w:val="17"/>
          <w:color w:val="auto"/>
        </w:rPr>
        <w:t>, said: “We believe our vertically integrated business model and constant focus on product improvement and innovation differentiates us markedly from our peers. This should keep us competitive and reinforce our long-term success.</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now have over 100,000 active commercial customers digitalizing and optimizing their operations on Karooooo’s Operations Cloud. We have minimal customer or industry concentration risk and pride ourselves on consistent and strong subscription revenue growth.”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2023 Financial Overview (Unaudited)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(Comparisons are relative to Q3 2022, unless otherwise stated)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SCALE</w:t>
      </w:r>
    </w:p>
    <w:p>
      <w:pPr>
        <w:spacing w:after="0" w:line="215" w:lineRule="exact"/>
        <w:rPr>
          <w:sz w:val="20"/>
          <w:szCs w:val="20"/>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1,678,606 Cartrack subscribers at November 30, 2022, up 14% (Q3 2022: 1,470,385)</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Cartrack subscriber additions of 78,593, up 27% (Q3 2022: 61,776)</w:t>
      </w:r>
    </w:p>
    <w:p>
      <w:pPr>
        <w:spacing w:after="0" w:line="2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Strong demand from small to large enterprises supported growth in subscribers (connected vehicles and equipment on our platform). This reflects the need to improve compliance functions and digitally transform their businesses to become more efficient and competitive.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Cartrack’s record net subscriber additions for Q3 2023 exceeded 78,000, which is well above that recorded for any prior quarter.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GROWTH</w:t>
      </w:r>
    </w:p>
    <w:p>
      <w:pPr>
        <w:spacing w:after="0" w:line="215" w:lineRule="exact"/>
        <w:rPr>
          <w:sz w:val="20"/>
          <w:szCs w:val="20"/>
          <w:color w:val="auto"/>
        </w:rPr>
      </w:pPr>
    </w:p>
    <w:p>
      <w:pPr>
        <w:ind w:left="620" w:hanging="31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increased 29% to ZAR930 million (Q3 2022: ZAR720 million)</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increased 28% on a constant currency basis (a non-IFRS measure)</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revenue increased 16% to ZAR772 million (Q3 2022: ZAR664 million)</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revenue increased 15% on a constant currency basis (a non-IFRS measure)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29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Third Quarter 2023 Financial Overview</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460" w:type="dxa"/>
            <w:vAlign w:val="bottom"/>
            <w:gridSpan w:val="9"/>
          </w:tcPr>
          <w:p>
            <w:pPr>
              <w:spacing w:after="0"/>
              <w:rPr>
                <w:sz w:val="20"/>
                <w:szCs w:val="20"/>
                <w:color w:val="auto"/>
              </w:rPr>
            </w:pPr>
            <w:r>
              <w:rPr>
                <w:rFonts w:ascii="Times New Roman" w:cs="Times New Roman" w:eastAsia="Times New Roman" w:hAnsi="Times New Roman"/>
                <w:sz w:val="17"/>
                <w:szCs w:val="17"/>
                <w:i w:val="1"/>
                <w:iCs w:val="1"/>
                <w:color w:val="auto"/>
              </w:rPr>
              <w:t>Supplemental Financial Information and Business Metrics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w w:val="98"/>
              </w:rPr>
              <w:t>Three Months Ended November 30,</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Cartrack</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Carzuka</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6"/>
          </w:tcPr>
          <w:p>
            <w:pPr>
              <w:jc w:val="right"/>
              <w:ind w:right="515"/>
              <w:spacing w:after="0" w:line="241" w:lineRule="exact"/>
              <w:rPr>
                <w:sz w:val="20"/>
                <w:szCs w:val="20"/>
                <w:color w:val="auto"/>
              </w:rPr>
            </w:pPr>
            <w:r>
              <w:rPr>
                <w:rFonts w:ascii="Times New Roman" w:cs="Times New Roman" w:eastAsia="Times New Roman" w:hAnsi="Times New Roman"/>
                <w:sz w:val="16"/>
                <w:szCs w:val="16"/>
                <w:b w:val="1"/>
                <w:bCs w:val="1"/>
                <w:color w:val="auto"/>
              </w:rPr>
              <w:t>Karooooo Logistics</w:t>
            </w:r>
            <w:r>
              <w:rPr>
                <w:rFonts w:ascii="Times New Roman" w:cs="Times New Roman" w:eastAsia="Times New Roman" w:hAnsi="Times New Roman"/>
                <w:sz w:val="27"/>
                <w:szCs w:val="27"/>
                <w:b w:val="1"/>
                <w:bCs w:val="1"/>
                <w:color w:val="auto"/>
                <w:vertAlign w:val="superscript"/>
              </w:rPr>
              <w:t>1</w:t>
            </w:r>
          </w:p>
        </w:tc>
        <w:tc>
          <w:tcPr>
            <w:tcW w:w="2300" w:type="dxa"/>
            <w:vAlign w:val="bottom"/>
            <w:gridSpan w:val="7"/>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Karooooo Consolidated</w:t>
            </w: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6"/>
              </w:rPr>
              <w:t>Y-o-Y</w:t>
            </w:r>
          </w:p>
        </w:tc>
        <w:tc>
          <w:tcPr>
            <w:tcW w:w="2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6"/>
              </w:rPr>
              <w:t>Y-o-Y</w:t>
            </w:r>
          </w:p>
        </w:tc>
        <w:tc>
          <w:tcPr>
            <w:tcW w:w="2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81"/>
              </w:rPr>
              <w:t>Y-o-Y</w:t>
            </w:r>
          </w:p>
        </w:tc>
        <w:tc>
          <w:tcPr>
            <w:tcW w:w="2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94"/>
              </w:rPr>
              <w:t>Y-o-Y</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Figures in Rand Thousands</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revenue</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770,993</w:t>
            </w:r>
          </w:p>
        </w:tc>
        <w:tc>
          <w:tcPr>
            <w:tcW w:w="26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662,555</w:t>
            </w:r>
          </w:p>
        </w:tc>
        <w:tc>
          <w:tcPr>
            <w:tcW w:w="2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2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32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772,483</w:t>
            </w:r>
          </w:p>
        </w:tc>
        <w:tc>
          <w:tcPr>
            <w:tcW w:w="26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663,947</w:t>
            </w: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41"/>
        </w:trPr>
        <w:tc>
          <w:tcPr>
            <w:tcW w:w="2120" w:type="dxa"/>
            <w:vAlign w:val="bottom"/>
            <w:gridSpan w:val="3"/>
          </w:tcPr>
          <w:p>
            <w:pPr>
              <w:spacing w:after="0" w:line="241"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7"/>
                <w:szCs w:val="27"/>
                <w:color w:val="auto"/>
                <w:vertAlign w:val="superscript"/>
              </w:rPr>
              <w:t>2</w:t>
            </w:r>
          </w:p>
        </w:tc>
        <w:tc>
          <w:tcPr>
            <w:tcW w:w="8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33,096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14,640</w:t>
            </w:r>
          </w:p>
        </w:tc>
        <w:tc>
          <w:tcPr>
            <w:tcW w:w="6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w w:val="97"/>
              </w:rPr>
              <w:t>&gt;100%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33,096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14,640</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&gt;100%</w:t>
            </w:r>
          </w:p>
        </w:tc>
        <w:tc>
          <w:tcPr>
            <w:tcW w:w="0" w:type="dxa"/>
            <w:vAlign w:val="bottom"/>
          </w:tcPr>
          <w:p>
            <w:pPr>
              <w:spacing w:after="0"/>
              <w:rPr>
                <w:sz w:val="1"/>
                <w:szCs w:val="1"/>
                <w:color w:val="auto"/>
              </w:rPr>
            </w:pPr>
          </w:p>
        </w:tc>
      </w:tr>
      <w:tr>
        <w:trPr>
          <w:trHeight w:val="20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Vehicle sales</w:t>
            </w:r>
          </w:p>
        </w:tc>
        <w:tc>
          <w:tcPr>
            <w:tcW w:w="860" w:type="dxa"/>
            <w:vAlign w:val="bottom"/>
            <w:tcBorders>
              <w:right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71,700</w:t>
            </w: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23,884</w:t>
            </w:r>
          </w:p>
        </w:tc>
        <w:tc>
          <w:tcPr>
            <w:tcW w:w="62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7"/>
              </w:rPr>
              <w:t>&gt;100%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71,700</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23,884</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&gt;100%</w:t>
            </w:r>
          </w:p>
        </w:tc>
        <w:tc>
          <w:tcPr>
            <w:tcW w:w="0" w:type="dxa"/>
            <w:vAlign w:val="bottom"/>
          </w:tcPr>
          <w:p>
            <w:pPr>
              <w:spacing w:after="0"/>
              <w:rPr>
                <w:sz w:val="1"/>
                <w:szCs w:val="1"/>
                <w:color w:val="auto"/>
              </w:rPr>
            </w:pPr>
          </w:p>
        </w:tc>
      </w:tr>
      <w:tr>
        <w:trPr>
          <w:trHeight w:val="216"/>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Delivery service</w:t>
            </w:r>
          </w:p>
        </w:tc>
        <w:tc>
          <w:tcPr>
            <w:tcW w:w="8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52,714</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17,070</w:t>
            </w:r>
          </w:p>
        </w:tc>
        <w:tc>
          <w:tcPr>
            <w:tcW w:w="6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&gt;100%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52,714</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17,070</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&gt;100%</w:t>
            </w:r>
          </w:p>
        </w:tc>
        <w:tc>
          <w:tcPr>
            <w:tcW w:w="0" w:type="dxa"/>
            <w:vAlign w:val="bottom"/>
          </w:tcPr>
          <w:p>
            <w:pPr>
              <w:spacing w:after="0"/>
              <w:rPr>
                <w:sz w:val="1"/>
                <w:szCs w:val="1"/>
                <w:color w:val="auto"/>
              </w:rPr>
            </w:pPr>
          </w:p>
        </w:tc>
      </w:tr>
      <w:tr>
        <w:trPr>
          <w:trHeight w:val="25"/>
        </w:trPr>
        <w:tc>
          <w:tcPr>
            <w:tcW w:w="21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revenue</w:t>
            </w:r>
          </w:p>
        </w:tc>
        <w:tc>
          <w:tcPr>
            <w:tcW w:w="6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54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5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6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CCEEFF"/>
            </w:tcBorders>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4"/>
        </w:trPr>
        <w:tc>
          <w:tcPr>
            <w:tcW w:w="2120" w:type="dxa"/>
            <w:vAlign w:val="bottom"/>
            <w:gridSpan w:val="3"/>
            <w:vMerge w:val="continue"/>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804,089</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677,195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Borders>
              <w:right w:val="single" w:sz="8" w:color="CCEEFF"/>
            </w:tcBorders>
            <w:vMerge w:val="continue"/>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71,700</w:t>
            </w: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23,884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&gt;100</w:t>
            </w:r>
          </w:p>
        </w:tc>
        <w:tc>
          <w:tcPr>
            <w:tcW w:w="260" w:type="dxa"/>
            <w:vAlign w:val="bottom"/>
            <w:tcBorders>
              <w:right w:val="single" w:sz="8" w:color="CCEEFF"/>
            </w:tcBorders>
            <w:vMerge w:val="continue"/>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54,204</w:t>
            </w: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18,462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&gt;100</w:t>
            </w:r>
          </w:p>
        </w:tc>
        <w:tc>
          <w:tcPr>
            <w:tcW w:w="240" w:type="dxa"/>
            <w:vAlign w:val="bottom"/>
            <w:tcBorders>
              <w:right w:val="single" w:sz="8" w:color="CCEEFF"/>
            </w:tcBorders>
            <w:vMerge w:val="continue"/>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929,993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719,541</w:t>
            </w:r>
          </w:p>
        </w:tc>
        <w:tc>
          <w:tcPr>
            <w:tcW w:w="80" w:type="dxa"/>
            <w:vAlign w:val="bottom"/>
            <w:tcBorders>
              <w:right w:val="single" w:sz="8" w:color="CCEEFF"/>
            </w:tcBorders>
            <w:vMerge w:val="continue"/>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120" w:type="dxa"/>
            <w:vAlign w:val="bottom"/>
            <w:gridSpan w:val="3"/>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7"/>
              </w:rPr>
              <w:t>(240,333)</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7"/>
              </w:rPr>
              <w:t>(215,116)</w:t>
            </w:r>
          </w:p>
        </w:tc>
        <w:tc>
          <w:tcPr>
            <w:tcW w:w="260" w:type="dxa"/>
            <w:vAlign w:val="bottom"/>
          </w:tcPr>
          <w:p>
            <w:pPr>
              <w:spacing w:after="0"/>
              <w:rPr>
                <w:sz w:val="17"/>
                <w:szCs w:val="17"/>
                <w:color w:val="auto"/>
              </w:rPr>
            </w:pPr>
          </w:p>
        </w:tc>
        <w:tc>
          <w:tcPr>
            <w:tcW w:w="6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9"/>
              </w:rPr>
              <w:t>(65,984)</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9"/>
              </w:rPr>
              <w:t>(21,030)</w:t>
            </w:r>
          </w:p>
        </w:tc>
        <w:tc>
          <w:tcPr>
            <w:tcW w:w="300" w:type="dxa"/>
            <w:vAlign w:val="bottom"/>
          </w:tcPr>
          <w:p>
            <w:pPr>
              <w:spacing w:after="0"/>
              <w:rPr>
                <w:sz w:val="17"/>
                <w:szCs w:val="17"/>
                <w:color w:val="auto"/>
              </w:rPr>
            </w:pPr>
          </w:p>
        </w:tc>
        <w:tc>
          <w:tcPr>
            <w:tcW w:w="6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w w:val="97"/>
              </w:rPr>
              <w:t>&gt;100%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9"/>
              </w:rPr>
              <w:t>(40,587)</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9"/>
              </w:rPr>
              <w:t>(13,732)</w:t>
            </w:r>
          </w:p>
        </w:tc>
        <w:tc>
          <w:tcPr>
            <w:tcW w:w="320" w:type="dxa"/>
            <w:vAlign w:val="bottom"/>
          </w:tcPr>
          <w:p>
            <w:pPr>
              <w:spacing w:after="0"/>
              <w:rPr>
                <w:sz w:val="17"/>
                <w:szCs w:val="17"/>
                <w:color w:val="auto"/>
              </w:rPr>
            </w:pPr>
          </w:p>
        </w:tc>
        <w:tc>
          <w:tcPr>
            <w:tcW w:w="6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&gt;100%</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(346,904)</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7"/>
              </w:rPr>
              <w:t>(249,878)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860" w:type="dxa"/>
            <w:vAlign w:val="bottom"/>
            <w:tcBorders>
              <w:right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563,756</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462,079</w:t>
            </w:r>
          </w:p>
        </w:tc>
        <w:tc>
          <w:tcPr>
            <w:tcW w:w="62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840" w:type="dxa"/>
            <w:vAlign w:val="bottom"/>
            <w:tcBorders>
              <w:right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5,716</w:t>
            </w: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2,854</w:t>
            </w:r>
          </w:p>
        </w:tc>
        <w:tc>
          <w:tcPr>
            <w:tcW w:w="62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7"/>
              </w:rPr>
              <w:t>&gt;100%</w:t>
            </w: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13,617</w:t>
            </w:r>
          </w:p>
        </w:tc>
        <w:tc>
          <w:tcPr>
            <w:tcW w:w="8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4,730</w:t>
            </w:r>
          </w:p>
        </w:tc>
        <w:tc>
          <w:tcPr>
            <w:tcW w:w="64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&gt;100%</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583,089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469,663</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Gross Profit Margin</w:t>
            </w:r>
          </w:p>
        </w:tc>
        <w:tc>
          <w:tcPr>
            <w:tcW w:w="8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70%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Segment operating</w:t>
            </w:r>
          </w:p>
        </w:tc>
        <w:tc>
          <w:tcPr>
            <w:tcW w:w="6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profit/(loss)</w:t>
            </w:r>
          </w:p>
        </w:tc>
        <w:tc>
          <w:tcPr>
            <w:tcW w:w="860" w:type="dxa"/>
            <w:vAlign w:val="bottom"/>
            <w:tcBorders>
              <w:right w:val="single" w:sz="8" w:color="CCEEFF"/>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222,301</w:t>
            </w: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208,623</w:t>
            </w:r>
          </w:p>
        </w:tc>
        <w:tc>
          <w:tcPr>
            <w:tcW w:w="62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840" w:type="dxa"/>
            <w:vAlign w:val="bottom"/>
            <w:tcBorders>
              <w:right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9"/>
              </w:rPr>
              <w:t>(15,300)</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(2,885)</w:t>
            </w:r>
          </w:p>
        </w:tc>
        <w:tc>
          <w:tcPr>
            <w:tcW w:w="62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7"/>
              </w:rPr>
              <w:t>&gt;100%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24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(1,028)</w:t>
            </w:r>
          </w:p>
        </w:tc>
        <w:tc>
          <w:tcPr>
            <w:tcW w:w="64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&gt;100%</w:t>
            </w:r>
          </w:p>
        </w:tc>
        <w:tc>
          <w:tcPr>
            <w:tcW w:w="8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209,131</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204,710</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Adjusted EBITDA (a non-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IFRS measure)</w:t>
            </w:r>
          </w:p>
        </w:tc>
        <w:tc>
          <w:tcPr>
            <w:tcW w:w="8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345,613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345,367</w:t>
            </w:r>
          </w:p>
        </w:tc>
        <w:tc>
          <w:tcPr>
            <w:tcW w:w="6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0%</w:t>
            </w:r>
          </w:p>
        </w:tc>
        <w:tc>
          <w:tcPr>
            <w:tcW w:w="84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99"/>
              </w:rPr>
              <w:t>(14,646)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(2,855)</w:t>
            </w:r>
          </w:p>
        </w:tc>
        <w:tc>
          <w:tcPr>
            <w:tcW w:w="6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w w:val="97"/>
              </w:rPr>
              <w:t>&gt;100%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2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(983)</w:t>
            </w:r>
          </w:p>
        </w:tc>
        <w:tc>
          <w:tcPr>
            <w:tcW w:w="6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&gt;100%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333,525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341,529</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4"/>
        </w:trPr>
        <w:tc>
          <w:tcPr>
            <w:tcW w:w="212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Adjusted EBITDA Margin</w:t>
            </w:r>
          </w:p>
        </w:tc>
        <w:tc>
          <w:tcPr>
            <w:tcW w:w="6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(a non-IFRS measure)</w:t>
            </w:r>
          </w:p>
        </w:tc>
        <w:tc>
          <w:tcPr>
            <w:tcW w:w="86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w:t>
            </w:r>
          </w:p>
        </w:tc>
        <w:tc>
          <w:tcPr>
            <w:tcW w:w="3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Karooooo acquired 70.1% of Picup in September 2021, subsequently re-named as Karooooo Logistics.</w:t>
      </w:r>
    </w:p>
    <w:p>
      <w:pPr>
        <w:spacing w:after="0" w:line="211" w:lineRule="exact"/>
        <w:rPr>
          <w:rFonts w:ascii="Times New Roman" w:cs="Times New Roman" w:eastAsia="Times New Roman" w:hAnsi="Times New Roman"/>
          <w:sz w:val="17"/>
          <w:szCs w:val="17"/>
          <w:i w:val="1"/>
          <w:iCs w:val="1"/>
          <w:color w:val="auto"/>
        </w:rPr>
      </w:pPr>
    </w:p>
    <w:p>
      <w:pPr>
        <w:ind w:left="300" w:right="100" w:hanging="298"/>
        <w:spacing w:after="0" w:line="283" w:lineRule="auto"/>
        <w:tabs>
          <w:tab w:leader="none" w:pos="300"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Revenue and Subscription Revenue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Karooooo’s revenue increased 29% and subscription revenue increased 16% in Q3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these, Cartrack’s revenue and SaaS subscription revenue accounted for 86% and 99.8%,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Cartrack generated ZAR804 million in revenue in Q3 2023 (Q3 2022: ZAR677 million) of which ZAR771 million was subscription revenue (Q3 2022: ZAR663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Cartrack has an ARPU of ZAR157 (Q3 2022: ZAR 153).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planned, Carzuka and Karooooo Logistics continue to scale and bolster Karooooo’s revenue growth.</w:t>
      </w:r>
    </w:p>
    <w:p>
      <w:pPr>
        <w:spacing w:after="0" w:line="21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7"/>
          <w:szCs w:val="17"/>
          <w:color w:val="auto"/>
        </w:rPr>
        <w:t>Carzuka generated ZAR72 million in revenue in Q3 2023 (Q3 2022: ZAR24 million). Its steady expansion justifies our belief in the sustainability of its agile, data-enhanced and highly scalable business model. Carzuka is another example of how our ethos of customer-centricity and innovation in solving unique mobility needs translates into value creation in practice.</w:t>
      </w:r>
    </w:p>
    <w:p>
      <w:pPr>
        <w:spacing w:after="0" w:line="17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For Carzuka, our vast and growing cloud-based data assets, data contextualization and machine learning capabilities facilitate the buying and selling of vehicles at a fair price on an efficient platform. It also offers visibility on vehicle performance and health, customer de-fleeting and customer profiling to understand market demand and enhancing lead generation. High-quality leads, robust buying parameters and adaptability to market movements support healthy stock turnover rates and increased demand.</w:t>
      </w:r>
    </w:p>
    <w:p>
      <w:pPr>
        <w:spacing w:after="0" w:line="173" w:lineRule="exact"/>
        <w:rPr>
          <w:sz w:val="20"/>
          <w:szCs w:val="20"/>
          <w:color w:val="auto"/>
        </w:rPr>
      </w:pPr>
    </w:p>
    <w:p>
      <w:pPr>
        <w:jc w:val="both"/>
        <w:ind w:right="100"/>
        <w:spacing w:after="0" w:line="278" w:lineRule="auto"/>
        <w:rPr>
          <w:sz w:val="20"/>
          <w:szCs w:val="20"/>
          <w:color w:val="auto"/>
        </w:rPr>
      </w:pPr>
      <w:r>
        <w:rPr>
          <w:rFonts w:ascii="Times New Roman" w:cs="Times New Roman" w:eastAsia="Times New Roman" w:hAnsi="Times New Roman"/>
          <w:sz w:val="17"/>
          <w:szCs w:val="17"/>
          <w:color w:val="auto"/>
        </w:rPr>
        <w:t>Leveraging Cartrack’s technology, subscriber base, distribution network, digital marketing capabilities and ability to execute, Carzuka is expected to achieve strong growth at scale, providing buyers and sellers with a large volume and variety of affordable used vehicles.</w:t>
      </w:r>
    </w:p>
    <w:p>
      <w:pPr>
        <w:spacing w:after="0" w:line="3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17"/>
          <w:szCs w:val="17"/>
          <w:color w:val="auto"/>
        </w:rPr>
        <w:t>In combination with its intuitive e-commerce platform, Carzuka’s first physical showroom is strategically located in Eastgate Shopping Centre (Johannesburg). The showroom has capacity to showcase in excess of 500 vehicles, offering consumers easy access, safety and efficiency. Given Cartrack’s well-established countrywide footprint and expansive extensive distribution network, Carzuka expanded into Sandton City (greater Johannesburg – Sandton). It has made significant progress towards securing additional strategic hubs across South Africa and building its brand.</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Karooooo Logistics (trading as Picup in South Africa) delivered strong growth generating ZAR54 million in revenue in Q3 2023 (Q3 2022: ZAR18 million). Karooooo Logistics focuses on delivery-as-a-service (“DaaS”), with its own selection of third-party crowd sourced drivers and logistics companies primarily charging per delivery.</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integrating Karooooo Logistics’ software into the Cartrack platform, enabling Cartrack customers to manage and enhance their logistics capacity with ease. Cartrack customers can augment their own fleet capacity using Cartrack’s API architecture. Cartrack will charge customers for using the Karooooo Logistics stack on a subscription-based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November 30,</w:t>
            </w: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3"/>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55"/>
              <w:spacing w:after="0" w:line="183" w:lineRule="exact"/>
              <w:rPr>
                <w:sz w:val="20"/>
                <w:szCs w:val="20"/>
                <w:color w:val="auto"/>
              </w:rPr>
            </w:pPr>
            <w:r>
              <w:rPr>
                <w:rFonts w:ascii="Times New Roman" w:cs="Times New Roman" w:eastAsia="Times New Roman" w:hAnsi="Times New Roman"/>
                <w:sz w:val="17"/>
                <w:szCs w:val="17"/>
                <w:b w:val="1"/>
                <w:bCs w:val="1"/>
                <w:color w:val="auto"/>
              </w:rPr>
              <w:t>Y-o-Y</w:t>
            </w:r>
          </w:p>
        </w:tc>
        <w:tc>
          <w:tcPr>
            <w:tcW w:w="140" w:type="dxa"/>
            <w:vAlign w:val="bottom"/>
          </w:tcPr>
          <w:p>
            <w:pPr>
              <w:spacing w:after="0"/>
              <w:rPr>
                <w:sz w:val="15"/>
                <w:szCs w:val="15"/>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Figures in Rand Thousands</w:t>
            </w: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9"/>
                <w:szCs w:val="19"/>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r>
      <w:tr>
        <w:trPr>
          <w:trHeight w:val="236"/>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189"/>
        </w:trPr>
        <w:tc>
          <w:tcPr>
            <w:tcW w:w="73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 Cartrack</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345,301</w:t>
            </w:r>
          </w:p>
        </w:tc>
        <w:tc>
          <w:tcPr>
            <w:tcW w:w="2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253,897</w:t>
            </w:r>
          </w:p>
        </w:tc>
        <w:tc>
          <w:tcPr>
            <w:tcW w:w="200" w:type="dxa"/>
            <w:vAlign w:val="bottom"/>
          </w:tcPr>
          <w:p>
            <w:pPr>
              <w:spacing w:after="0"/>
              <w:rPr>
                <w:sz w:val="16"/>
                <w:szCs w:val="16"/>
                <w:color w:val="auto"/>
              </w:rPr>
            </w:pP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36%</w:t>
            </w:r>
          </w:p>
        </w:tc>
      </w:tr>
      <w:tr>
        <w:trPr>
          <w:trHeight w:val="20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Carzuka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21,016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5,739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&gt;100%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Karooooo Logistics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11,493</w:t>
            </w: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5"/>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Karooooo’s operating expenses increased 42% to ZAR378 million in Q3 2023 (Q3 2022: ZAR265 million).</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continue to cautiously invest in brand building and infrastructure in Carzuka and Karooooo Logistics, with these businesses incurring ZAR21 million and ZAR11 million respectively, of the total operating expenses of the group. The remainder, ZAR345 million, was attributable to Cartrack (Q3 2022: ZAR254 million) and comprised prudent investment in infrastructure and headcount for territorial expansion and growth.</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Cartrack’s sales and marketing operating expenses increased 38% to ZAR106 million in Q3 2023 (Q3 2022: ZAR77 million). We believe this investment for growth positions us well for the long-term and we expect to see future benefit in customer acquisition.</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Cartrack’s general and administration operating expenses remained comparatively unaltered compared to Q2 2023 but were 32% higher than the prior year at ZAR168 million (Q3 2022: ZAR127 million). This reflects our investment in infrastructure to meet our growth plans. General and administration operating expenses were predominately impacted in this quarter by ZAR10 million in foreign exchange losses as a result of volatile exchange rates and an increase of ZAR26 million in salaries.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Cartrack’s R&amp;D operating expenses also remained comparatively unaltered compared to Q2 2023 but were 25% higher than the comparative quarter at ZAR43 million (Q3 2022: ZAR35 million). Our planned investment in the improvement, enrichment and expansion of our Operations Cloud and internal management systems is focused on enhancing our value proposition to our customers, in our ability to digitalize their operations for competitive advantage in dynamic and challenging operating environments.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quarter, Cartrack prudently increased provisioning resulting in expected credit losses of ZAR28 million (Q3 2022: ZAR16 million). Cartrack’s expected credit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losses for the first nine months of the year improved to 3.2% of revenue (first nine months 2022: 3.3%). The expected credit losses for the first nine months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were ZAR73 million, up 15% for the same period in the previous financial year (first nine months 2022: ZAR 64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 w:name="page8"/>
    <w:bookmarkEnd w:id="7"/>
    <w:p>
      <w:pPr>
        <w:spacing w:after="0" w:line="278" w:lineRule="auto"/>
        <w:rPr>
          <w:sz w:val="20"/>
          <w:szCs w:val="20"/>
          <w:color w:val="auto"/>
        </w:rPr>
      </w:pPr>
      <w:r>
        <w:rPr>
          <w:rFonts w:ascii="Times New Roman" w:cs="Times New Roman" w:eastAsia="Times New Roman" w:hAnsi="Times New Roman"/>
          <w:sz w:val="17"/>
          <w:szCs w:val="17"/>
          <w:color w:val="auto"/>
        </w:rPr>
        <w:t>The trend in Cartrack’s expenses as a relative portion of subscription revenue accord with Karooooo’s long-term financial goals set out on listing on the NASDAQ in April 2021 and reflect our accelerated investment in growth.</w:t>
      </w:r>
    </w:p>
    <w:p>
      <w:pPr>
        <w:spacing w:after="0" w:line="157" w:lineRule="exact"/>
        <w:rPr>
          <w:sz w:val="20"/>
          <w:szCs w:val="20"/>
          <w:color w:val="auto"/>
        </w:rPr>
      </w:pPr>
    </w:p>
    <w:p>
      <w:pPr>
        <w:ind w:left="620" w:hanging="31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expenses as a percentage of subscription revenue increased slightly to 14% (Q3 2022: 12%)</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administration expenses as a percentage of subscription revenue increased to 22% (Q3 2022: 20%)</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R&amp;D expenses as a percentage of subscription revenue increased marginally to 6% (Q3 2022: 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Profit, Adjusted Earnings per share and Earnings per share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Karooooo’s operating profit increased 2% to ZAR209 million in Q3 2023 (Q3 2022: ZAR205 million) and earnings per share were comparatively unchanged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ZAR4.70 in Q3 2023 (Q3 2022: ZAR4.72), the marginal decrease being a result of higher taxes.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With strong subscription revenue growth despite the challenging operating environment globally, and the group’s investment in future growth, Cartrack delivered operating profit of ZAR222 million, up 6%, in Q3 2023, (Q3 2022: ZAR209 million). Its operating profit margin remained strong at 28% (Q3 2022: 31%) and it is targeting margin expansion as it gains economies of scale from its investment in talent and infrastructure.</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Carzuka’s operating loss increased to ZAR15 million in Q3 2023 (Q3 2022: ZAR3 million operating loss) as it invests in infrastructure and brand building. While we invest to grow this business, management plans to remain pragmatic in its spending.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 Logistics delivered an encouraging operating profit of ZAR2 million in Q3 2023 (Q3 2022: ZAR1 million operating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EBITDA and Adjusted EBITDA margin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Karooooo’s Adjusted EBITDA (a non-IFRS measure) for the period decreased 2% to ZAR334 million (Q3 2022: ZAR342 million).</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Cartrack’s Adjusted EBITDA (a non-IFRS measure) was ZAR346 million (Q3 2022: ZAR345 million). In line with Karooooo’s planned investment for future growth and management’s guidance range for 2023, Cartrack’s year to date Adjusted EBITDA margin (a non-IFRS measure) is 48%.</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Carzuka’s Adjusted EBITDA (a non-IFRS measure) was a loss of ZAR15 million, due to investment for expansion (Q3 2022: ZAR3 million loss). Management is focused on organic growth with prudent and strategic capital allocation. This investment is asset light given the returns expected once Carzuka exceeds quarterly revenue of ZAR300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 Logistics’ Adjusted EBITDA (a non-IFRS measure) was ZAR3 million (Q3 2022: ZAR1 million Adjusted EBITDA loss).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believe Karooooo is well positioned for growth. We operate in a growing and largely underpenetrated market, with strong demand from customers across diverse industries seeking software solutions to successfully digitalize their businesses, thereby improving their operational and strategic performance.</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proven, robust and consistently profitable business model, underpinned by a strong balance sheet and healthy cash position, gives us multiple levers for expansion. Our investment in marketing and sales, coupled with the realization of economies of scale across our business segments, is expected to generate robust results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mission is to be a leading on-the-ground Operations Cloud service provider.</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Actual results may differ materially from Karooooo’s outlook due to prolonged pandemic impacts and exchange rate fluctuations, among other factors described under “Forward-Looking Statements” below.</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With Cartrack’s revenue accounting for the majority of the group’s revenue, and Carzuka and Karooooo Logistics being built for scale, the outlook below relates to Cartrack only.</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Despite intensifying macro-economic uncertainties, the consistent performance reflected at the end of the third quarter gives us the confidence to leave our full year 2023 guidance unchanged.</w:t>
      </w:r>
    </w:p>
    <w:p>
      <w:pPr>
        <w:spacing w:after="0" w:line="157" w:lineRule="exact"/>
        <w:rPr>
          <w:sz w:val="20"/>
          <w:szCs w:val="20"/>
          <w:color w:val="auto"/>
        </w:rPr>
      </w:pPr>
    </w:p>
    <w:p>
      <w:pPr>
        <w:ind w:left="620" w:hanging="31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subscribers between 1,700,000 and 1,900,000</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 revenue between ZAR2,950 million and ZAR3,100 million</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Cartrack’s Adjusted EBITDA margin between 45% and 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 Liquidity and Cash Flow</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approach to capital allocation supports Karooooo’s strong growth at scale, consistent profitability and high cash-generation. Given our balanced capital structure and healthy operating profit margins, we have ample runway to accelerate our revenue growth whilst remaining profitable.</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group’s capital allocation committee has adopted a cash management policy whereby Karooooo’s excess cash reserves on hand will be held in US Dollars. This will be translated into ZAR for reporting purposes.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 at November 30,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 reported a healthy net cash and cash equivalents balance of ZAR819 million at November 30, 2022 (November 30, 2021: ZAR799 million).</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At November 30, 2022, the group had bank facilities for growth initiatives and other general corporate purposes of ZAR925 million with The Standard Bank of South Africa Limited and ZAR75 million with Mercantile Bank, a division of Capitec Bank Limited.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Free Cash Flow (a non-IFRS measure)</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Karooooo generated record cash from operating activities of ZAR846 million for the nine months ended November 30, 2022 (November 2021: ZAR750 million), as well as record Free Cash Flow (a non-IFRS measure) of ZAR434 million for the same period compared to ZAR306 million a year before.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result was achieved despite the group’s strategic investment in expansion, brand building and customer acquisition for long-term growth.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Capital and Reserves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Karooooo has 30,951,106 ordinary shares issued with a paid-up share capital of USD505,956,659 plus SGD1,000.</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paid-up capital resulting in the common control reserve.</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The ZAR0.4 billion relates to the net asset value of the 95,350,637 Cartrack minority shares bought by Karooooo.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Geographical Overview for Cartrack for Third Quarter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South Africa</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Cartrack’s subscription revenue in South Africa increased 13% in Q3 2023, compared to the year before. At November 30, 2022, it had 1,289,532 subscribers, up 13% from November 30, 2021. Despite prolonged strain due to adverse macro-economic factors, we have seen strong customer demand for our value proposition, particularly given that we continuously pass on additional benefits to them as we achieve economies of scale and our rich data pool gains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we are the largest and fastest growing enterprise mobility SaaS provider on the African continent.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Asia Pacific, Middle East and United States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segment is the second largest contributor to group revenue. Southeast Asia presents the greatest opportunity in the medium- to long-term. With our scalable business model, internationally recognized brand and track record as a successful technology partner that is able to localize and adapt to specific market nuances, we believe our value proposition will continue to find favor in this region, delivering sustainable income to the group.</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the pace of Cartrack’s expansion into Southeast Asia moves ahead of historical growth rates, we expect ARPU in the region to trend closer to that of South Africa. The number of subscribers in this segment had grown 27% to 175,158 by November 30, 2022 (November 30, 2021: 138,337). This translates to 36% growth in subscription revenue and 25% on a constant currency basis (a non-IFRS measure). Considering that Southeast Asia only began to open up their economies towards the end of Q1 2023, we are pleased with the traction so far.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group’s office in the United States continues to yield key insights that have contributed positively to Cartrack’s competitiveness.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segment delivered subscription revenue growth of 14% and 13% on a constant currency basis (a non-IFRS measure) driven by 13% subscriber growth.</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expansion in Europe remains encouraging despite the strong economic headwinds in the region. Subscribers in this segment had grown to 140,589 at November 30, 2022 (November 30, 2021: 124,102). We plan to accelerate our investment in growth in this region.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Africa (excluding South Africa)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segment remains a positive cash generator and is strategic to Karooooo’s South African operations.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Significant operational reorganization begun in Q4 2022 gained traction during this financial year, with encouraging customer additions and growth of 30% in subscription revenue and 15% on a constant currency basis (a non-IFRS measure). Customers that were impacted by Covid-19 and not billed for an extended period are now being billed.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subscribers grew 10% to 73,327 (November 2021: 66,834).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color w:val="auto"/>
        </w:rPr>
        <w:t>Dividend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recognises the importance to the group of investment in achieving growth at scale, and endeavours to avoid swings in dividend profile.</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However, the payment and timing of dividends in cash or other distributions (such as a return of capital to shareholders through share buy-backs, for example) are determined by the Board after considering factors that include: current and anticipated capital requirements; economic conditions; financial performance and available cash; contractual, legal, tax and regulatory restrictions (including covenants contained in any financing agreements); the ability of group subsidiaries to distribute funds to Karooooo; and such other factors the Board may deem relevant.</w:t>
      </w:r>
    </w:p>
    <w:p>
      <w:pPr>
        <w:spacing w:after="0" w:line="173"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7"/>
          <w:szCs w:val="17"/>
          <w:color w:val="auto"/>
        </w:rPr>
        <w:t>Karooooo aims to reinvest retained earnings to the extent that it aligns with the company’s required return on incrementally reinvested capital, return on equity, and short- to medium-term growth strategy.</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Subject to Karooooo’s constitution and in accordance with the Singapore Companies Act, the Board may, without the approval of shareholders, declare and pay interim dividends, but any final dividends must be approved by an ordinary resolution at a general meeting of shareholders.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may review and amend the dividend policy from time to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Corruption, bribery and whistleblowing</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 party providers.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provide a contact email and hotline for whistleblowing and reporters are assured of confidentiality.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Webinar Information</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Karooooo management will host a </w:t>
      </w:r>
      <w:r>
        <w:rPr>
          <w:rFonts w:ascii="Times New Roman" w:cs="Times New Roman" w:eastAsia="Times New Roman" w:hAnsi="Times New Roman"/>
          <w:sz w:val="17"/>
          <w:szCs w:val="17"/>
          <w:b w:val="1"/>
          <w:bCs w:val="1"/>
          <w:color w:val="auto"/>
        </w:rPr>
        <w:t>Zoom webinar on Friday, January 20, 2023</w:t>
      </w:r>
      <w:r>
        <w:rPr>
          <w:rFonts w:ascii="Times New Roman" w:cs="Times New Roman" w:eastAsia="Times New Roman" w:hAnsi="Times New Roman"/>
          <w:sz w:val="17"/>
          <w:szCs w:val="17"/>
          <w:color w:val="auto"/>
        </w:rPr>
        <w:t xml:space="preserve"> at 08:00 a.m. Eastern Time (03:00 p.m. South African time; 09:00 p.m. Singaporean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 are invited to join the Zoom at: https://us02web.zoom.us/j/86467127973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Webinar ID: </w:t>
      </w:r>
      <w:r>
        <w:rPr>
          <w:rFonts w:ascii="Times New Roman" w:cs="Times New Roman" w:eastAsia="Times New Roman" w:hAnsi="Times New Roman"/>
          <w:sz w:val="17"/>
          <w:szCs w:val="17"/>
          <w:b w:val="1"/>
          <w:bCs w:val="1"/>
          <w:color w:val="auto"/>
        </w:rPr>
        <w:t>864 6712 7973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w:t>
      </w:r>
    </w:p>
    <w:p>
      <w:pPr>
        <w:spacing w:after="0" w:line="211" w:lineRule="exact"/>
        <w:rPr>
          <w:sz w:val="20"/>
          <w:szCs w:val="20"/>
          <w:color w:val="auto"/>
        </w:rPr>
      </w:pPr>
    </w:p>
    <w:p>
      <w:pPr>
        <w:ind w:left="620" w:hanging="31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(New York) Toll-free: +1 646 558 8656</w:t>
      </w:r>
    </w:p>
    <w:p>
      <w:pPr>
        <w:spacing w:after="0" w:line="211"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South Africa Toll-free: +27 87 551 7702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replay will be available at www.karooooo.com approximately three hours after the conclusion of the live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IFRS Accounting</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Karooooo</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Karooooo, headquartered in Singapore, is a leading global provider of an on-the-ground operational IoT SaaS cloud that maximizes the value of transportation, operations and workflow data by providing insightful real-time data analytics to over 1,600,000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856" w:right="3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IR@karooooo.com</w:t>
      </w:r>
    </w:p>
    <w:p>
      <w:pPr>
        <w:spacing w:after="0" w:line="200" w:lineRule="exact"/>
        <w:rPr>
          <w:sz w:val="20"/>
          <w:szCs w:val="20"/>
          <w:color w:val="auto"/>
        </w:rPr>
      </w:pPr>
    </w:p>
    <w:p>
      <w:pPr>
        <w:sectPr>
          <w:pgSz w:w="11900" w:h="16838" w:orient="portrait"/>
          <w:cols w:equalWidth="0" w:num="2">
            <w:col w:w="1940" w:space="500"/>
            <w:col w:w="8800"/>
          </w:cols>
          <w:pgMar w:left="320" w:top="856"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media@karooooo.com</w:t>
      </w:r>
    </w:p>
    <w:p>
      <w:pPr>
        <w:spacing w:after="0" w:line="200" w:lineRule="exact"/>
        <w:rPr>
          <w:sz w:val="20"/>
          <w:szCs w:val="20"/>
          <w:color w:val="auto"/>
        </w:rPr>
      </w:pPr>
    </w:p>
    <w:p>
      <w:pPr>
        <w:sectPr>
          <w:pgSz w:w="11900" w:h="16838" w:orient="portrait"/>
          <w:cols w:equalWidth="0" w:num="2">
            <w:col w:w="1720" w:space="720"/>
            <w:col w:w="8800"/>
          </w:cols>
          <w:pgMar w:left="320" w:top="856" w:right="3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1405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PROFIT AND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(Rand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929,993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719,541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2,590,712</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2,004,502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(346,904)</w:t>
            </w: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(249,878)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(908,523)</w:t>
            </w:r>
          </w:p>
        </w:tc>
        <w:tc>
          <w:tcPr>
            <w:tcW w:w="3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(639,263)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583,089</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469,663</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1,682,189</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1,365,239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8,009</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(377,810)</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(265,485)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(1,045,448)</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(816,532)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top w:val="single" w:sz="8" w:color="CCEEFF"/>
            </w:tcBorders>
          </w:tcPr>
          <w:p>
            <w:pPr>
              <w:ind w:left="140"/>
              <w:spacing w:after="0" w:line="189" w:lineRule="exact"/>
              <w:rPr>
                <w:sz w:val="20"/>
                <w:szCs w:val="20"/>
                <w:color w:val="auto"/>
              </w:rPr>
            </w:pPr>
            <w:r>
              <w:rPr>
                <w:rFonts w:ascii="Times New Roman" w:cs="Times New Roman" w:eastAsia="Times New Roman" w:hAnsi="Times New Roman"/>
                <w:sz w:val="17"/>
                <w:szCs w:val="17"/>
                <w:color w:val="auto"/>
              </w:rPr>
              <w:t>Sales and marketing</w:t>
            </w:r>
          </w:p>
        </w:tc>
        <w:tc>
          <w:tcPr>
            <w:tcW w:w="6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(118,514)</w:t>
            </w: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(79,888)</w:t>
            </w: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(321,987)</w:t>
            </w: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(253,291)</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administration</w:t>
            </w:r>
          </w:p>
        </w:tc>
        <w:tc>
          <w:tcPr>
            <w:tcW w:w="1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(184,690)</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(132,537)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(518,430)</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(393,069)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(46,577)</w:t>
            </w:r>
          </w:p>
        </w:tc>
        <w:tc>
          <w:tcPr>
            <w:tcW w:w="3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(37,277)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(131,730)</w:t>
            </w:r>
          </w:p>
        </w:tc>
        <w:tc>
          <w:tcPr>
            <w:tcW w:w="3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(106,326)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Expected Credit losses on financial assets</w:t>
            </w:r>
          </w:p>
        </w:tc>
        <w:tc>
          <w:tcPr>
            <w:tcW w:w="1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(28,029)</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(15,783)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(73,301)</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(63,846)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Operating profit</w:t>
            </w:r>
          </w:p>
        </w:tc>
        <w:tc>
          <w:tcPr>
            <w:tcW w:w="6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209,131</w:t>
            </w: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204,710</w:t>
            </w: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644,750</w:t>
            </w: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550,524</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costs (“IPO”)</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Finance income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6,541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14,146</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(488)</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(3,756)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(7,300)</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(8,666)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Profit before taxation</w:t>
            </w:r>
          </w:p>
        </w:tc>
        <w:tc>
          <w:tcPr>
            <w:tcW w:w="6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215,184</w:t>
            </w: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202,479</w:t>
            </w: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651,596</w:t>
            </w: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535,426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Taxation</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(68,096)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(54,165)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(192,691)</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(156,035)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Profit for the period</w:t>
            </w: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5340" w:type="dxa"/>
            <w:vAlign w:val="bottom"/>
            <w:vMerge w:val="continue"/>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147,088</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148,314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458,905</w:t>
            </w:r>
          </w:p>
        </w:tc>
        <w:tc>
          <w:tcPr>
            <w:tcW w:w="3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379,391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Profit attributable to:</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Owners of the parent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145,553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146,201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451,630</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7,275</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25,767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147,088</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148,314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458,905</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379,391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earnings per share (ZAR)</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4.70</w:t>
            </w: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14.59</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Adjusted Earnings per share </w:t>
            </w:r>
            <w:r>
              <w:rPr>
                <w:rFonts w:ascii="Times New Roman" w:cs="Times New Roman" w:eastAsia="Times New Roman" w:hAnsi="Times New Roman"/>
                <w:sz w:val="17"/>
                <w:szCs w:val="17"/>
                <w:color w:val="auto"/>
              </w:rPr>
              <w:t>(a non-IFRS measure)</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4.70</w:t>
            </w: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14.59</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Basic and diluted earnings per share (ZAR) (a non-IFRS measure)</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9</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 (A NON-IFRS MEASURE)</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140"/>
          </w:cols>
          <w:pgMar w:left="320" w:top="85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Profit for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IPO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Adjusted profit </w:t>
      </w:r>
      <w:r>
        <w:rPr>
          <w:rFonts w:ascii="Times New Roman" w:cs="Times New Roman" w:eastAsia="Times New Roman" w:hAnsi="Times New Roman"/>
          <w:sz w:val="16"/>
          <w:szCs w:val="16"/>
          <w:color w:val="auto"/>
        </w:rPr>
        <w:t>(a non-IFRS measure)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r>
      <w:tr>
        <w:trPr>
          <w:trHeight w:val="229"/>
        </w:trPr>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20" w:type="dxa"/>
            <w:vAlign w:val="bottom"/>
            <w:tcBorders>
              <w:bottom w:val="single" w:sz="8" w:color="auto"/>
            </w:tcBorders>
          </w:tcPr>
          <w:p>
            <w:pPr>
              <w:spacing w:after="0"/>
              <w:rPr>
                <w:sz w:val="19"/>
                <w:szCs w:val="19"/>
                <w:color w:val="auto"/>
              </w:rPr>
            </w:pPr>
          </w:p>
        </w:tc>
      </w:tr>
      <w:tr>
        <w:trPr>
          <w:trHeight w:val="221"/>
        </w:trPr>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2021</w:t>
            </w:r>
          </w:p>
        </w:tc>
      </w:tr>
      <w:tr>
        <w:trPr>
          <w:trHeight w:val="187"/>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gridSpan w:val="5"/>
          </w:tcPr>
          <w:p>
            <w:pPr>
              <w:ind w:left="160"/>
              <w:spacing w:after="0" w:line="187" w:lineRule="exact"/>
              <w:rPr>
                <w:sz w:val="20"/>
                <w:szCs w:val="20"/>
                <w:color w:val="auto"/>
              </w:rPr>
            </w:pPr>
            <w:r>
              <w:rPr>
                <w:rFonts w:ascii="Times New Roman" w:cs="Times New Roman" w:eastAsia="Times New Roman" w:hAnsi="Times New Roman"/>
                <w:sz w:val="17"/>
                <w:szCs w:val="17"/>
                <w:b w:val="1"/>
                <w:bCs w:val="1"/>
                <w:color w:val="auto"/>
              </w:rPr>
              <w:t>(Rand Thousands)</w:t>
            </w:r>
          </w:p>
        </w:tc>
        <w:tc>
          <w:tcPr>
            <w:tcW w:w="720" w:type="dxa"/>
            <w:vAlign w:val="bottom"/>
          </w:tcPr>
          <w:p>
            <w:pPr>
              <w:spacing w:after="0"/>
              <w:rPr>
                <w:sz w:val="16"/>
                <w:szCs w:val="16"/>
                <w:color w:val="auto"/>
              </w:rPr>
            </w:pP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147,088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148,314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458,905</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379,391</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10,288</w:t>
            </w:r>
          </w:p>
        </w:tc>
      </w:tr>
      <w:tr>
        <w:trPr>
          <w:trHeight w:val="209"/>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147,088</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148,314</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458,905</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-426720</wp:posOffset>
            </wp:positionV>
            <wp:extent cx="714057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-152400</wp:posOffset>
            </wp:positionV>
            <wp:extent cx="71405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160"/>
          </w:cols>
          <w:pgMar w:left="320" w:top="856" w:right="439" w:bottom="1440" w:gutter="0" w:footer="0" w:header="0"/>
          <w:type w:val="continuous"/>
        </w:sectPr>
      </w:pP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14057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40"/>
          </w:cols>
          <w:pgMar w:left="320" w:top="856" w:right="4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FINANCIAL POSITION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1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February 28,</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(Rand Thousands)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1,488,055</w:t>
            </w:r>
          </w:p>
        </w:tc>
        <w:tc>
          <w:tcPr>
            <w:tcW w:w="8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1,390,659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1,303,740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Capitalized commission assets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267,706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231,537</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246,291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77,419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77,031</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78,630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200,229</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186,384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198,137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to related parties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19,400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19,400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19,400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Long-term other receivables and prepayments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26,350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9,722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financial asset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1,359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1,359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63,311</w:t>
            </w:r>
          </w:p>
        </w:tc>
        <w:tc>
          <w:tcPr>
            <w:tcW w:w="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58,383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1,974,475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1,913,917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Current assets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93,367</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25,369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Trade and other receivables and prepayments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456,677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333,886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360,650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7,182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8,818</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financial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15,305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824,061</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731,748</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798,687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1,381,287</w:t>
            </w:r>
          </w:p>
        </w:tc>
        <w:tc>
          <w:tcPr>
            <w:tcW w:w="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1,115,126</w:t>
            </w:r>
          </w:p>
        </w:tc>
        <w:tc>
          <w:tcPr>
            <w:tcW w:w="220" w:type="dxa"/>
            <w:vAlign w:val="bottom"/>
            <w:tcBorders>
              <w:top w:val="single" w:sz="8" w:color="CCEEFF"/>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1,179,744</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3,525,116</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3,089,601</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3,093,661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EQUITY AND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7,142,853</w:t>
            </w:r>
          </w:p>
        </w:tc>
        <w:tc>
          <w:tcPr>
            <w:tcW w:w="80" w:type="dxa"/>
            <w:vAlign w:val="bottom"/>
          </w:tcPr>
          <w:p>
            <w:pPr>
              <w:spacing w:after="0"/>
              <w:rPr>
                <w:sz w:val="17"/>
                <w:szCs w:val="17"/>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7,142,853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7,142,853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Capital reserve</w:t>
            </w:r>
            <w:r>
              <w:rPr>
                <w:rFonts w:ascii="Times New Roman" w:cs="Times New Roman" w:eastAsia="Times New Roman" w:hAnsi="Times New Roman"/>
                <w:sz w:val="27"/>
                <w:szCs w:val="27"/>
                <w:color w:val="auto"/>
                <w:vertAlign w:val="superscript"/>
              </w:rPr>
              <w:t>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(3,582,568)</w:t>
            </w: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(3,587,640)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(3,587,640)</w:t>
            </w:r>
          </w:p>
        </w:tc>
        <w:tc>
          <w:tcPr>
            <w:tcW w:w="0" w:type="dxa"/>
            <w:vAlign w:val="bottom"/>
          </w:tcPr>
          <w:p>
            <w:pPr>
              <w:spacing w:after="0"/>
              <w:rPr>
                <w:sz w:val="1"/>
                <w:szCs w:val="1"/>
                <w:color w:val="auto"/>
              </w:rPr>
            </w:pPr>
          </w:p>
        </w:tc>
      </w:tr>
      <w:tr>
        <w:trPr>
          <w:trHeight w:val="241"/>
        </w:trPr>
        <w:tc>
          <w:tcPr>
            <w:tcW w:w="7320" w:type="dxa"/>
            <w:vAlign w:val="bottom"/>
          </w:tcPr>
          <w:p>
            <w:pPr>
              <w:spacing w:after="0" w:line="241" w:lineRule="exact"/>
              <w:rPr>
                <w:sz w:val="20"/>
                <w:szCs w:val="20"/>
                <w:color w:val="auto"/>
              </w:rPr>
            </w:pPr>
            <w:r>
              <w:rPr>
                <w:rFonts w:ascii="Times New Roman" w:cs="Times New Roman" w:eastAsia="Times New Roman" w:hAnsi="Times New Roman"/>
                <w:sz w:val="16"/>
                <w:szCs w:val="16"/>
                <w:color w:val="auto"/>
              </w:rPr>
              <w:t>Common control reserve</w:t>
            </w:r>
            <w:r>
              <w:rPr>
                <w:rFonts w:ascii="Times New Roman" w:cs="Times New Roman" w:eastAsia="Times New Roman" w:hAnsi="Times New Roman"/>
                <w:sz w:val="27"/>
                <w:szCs w:val="27"/>
                <w:color w:val="auto"/>
                <w:vertAlign w:val="superscript"/>
              </w:rPr>
              <w:t>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(2,709,236)</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(2,709,236)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(2,709,236)</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reserve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141,136</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28,776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100,956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1,419,287</w:t>
            </w:r>
          </w:p>
        </w:tc>
        <w:tc>
          <w:tcPr>
            <w:tcW w:w="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1,276,523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1,164,889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2,411,472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2,151,276</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2,111,822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25,066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22,905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2,436,538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2,174,181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Term loans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40,931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71,194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121,046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61,772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64,784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72,160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117,537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108,256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111,261</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41,618</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47,063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41,400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261,858</w:t>
            </w:r>
          </w:p>
        </w:tc>
        <w:tc>
          <w:tcPr>
            <w:tcW w:w="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291,297</w:t>
            </w:r>
          </w:p>
        </w:tc>
        <w:tc>
          <w:tcPr>
            <w:tcW w:w="220" w:type="dxa"/>
            <w:vAlign w:val="bottom"/>
            <w:tcBorders>
              <w:top w:val="single" w:sz="8" w:color="CCEEFF"/>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345,867</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Term loans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20,677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18,156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other payables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400,824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281,866</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282,572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Loans from related parties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1,832</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2,134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52,581</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47,294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45,242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261,327</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218,148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205,507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overdraft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5,044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13,722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Income tax payables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83,065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40,918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65,162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warranties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826,720</w:t>
            </w:r>
          </w:p>
        </w:tc>
        <w:tc>
          <w:tcPr>
            <w:tcW w:w="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624,123</w:t>
            </w:r>
          </w:p>
        </w:tc>
        <w:tc>
          <w:tcPr>
            <w:tcW w:w="220" w:type="dxa"/>
            <w:vAlign w:val="bottom"/>
            <w:tcBorders>
              <w:top w:val="single" w:sz="8" w:color="CCEEFF"/>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604,627</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1,088,578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915,420</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950,494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 and liabilities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3,525,116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3,089,601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3,093,661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300" w:hanging="298"/>
        <w:spacing w:after="0" w:line="266" w:lineRule="auto"/>
        <w:tabs>
          <w:tab w:leader="none" w:pos="30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63" w:lineRule="exact"/>
        <w:rPr>
          <w:rFonts w:ascii="Times New Roman" w:cs="Times New Roman" w:eastAsia="Times New Roman" w:hAnsi="Times New Roman"/>
          <w:sz w:val="17"/>
          <w:szCs w:val="17"/>
          <w:i w:val="1"/>
          <w:iCs w:val="1"/>
          <w:color w:val="auto"/>
        </w:rPr>
      </w:pPr>
    </w:p>
    <w:p>
      <w:pPr>
        <w:jc w:val="both"/>
        <w:ind w:left="300" w:hanging="298"/>
        <w:spacing w:after="0" w:line="266"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1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200"/>
          </w:cols>
          <w:pgMar w:left="320" w:top="8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flows from operating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flows utilized by investing activities</w:t>
      </w:r>
    </w:p>
    <w:p>
      <w:pPr>
        <w:spacing w:after="0" w:line="215" w:lineRule="auto"/>
        <w:rPr>
          <w:sz w:val="20"/>
          <w:szCs w:val="20"/>
          <w:color w:val="auto"/>
        </w:rPr>
      </w:pPr>
      <w:r>
        <w:rPr>
          <w:rFonts w:ascii="Times New Roman" w:cs="Times New Roman" w:eastAsia="Times New Roman" w:hAnsi="Times New Roman"/>
          <w:sz w:val="17"/>
          <w:szCs w:val="17"/>
          <w:color w:val="auto"/>
        </w:rPr>
        <w:t>Net cash flows from/(utilized by) financing activities</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cash and cash equivalents movements for the period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 as at the beginning of the 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Translation differences on cash and cash equivalents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cash and cash equivalents at the end of the period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r>
      <w:tr>
        <w:trPr>
          <w:trHeight w:val="229"/>
        </w:trPr>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60" w:type="dxa"/>
            <w:vAlign w:val="bottom"/>
          </w:tcPr>
          <w:p>
            <w:pPr>
              <w:spacing w:after="0"/>
              <w:rPr>
                <w:sz w:val="19"/>
                <w:szCs w:val="19"/>
                <w:color w:val="auto"/>
              </w:rPr>
            </w:pPr>
          </w:p>
        </w:tc>
      </w:tr>
      <w:tr>
        <w:trPr>
          <w:trHeight w:val="187"/>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gridSpan w:val="5"/>
          </w:tcPr>
          <w:p>
            <w:pPr>
              <w:ind w:left="160"/>
              <w:spacing w:after="0" w:line="187" w:lineRule="exact"/>
              <w:rPr>
                <w:sz w:val="20"/>
                <w:szCs w:val="20"/>
                <w:color w:val="auto"/>
              </w:rPr>
            </w:pPr>
            <w:r>
              <w:rPr>
                <w:rFonts w:ascii="Times New Roman" w:cs="Times New Roman" w:eastAsia="Times New Roman" w:hAnsi="Times New Roman"/>
                <w:sz w:val="17"/>
                <w:szCs w:val="17"/>
                <w:b w:val="1"/>
                <w:bCs w:val="1"/>
                <w:color w:val="auto"/>
              </w:rPr>
              <w:t>(Rand Thousands)</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286,476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308,184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845,786</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750,156</w:t>
            </w:r>
          </w:p>
        </w:tc>
        <w:tc>
          <w:tcPr>
            <w:tcW w:w="60" w:type="dxa"/>
            <w:vAlign w:val="bottom"/>
          </w:tcPr>
          <w:p>
            <w:pPr>
              <w:spacing w:after="0"/>
              <w:rPr>
                <w:sz w:val="17"/>
                <w:szCs w:val="17"/>
                <w:color w:val="auto"/>
              </w:rPr>
            </w:pPr>
          </w:p>
        </w:tc>
      </w:tr>
      <w:tr>
        <w:trPr>
          <w:trHeight w:val="219"/>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(124,605)</w:t>
            </w: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(252,910)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(433,995)</w:t>
            </w:r>
          </w:p>
        </w:tc>
        <w:tc>
          <w:tcPr>
            <w:tcW w:w="3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(543,279)</w:t>
            </w:r>
          </w:p>
        </w:tc>
      </w:tr>
      <w:tr>
        <w:trPr>
          <w:trHeight w:val="260"/>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(349,648)</w:t>
            </w:r>
          </w:p>
        </w:tc>
        <w:tc>
          <w:tcPr>
            <w:tcW w:w="3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16,848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(401,112)</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440,532</w:t>
            </w:r>
          </w:p>
        </w:tc>
        <w:tc>
          <w:tcPr>
            <w:tcW w:w="60" w:type="dxa"/>
            <w:vAlign w:val="bottom"/>
          </w:tcPr>
          <w:p>
            <w:pPr>
              <w:spacing w:after="0"/>
              <w:rPr>
                <w:sz w:val="22"/>
                <w:szCs w:val="22"/>
                <w:color w:val="auto"/>
              </w:rPr>
            </w:pPr>
          </w:p>
        </w:tc>
      </w:tr>
      <w:tr>
        <w:trPr>
          <w:trHeight w:val="187"/>
        </w:trPr>
        <w:tc>
          <w:tcPr>
            <w:tcW w:w="11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b w:val="1"/>
                <w:bCs w:val="1"/>
                <w:color w:val="auto"/>
              </w:rPr>
              <w:t>(187,777)</w:t>
            </w: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b w:val="1"/>
                <w:bCs w:val="1"/>
                <w:color w:val="auto"/>
              </w:rPr>
              <w:t>72,122</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b w:val="1"/>
                <w:bCs w:val="1"/>
                <w:color w:val="auto"/>
              </w:rPr>
              <w:t>10,679</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b w:val="1"/>
                <w:bCs w:val="1"/>
                <w:color w:val="auto"/>
              </w:rPr>
              <w:t>647,409</w:t>
            </w:r>
          </w:p>
        </w:tc>
        <w:tc>
          <w:tcPr>
            <w:tcW w:w="60" w:type="dxa"/>
            <w:vAlign w:val="bottom"/>
          </w:tcPr>
          <w:p>
            <w:pPr>
              <w:spacing w:after="0"/>
              <w:rPr>
                <w:sz w:val="16"/>
                <w:szCs w:val="16"/>
                <w:color w:val="auto"/>
              </w:rPr>
            </w:pPr>
          </w:p>
        </w:tc>
      </w:tr>
      <w:tr>
        <w:trPr>
          <w:trHeight w:val="216"/>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1,001,242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664,176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718,026</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76,098</w:t>
            </w:r>
          </w:p>
        </w:tc>
        <w:tc>
          <w:tcPr>
            <w:tcW w:w="60" w:type="dxa"/>
            <w:vAlign w:val="bottom"/>
          </w:tcPr>
          <w:p>
            <w:pPr>
              <w:spacing w:after="0"/>
              <w:rPr>
                <w:sz w:val="18"/>
                <w:szCs w:val="18"/>
                <w:color w:val="auto"/>
              </w:rPr>
            </w:pPr>
          </w:p>
        </w:tc>
      </w:tr>
      <w:tr>
        <w:trPr>
          <w:trHeight w:val="219"/>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62,389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90,312</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75,180</w:t>
            </w:r>
          </w:p>
        </w:tc>
        <w:tc>
          <w:tcPr>
            <w:tcW w:w="60" w:type="dxa"/>
            <w:vAlign w:val="bottom"/>
          </w:tcPr>
          <w:p>
            <w:pPr>
              <w:spacing w:after="0"/>
              <w:rPr>
                <w:sz w:val="19"/>
                <w:szCs w:val="19"/>
                <w:color w:val="auto"/>
              </w:rPr>
            </w:pPr>
          </w:p>
        </w:tc>
      </w:tr>
      <w:tr>
        <w:trPr>
          <w:trHeight w:val="26"/>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4"/>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819,017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798,687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819,017</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798,687</w:t>
            </w:r>
          </w:p>
        </w:tc>
        <w:tc>
          <w:tcPr>
            <w:tcW w:w="60" w:type="dxa"/>
            <w:vAlign w:val="bottom"/>
          </w:tcPr>
          <w:p>
            <w:pPr>
              <w:spacing w:after="0"/>
              <w:rPr>
                <w:sz w:val="20"/>
                <w:szCs w:val="20"/>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-1031875</wp:posOffset>
            </wp:positionV>
            <wp:extent cx="71405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-774065</wp:posOffset>
            </wp:positionV>
            <wp:extent cx="7140575" cy="169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16954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-467360</wp:posOffset>
            </wp:positionV>
            <wp:extent cx="714057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-193040</wp:posOffset>
            </wp:positionV>
            <wp:extent cx="7140575" cy="169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856" w:right="379" w:bottom="1440" w:gutter="0" w:footer="0" w:header="0"/>
          <w:type w:val="continuous"/>
        </w:sectPr>
      </w:pP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14057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type w:val="continuous"/>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RECONCILIATION OF FREE CASH FLOW (A NON-IFRS MEASURE)</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200"/>
          </w:cols>
          <w:pgMar w:left="320" w:top="85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00"/>
        <w:spacing w:after="0" w:line="279" w:lineRule="auto"/>
        <w:rPr>
          <w:sz w:val="20"/>
          <w:szCs w:val="20"/>
          <w:color w:val="auto"/>
        </w:rPr>
      </w:pPr>
      <w:r>
        <w:rPr>
          <w:rFonts w:ascii="Times New Roman" w:cs="Times New Roman" w:eastAsia="Times New Roman" w:hAnsi="Times New Roman"/>
          <w:sz w:val="16"/>
          <w:szCs w:val="16"/>
          <w:color w:val="auto"/>
        </w:rPr>
        <w:t>Net cash generated from operating activities Less: purchase of property, plant and equipment</w:t>
      </w:r>
    </w:p>
    <w:p>
      <w:pPr>
        <w:spacing w:after="0"/>
        <w:rPr>
          <w:sz w:val="20"/>
          <w:szCs w:val="20"/>
          <w:color w:val="auto"/>
        </w:rPr>
      </w:pPr>
      <w:r>
        <w:rPr>
          <w:rFonts w:ascii="Times New Roman" w:cs="Times New Roman" w:eastAsia="Times New Roman" w:hAnsi="Times New Roman"/>
          <w:sz w:val="17"/>
          <w:szCs w:val="17"/>
          <w:b w:val="1"/>
          <w:bCs w:val="1"/>
          <w:color w:val="auto"/>
        </w:rPr>
        <w:t xml:space="preserve">Free Cash Flow </w:t>
      </w:r>
      <w:r>
        <w:rPr>
          <w:rFonts w:ascii="Times New Roman" w:cs="Times New Roman" w:eastAsia="Times New Roman" w:hAnsi="Times New Roman"/>
          <w:sz w:val="17"/>
          <w:szCs w:val="17"/>
          <w:color w:val="auto"/>
        </w:rPr>
        <w:t>(a non-IFRS measure)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r>
      <w:tr>
        <w:trPr>
          <w:trHeight w:val="229"/>
        </w:trPr>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60" w:type="dxa"/>
            <w:vAlign w:val="bottom"/>
          </w:tcPr>
          <w:p>
            <w:pPr>
              <w:spacing w:after="0"/>
              <w:rPr>
                <w:sz w:val="19"/>
                <w:szCs w:val="19"/>
                <w:color w:val="auto"/>
              </w:rPr>
            </w:pPr>
          </w:p>
        </w:tc>
      </w:tr>
      <w:tr>
        <w:trPr>
          <w:trHeight w:val="187"/>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gridSpan w:val="5"/>
          </w:tcPr>
          <w:p>
            <w:pPr>
              <w:ind w:left="160"/>
              <w:spacing w:after="0" w:line="187" w:lineRule="exact"/>
              <w:rPr>
                <w:sz w:val="20"/>
                <w:szCs w:val="20"/>
                <w:color w:val="auto"/>
              </w:rPr>
            </w:pPr>
            <w:r>
              <w:rPr>
                <w:rFonts w:ascii="Times New Roman" w:cs="Times New Roman" w:eastAsia="Times New Roman" w:hAnsi="Times New Roman"/>
                <w:sz w:val="17"/>
                <w:szCs w:val="17"/>
                <w:b w:val="1"/>
                <w:bCs w:val="1"/>
                <w:color w:val="auto"/>
              </w:rPr>
              <w:t>(Rand Thousands)</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286,476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308,184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845,786</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750,156</w:t>
            </w:r>
          </w:p>
        </w:tc>
        <w:tc>
          <w:tcPr>
            <w:tcW w:w="60" w:type="dxa"/>
            <w:vAlign w:val="bottom"/>
          </w:tcPr>
          <w:p>
            <w:pPr>
              <w:spacing w:after="0"/>
              <w:rPr>
                <w:sz w:val="17"/>
                <w:szCs w:val="17"/>
                <w:color w:val="auto"/>
              </w:rPr>
            </w:pPr>
          </w:p>
        </w:tc>
      </w:tr>
      <w:tr>
        <w:trPr>
          <w:trHeight w:val="232"/>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(115,836)</w:t>
            </w:r>
          </w:p>
        </w:tc>
        <w:tc>
          <w:tcPr>
            <w:tcW w:w="3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(174,106)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(411,857)</w:t>
            </w:r>
          </w:p>
        </w:tc>
        <w:tc>
          <w:tcPr>
            <w:tcW w:w="3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(444,633)</w:t>
            </w:r>
          </w:p>
        </w:tc>
      </w:tr>
      <w:tr>
        <w:trPr>
          <w:trHeight w:val="26"/>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4"/>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170,640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134,078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433,929</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305,523</w:t>
            </w:r>
          </w:p>
        </w:tc>
        <w:tc>
          <w:tcPr>
            <w:tcW w:w="60" w:type="dxa"/>
            <w:vAlign w:val="bottom"/>
          </w:tcPr>
          <w:p>
            <w:pPr>
              <w:spacing w:after="0"/>
              <w:rPr>
                <w:sz w:val="20"/>
                <w:szCs w:val="20"/>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-467360</wp:posOffset>
            </wp:positionV>
            <wp:extent cx="714057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-193040</wp:posOffset>
            </wp:positionV>
            <wp:extent cx="7140575"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856" w:right="379" w:bottom="1440" w:gutter="0" w:footer="0" w:header="0"/>
          <w:type w:val="continuous"/>
        </w:sectPr>
      </w:pP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1405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PROFIT FOR THE PERIOD TO ADJUSTED EBITDA (A NON-IFRS MEASURE)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19"/>
                <w:szCs w:val="19"/>
                <w:color w:val="auto"/>
              </w:rPr>
            </w:pPr>
          </w:p>
        </w:tc>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0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(Rand Thousands)</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Profit for the period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147,088</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148,314</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458,905</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379,391</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Taxation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68,096</w:t>
            </w: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54,165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192,691</w:t>
            </w:r>
          </w:p>
        </w:tc>
        <w:tc>
          <w:tcPr>
            <w:tcW w:w="3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156,035</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(6,541)</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(1,525)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(14,146)</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(3,856)</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488</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7,300</w:t>
            </w:r>
          </w:p>
        </w:tc>
        <w:tc>
          <w:tcPr>
            <w:tcW w:w="3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8,666</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property, plant and equipment and amortization of intangible assets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124,394</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136,819</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419,892</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363,705</w:t>
            </w:r>
          </w:p>
        </w:tc>
        <w:tc>
          <w:tcPr>
            <w:tcW w:w="0" w:type="dxa"/>
            <w:vAlign w:val="bottom"/>
          </w:tcPr>
          <w:p>
            <w:pPr>
              <w:spacing w:after="0"/>
              <w:rPr>
                <w:sz w:val="1"/>
                <w:szCs w:val="1"/>
                <w:color w:val="auto"/>
              </w:rPr>
            </w:pPr>
          </w:p>
        </w:tc>
      </w:tr>
      <w:tr>
        <w:trPr>
          <w:trHeight w:val="221"/>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IPO costs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10,288</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17"/>
                <w:szCs w:val="17"/>
                <w:color w:val="auto"/>
              </w:rPr>
              <w:t>(a non-IFRS measure)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333,525</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341,529</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1,064,642</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914,229</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Profit margin</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00" w:type="dxa"/>
            <w:vAlign w:val="bottom"/>
            <w:vMerge w:val="continue"/>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margin </w:t>
            </w:r>
            <w:r>
              <w:rPr>
                <w:rFonts w:ascii="Times New Roman" w:cs="Times New Roman" w:eastAsia="Times New Roman" w:hAnsi="Times New Roman"/>
                <w:sz w:val="17"/>
                <w:szCs w:val="17"/>
                <w:color w:val="auto"/>
              </w:rPr>
              <w:t>(a non-IFRS measure)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615"/>
        </w:trPr>
        <w:tc>
          <w:tcPr>
            <w:tcW w:w="59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14</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BASIC AND DILUTED EARNINGS AND ADJUSTED EARNINGS PER SHARE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 NON-IFRS MEASURE)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240"/>
          </w:cols>
          <w:pgMar w:left="320" w:top="8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Reconciliation between basic earnings and adjusted earnings </w:t>
      </w:r>
      <w:r>
        <w:rPr>
          <w:rFonts w:ascii="Times New Roman" w:cs="Times New Roman" w:eastAsia="Times New Roman" w:hAnsi="Times New Roman"/>
          <w:sz w:val="17"/>
          <w:szCs w:val="17"/>
          <w:color w:val="auto"/>
        </w:rPr>
        <w:t>(a non-IFRS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Profit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Adjust for:</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IPO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4057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12890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Tax effect on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Adjusted profit attributable to ordinary shareholders </w:t>
      </w:r>
      <w:r>
        <w:rPr>
          <w:rFonts w:ascii="Times New Roman" w:cs="Times New Roman" w:eastAsia="Times New Roman" w:hAnsi="Times New Roman"/>
          <w:sz w:val="16"/>
          <w:szCs w:val="16"/>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40575" cy="169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r>
      <w:tr>
        <w:trPr>
          <w:trHeight w:val="229"/>
        </w:trPr>
        <w:tc>
          <w:tcPr>
            <w:tcW w:w="174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w w:val="98"/>
              </w:rPr>
              <w:t>November 30,</w:t>
            </w:r>
          </w:p>
        </w:tc>
        <w:tc>
          <w:tcPr>
            <w:tcW w:w="720" w:type="dxa"/>
            <w:vAlign w:val="bottom"/>
            <w:tcBorders>
              <w:bottom w:val="single" w:sz="8" w:color="auto"/>
            </w:tcBorders>
          </w:tcPr>
          <w:p>
            <w:pPr>
              <w:spacing w:after="0"/>
              <w:rPr>
                <w:sz w:val="19"/>
                <w:szCs w:val="19"/>
                <w:color w:val="auto"/>
              </w:rPr>
            </w:pPr>
          </w:p>
        </w:tc>
      </w:tr>
      <w:tr>
        <w:trPr>
          <w:trHeight w:val="221"/>
        </w:trPr>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2021</w:t>
            </w:r>
          </w:p>
        </w:tc>
      </w:tr>
      <w:tr>
        <w:trPr>
          <w:trHeight w:val="223"/>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(Rand Thousands)</w:t>
            </w:r>
          </w:p>
        </w:tc>
        <w:tc>
          <w:tcPr>
            <w:tcW w:w="720" w:type="dxa"/>
            <w:vAlign w:val="bottom"/>
          </w:tcPr>
          <w:p>
            <w:pPr>
              <w:spacing w:after="0"/>
              <w:rPr>
                <w:sz w:val="19"/>
                <w:szCs w:val="19"/>
                <w:color w:val="auto"/>
              </w:rPr>
            </w:pPr>
          </w:p>
        </w:tc>
      </w:tr>
      <w:tr>
        <w:trPr>
          <w:trHeight w:val="589"/>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145,553</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146,201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451,630</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353,624</w:t>
            </w:r>
          </w:p>
        </w:tc>
      </w:tr>
      <w:tr>
        <w:trPr>
          <w:trHeight w:val="404"/>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10,288</w:t>
            </w:r>
          </w:p>
        </w:tc>
      </w:tr>
      <w:tr>
        <w:trPr>
          <w:trHeight w:val="219"/>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34"/>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145,553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146,201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451,630</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363,912</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400" w:space="580"/>
            <w:col w:w="5260"/>
          </w:cols>
          <w:pgMar w:left="320" w:top="85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ordinary shares in issue at period end (000’s) on which</w:t>
            </w:r>
          </w:p>
        </w:tc>
        <w:tc>
          <w:tcPr>
            <w:tcW w:w="1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60" w:type="dxa"/>
            <w:vAlign w:val="bottom"/>
            <w:shd w:val="clear" w:color="auto" w:fill="CCEEFF"/>
          </w:tcPr>
          <w:p>
            <w:pPr>
              <w:jc w:val="right"/>
              <w:ind w:right="3115"/>
              <w:spacing w:after="0"/>
              <w:rPr>
                <w:sz w:val="20"/>
                <w:szCs w:val="20"/>
                <w:color w:val="auto"/>
              </w:rPr>
            </w:pPr>
            <w:r>
              <w:rPr>
                <w:rFonts w:ascii="Times New Roman" w:cs="Times New Roman" w:eastAsia="Times New Roman" w:hAnsi="Times New Roman"/>
                <w:sz w:val="17"/>
                <w:szCs w:val="17"/>
                <w:color w:val="auto"/>
              </w:rPr>
              <w:t>the per share figures have been calculated</w:t>
            </w:r>
          </w:p>
        </w:tc>
        <w:tc>
          <w:tcPr>
            <w:tcW w:w="13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30,951</w:t>
            </w:r>
          </w:p>
        </w:tc>
        <w:tc>
          <w:tcPr>
            <w:tcW w:w="13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30,951</w:t>
            </w:r>
          </w:p>
        </w:tc>
        <w:tc>
          <w:tcPr>
            <w:tcW w:w="13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30,951</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29,062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earnings per share</w:t>
            </w:r>
          </w:p>
        </w:tc>
        <w:tc>
          <w:tcPr>
            <w:tcW w:w="13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4.70</w:t>
            </w:r>
          </w:p>
        </w:tc>
        <w:tc>
          <w:tcPr>
            <w:tcW w:w="13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4.72</w:t>
            </w:r>
          </w:p>
        </w:tc>
        <w:tc>
          <w:tcPr>
            <w:tcW w:w="13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14.59</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Adjusted basic and diluted earnings per share </w:t>
            </w:r>
            <w:r>
              <w:rPr>
                <w:rFonts w:ascii="Times New Roman" w:cs="Times New Roman" w:eastAsia="Times New Roman" w:hAnsi="Times New Roman"/>
                <w:sz w:val="17"/>
                <w:szCs w:val="17"/>
                <w:color w:val="auto"/>
              </w:rPr>
              <w:t>(a non-IFRS measure)</w:t>
            </w:r>
          </w:p>
        </w:tc>
        <w:tc>
          <w:tcPr>
            <w:tcW w:w="13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4.70</w:t>
            </w:r>
          </w:p>
        </w:tc>
        <w:tc>
          <w:tcPr>
            <w:tcW w:w="13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4.72</w:t>
            </w:r>
          </w:p>
        </w:tc>
        <w:tc>
          <w:tcPr>
            <w:tcW w:w="13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14.59</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6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15</w:t>
            </w: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CONSTANT CURRENCY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November 30, 2022</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constant currency information has been determined by adjusting the current financial reporting period results to the results reported for the three months ended November 30, 2021, using the average of the monthly exchange rates applicable to that period. The measurement has been performed for each of the group’s operating currencies.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SUBSCRIPTION REVENUE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320" w:type="dxa"/>
            <w:vAlign w:val="bottom"/>
          </w:tcPr>
          <w:p>
            <w:pPr>
              <w:spacing w:after="0"/>
              <w:rPr>
                <w:sz w:val="24"/>
                <w:szCs w:val="24"/>
                <w:color w:val="auto"/>
              </w:rPr>
            </w:pPr>
          </w:p>
        </w:tc>
        <w:tc>
          <w:tcPr>
            <w:tcW w:w="2660" w:type="dxa"/>
            <w:vAlign w:val="bottom"/>
            <w:gridSpan w:val="4"/>
          </w:tcPr>
          <w:p>
            <w:pPr>
              <w:jc w:val="center"/>
              <w:ind w:left="995"/>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November 30,</w:t>
            </w: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55"/>
              <w:spacing w:after="0" w:line="183" w:lineRule="exact"/>
              <w:rPr>
                <w:sz w:val="20"/>
                <w:szCs w:val="20"/>
                <w:color w:val="auto"/>
              </w:rPr>
            </w:pPr>
            <w:r>
              <w:rPr>
                <w:rFonts w:ascii="Times New Roman" w:cs="Times New Roman" w:eastAsia="Times New Roman" w:hAnsi="Times New Roman"/>
                <w:sz w:val="17"/>
                <w:szCs w:val="17"/>
                <w:b w:val="1"/>
                <w:bCs w:val="1"/>
                <w:color w:val="auto"/>
              </w:rPr>
              <w:t>Y-o-Y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460" w:type="dxa"/>
            <w:vAlign w:val="bottom"/>
            <w:gridSpan w:val="3"/>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(Rand 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revenue as reported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772,483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663,947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Conversion impact of other currencies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(11,780)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revenue on a constant currency basis</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4"/>
        </w:trPr>
        <w:tc>
          <w:tcPr>
            <w:tcW w:w="7320" w:type="dxa"/>
            <w:vAlign w:val="bottom"/>
            <w:vMerge w:val="continue"/>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760,703</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663,947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ectPr>
          <w:pgSz w:w="11900" w:h="16838" w:orient="portrait"/>
          <w:cols w:equalWidth="0" w:num="1">
            <w:col w:w="11240"/>
          </w:cols>
          <w:pgMar w:left="320" w:top="8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 as reported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 on a constant currency basis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revenue as reported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Subscription revenue on a constant currency basis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 as reported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 on a constant currency basis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November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Y-o-Y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60" w:type="dxa"/>
            <w:vAlign w:val="bottom"/>
            <w:gridSpan w:val="3"/>
          </w:tcPr>
          <w:p>
            <w:pPr>
              <w:jc w:val="right"/>
              <w:ind w:right="475"/>
              <w:spacing w:after="0" w:line="187" w:lineRule="exact"/>
              <w:rPr>
                <w:sz w:val="20"/>
                <w:szCs w:val="20"/>
                <w:color w:val="auto"/>
              </w:rPr>
            </w:pPr>
            <w:r>
              <w:rPr>
                <w:rFonts w:ascii="Times New Roman" w:cs="Times New Roman" w:eastAsia="Times New Roman" w:hAnsi="Times New Roman"/>
                <w:sz w:val="17"/>
                <w:szCs w:val="17"/>
                <w:b w:val="1"/>
                <w:bCs w:val="1"/>
                <w:color w:val="auto"/>
              </w:rPr>
              <w:t>(Rand Thousands)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929,993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719,541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2"/>
        </w:trPr>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(11,962)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6"/>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918,031</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719,541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140" w:type="dxa"/>
            <w:vAlign w:val="bottom"/>
          </w:tcPr>
          <w:p>
            <w:pPr>
              <w:spacing w:after="0"/>
              <w:rPr>
                <w:sz w:val="24"/>
                <w:szCs w:val="24"/>
                <w:color w:val="auto"/>
              </w:rPr>
            </w:pP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November 30,</w:t>
            </w: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w w:val="99"/>
              </w:rPr>
              <w:t>Y-o-Y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60" w:type="dxa"/>
            <w:vAlign w:val="bottom"/>
            <w:gridSpan w:val="3"/>
          </w:tcPr>
          <w:p>
            <w:pPr>
              <w:jc w:val="right"/>
              <w:ind w:right="475"/>
              <w:spacing w:after="0" w:line="187" w:lineRule="exact"/>
              <w:rPr>
                <w:sz w:val="20"/>
                <w:szCs w:val="20"/>
                <w:color w:val="auto"/>
              </w:rPr>
            </w:pPr>
            <w:r>
              <w:rPr>
                <w:rFonts w:ascii="Times New Roman" w:cs="Times New Roman" w:eastAsia="Times New Roman" w:hAnsi="Times New Roman"/>
                <w:sz w:val="17"/>
                <w:szCs w:val="17"/>
                <w:b w:val="1"/>
                <w:bCs w:val="1"/>
                <w:color w:val="auto"/>
              </w:rPr>
              <w:t>(Rand Thousands)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2,215,602</w:t>
            </w:r>
          </w:p>
        </w:tc>
        <w:tc>
          <w:tcPr>
            <w:tcW w:w="2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1,897,450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2"/>
        </w:trPr>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(16,871)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6"/>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2,198,731</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1,897,450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14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November 30,</w:t>
            </w: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b w:val="1"/>
                <w:bCs w:val="1"/>
                <w:color w:val="auto"/>
                <w:w w:val="99"/>
              </w:rPr>
              <w:t>Y-o-Y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60" w:type="dxa"/>
            <w:vAlign w:val="bottom"/>
            <w:gridSpan w:val="3"/>
          </w:tcPr>
          <w:p>
            <w:pPr>
              <w:jc w:val="right"/>
              <w:ind w:right="475"/>
              <w:spacing w:after="0" w:line="187" w:lineRule="exact"/>
              <w:rPr>
                <w:sz w:val="20"/>
                <w:szCs w:val="20"/>
                <w:color w:val="auto"/>
              </w:rPr>
            </w:pPr>
            <w:r>
              <w:rPr>
                <w:rFonts w:ascii="Times New Roman" w:cs="Times New Roman" w:eastAsia="Times New Roman" w:hAnsi="Times New Roman"/>
                <w:sz w:val="17"/>
                <w:szCs w:val="17"/>
                <w:b w:val="1"/>
                <w:bCs w:val="1"/>
                <w:color w:val="auto"/>
              </w:rPr>
              <w:t>(Rand Thousands)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2,590,712</w:t>
            </w:r>
          </w:p>
        </w:tc>
        <w:tc>
          <w:tcPr>
            <w:tcW w:w="2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2,004,502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2"/>
        </w:trPr>
        <w:tc>
          <w:tcPr>
            <w:tcW w:w="1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(17,238)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6"/>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2,573,474</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2,004,502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-3533140</wp:posOffset>
            </wp:positionV>
            <wp:extent cx="714057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-3258820</wp:posOffset>
            </wp:positionV>
            <wp:extent cx="7140575" cy="169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16954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-2000250</wp:posOffset>
            </wp:positionV>
            <wp:extent cx="714057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-1725930</wp:posOffset>
            </wp:positionV>
            <wp:extent cx="7140575" cy="169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16954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-467360</wp:posOffset>
            </wp:positionV>
            <wp:extent cx="714057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12890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-193040</wp:posOffset>
            </wp:positionV>
            <wp:extent cx="7140575" cy="169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856" w:right="339" w:bottom="144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14057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Profit</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Adjusted profit (a non-IFRS measure), is defined as, profit after tax defined by IFRS excluding the impact of non-recurring operational expenses relating to IPO costs of ZAR36 million expensed (ZAR26 million in the fourth quarter of 2021 and ZAR10 million in the first quarter of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Earnings per Share</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Adjusted earnings per share, (a non-IFRS measure) is defined as, earnings per share defined by IFRS excluding the impact of non-recurring operational expenses relating to IPO costs of ZAR36 million expensed (ZAR26 million in the fourth quarter of 2021 and ZAR10 million in the first quarter of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EBITDA</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define Adjusted EBITDA (a non-IFRS measure) as profit less finance income, plus finance costs, taxation, depreciation and amortization, plus once-off 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EBITDA Margin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Annualized Recurring Revenue (SaaS ARR)</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Average Revenue per Subscriber per month (ARPU)</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 xml:space="preserve">Cartrack Holdings </w:t>
      </w:r>
      <w:r>
        <w:rPr>
          <w:rFonts w:ascii="Times New Roman" w:cs="Times New Roman" w:eastAsia="Times New Roman" w:hAnsi="Times New Roman"/>
          <w:sz w:val="17"/>
          <w:szCs w:val="17"/>
          <w:color w:val="auto"/>
        </w:rPr>
        <w:t>(“Cartrack”)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Earnings per share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earnings per share in accordance with IFRS.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Free Cash Flow</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Picup Technologies (Pty) Ltd </w:t>
      </w:r>
      <w:r>
        <w:rPr>
          <w:rFonts w:ascii="Times New Roman" w:cs="Times New Roman" w:eastAsia="Times New Roman" w:hAnsi="Times New Roman"/>
          <w:sz w:val="17"/>
          <w:szCs w:val="17"/>
          <w:color w:val="auto"/>
        </w:rPr>
        <w:t>(“Picup”)</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Karooooo strategically acquired 70.1% of Picup in September 2021 and Picup was subsequently re-branded and re-named as Karooooo Logistics, given the consolidation of platforms.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of 40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sum of revenue growth and operating margin for a period of 12-months sum to greater than 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 economics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are non-IFRS financial measures that are used as reference of Cartrack’s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Lifetime value (LTV of a Customer) of customer relationships to customer acquisition costs (CAC)</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Lifetime value (LTV of a Subscriber), cost of acquiring a subscriber (CAS) and </w:t>
      </w:r>
      <w:r>
        <w:rPr>
          <w:rFonts w:ascii="Times New Roman" w:cs="Times New Roman" w:eastAsia="Times New Roman" w:hAnsi="Times New Roman"/>
          <w:sz w:val="17"/>
          <w:szCs w:val="17"/>
          <w:color w:val="auto"/>
        </w:rPr>
        <w:t>cost of servicing a subscriber (CSS)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 w:name="page22"/>
    <w:bookmarkEnd w:id="21"/>
    <w:p>
      <w:pPr>
        <w:jc w:val="both"/>
        <w:spacing w:after="0" w:line="278" w:lineRule="auto"/>
        <w:rPr>
          <w:sz w:val="20"/>
          <w:szCs w:val="20"/>
          <w:color w:val="auto"/>
        </w:rPr>
      </w:pPr>
      <w:r>
        <w:rPr>
          <w:rFonts w:ascii="Times New Roman" w:cs="Times New Roman" w:eastAsia="Times New Roman" w:hAnsi="Times New Roman"/>
          <w:sz w:val="17"/>
          <w:szCs w:val="17"/>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estimate our long 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09, 2022.</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Non-IFRS Financial Measures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 and Trade Names</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w:t>
      </w:r>
    </w:p>
    <w:p>
      <w:pPr>
        <w:jc w:val="both"/>
        <w:spacing w:after="0" w:line="229" w:lineRule="auto"/>
        <w:rPr>
          <w:sz w:val="20"/>
          <w:szCs w:val="20"/>
          <w:color w:val="auto"/>
        </w:rPr>
      </w:pPr>
      <w:r>
        <w:rPr>
          <w:rFonts w:ascii="Times New Roman" w:cs="Times New Roman" w:eastAsia="Times New Roman" w:hAnsi="Times New Roman"/>
          <w:sz w:val="17"/>
          <w:szCs w:val="17"/>
          <w:color w:val="auto"/>
        </w:rPr>
        <w:t>Solely for convenience, trademarks and trade names referred to in this announcement may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2023-01-19T15:03:00Z</dcterms:created>
  <dcterms:modified xsi:type="dcterms:W3CDTF">2023-01-19T15:03:00Z</dcterms:modified>
</cp:coreProperties>
</file>