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Karooooo Ltd.</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Y4600W108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Isaias (Zak) Jose Calisto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Karooooo Ltd.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 B. Meade,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Roshni Banker Cariello,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(212) 450-4000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23,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2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13D/A,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Y4600W108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997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997450"/>
                    </a:xfrm>
                    <a:prstGeom prst="rect">
                      <a:avLst/>
                    </a:prstGeom>
                    <a:noFill/>
                  </pic:spPr>
                </pic:pic>
              </a:graphicData>
            </a:graphic>
          </wp:anchor>
        </w:drawing>
      </w:r>
    </w:p>
    <w:p>
      <w:pPr>
        <w:spacing w:after="0" w:line="286" w:lineRule="exact"/>
        <w:rPr>
          <w:sz w:val="20"/>
          <w:szCs w:val="20"/>
          <w:color w:val="auto"/>
        </w:rPr>
      </w:pPr>
    </w:p>
    <w:p>
      <w:pPr>
        <w:ind w:left="880" w:right="7580" w:hanging="505"/>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Isaias (Zak) Jose Calisto</w:t>
      </w:r>
    </w:p>
    <w:p>
      <w:pPr>
        <w:spacing w:after="0" w:line="81" w:lineRule="exact"/>
        <w:rPr>
          <w:sz w:val="20"/>
          <w:szCs w:val="20"/>
          <w:color w:val="auto"/>
        </w:rPr>
      </w:pPr>
    </w:p>
    <w:p>
      <w:pPr>
        <w:ind w:left="880" w:hanging="505"/>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8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26" w:lineRule="exact"/>
        <w:rPr>
          <w:sz w:val="20"/>
          <w:szCs w:val="20"/>
          <w:color w:val="auto"/>
        </w:rPr>
      </w:pPr>
    </w:p>
    <w:p>
      <w:pPr>
        <w:ind w:left="880" w:hanging="505"/>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44" w:lineRule="exact"/>
        <w:rPr>
          <w:sz w:val="20"/>
          <w:szCs w:val="20"/>
          <w:color w:val="auto"/>
        </w:rPr>
      </w:pPr>
    </w:p>
    <w:p>
      <w:pPr>
        <w:ind w:left="880" w:right="6900" w:hanging="505"/>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81" w:lineRule="exact"/>
        <w:rPr>
          <w:sz w:val="20"/>
          <w:szCs w:val="20"/>
          <w:color w:val="auto"/>
        </w:rPr>
      </w:pPr>
    </w:p>
    <w:p>
      <w:pPr>
        <w:ind w:left="880" w:hanging="505"/>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8" w:lineRule="exact"/>
        <w:rPr>
          <w:sz w:val="20"/>
          <w:szCs w:val="20"/>
          <w:color w:val="auto"/>
        </w:rPr>
      </w:pPr>
    </w:p>
    <w:p>
      <w:pPr>
        <w:ind w:left="880" w:right="6680" w:hanging="505"/>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South Africa</w:t>
      </w:r>
    </w:p>
    <w:tbl>
      <w:tblPr>
        <w:tblLayout w:type="fixed"/>
        <w:tblInd w:w="0" w:type="dxa"/>
        <w:tblCellMar>
          <w:top w:w="0" w:type="dxa"/>
          <w:left w:w="0" w:type="dxa"/>
          <w:bottom w:w="0" w:type="dxa"/>
          <w:right w:w="0" w:type="dxa"/>
        </w:tblCellMar>
      </w:tblPr>
      <w:tr>
        <w:trPr>
          <w:trHeight w:val="280"/>
        </w:trPr>
        <w:tc>
          <w:tcPr>
            <w:tcW w:w="17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9"/>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tcPr>
          <w:p>
            <w:pPr>
              <w:spacing w:after="0"/>
              <w:rPr>
                <w:sz w:val="20"/>
                <w:szCs w:val="20"/>
                <w:color w:val="auto"/>
              </w:rPr>
            </w:pPr>
          </w:p>
        </w:tc>
        <w:tc>
          <w:tcPr>
            <w:tcW w:w="8740" w:type="dxa"/>
            <w:vAlign w:val="bottom"/>
          </w:tcPr>
          <w:p>
            <w:pPr>
              <w:ind w:left="60"/>
              <w:spacing w:after="0" w:line="239" w:lineRule="exact"/>
              <w:rPr>
                <w:sz w:val="20"/>
                <w:szCs w:val="20"/>
                <w:color w:val="auto"/>
              </w:rPr>
            </w:pPr>
            <w:r>
              <w:rPr>
                <w:rFonts w:ascii="Times New Roman" w:cs="Times New Roman" w:eastAsia="Times New Roman" w:hAnsi="Times New Roman"/>
                <w:sz w:val="17"/>
                <w:szCs w:val="17"/>
                <w:color w:val="auto"/>
              </w:rPr>
              <w:t>22,938,512</w:t>
            </w:r>
            <w:r>
              <w:rPr>
                <w:rFonts w:ascii="Times New Roman" w:cs="Times New Roman" w:eastAsia="Times New Roman" w:hAnsi="Times New Roman"/>
                <w:sz w:val="27"/>
                <w:szCs w:val="27"/>
                <w:color w:val="auto"/>
                <w:vertAlign w:val="superscript"/>
              </w:rPr>
              <w:t>(1)(2)</w:t>
            </w:r>
          </w:p>
        </w:tc>
        <w:tc>
          <w:tcPr>
            <w:tcW w:w="0" w:type="dxa"/>
            <w:vAlign w:val="bottom"/>
          </w:tcPr>
          <w:p>
            <w:pPr>
              <w:spacing w:after="0"/>
              <w:rPr>
                <w:sz w:val="1"/>
                <w:szCs w:val="1"/>
                <w:color w:val="auto"/>
              </w:rPr>
            </w:pPr>
          </w:p>
        </w:tc>
      </w:tr>
      <w:tr>
        <w:trPr>
          <w:trHeight w:val="93"/>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bottom w:val="single" w:sz="8" w:color="auto"/>
              <w:right w:val="single" w:sz="8" w:color="auto"/>
            </w:tcBorders>
          </w:tcPr>
          <w:p>
            <w:pPr>
              <w:spacing w:after="0"/>
              <w:rPr>
                <w:sz w:val="8"/>
                <w:szCs w:val="8"/>
                <w:color w:val="auto"/>
              </w:rPr>
            </w:pPr>
          </w:p>
        </w:tc>
        <w:tc>
          <w:tcPr>
            <w:tcW w:w="8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7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8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8"/>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vMerge w:val="continue"/>
          </w:tcPr>
          <w:p>
            <w:pPr>
              <w:spacing w:after="0"/>
              <w:rPr>
                <w:sz w:val="12"/>
                <w:szCs w:val="12"/>
                <w:color w:val="auto"/>
              </w:rPr>
            </w:pPr>
          </w:p>
        </w:tc>
        <w:tc>
          <w:tcPr>
            <w:tcW w:w="8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2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right w:val="single" w:sz="8" w:color="auto"/>
            </w:tcBorders>
          </w:tcPr>
          <w:p>
            <w:pPr>
              <w:spacing w:after="0"/>
              <w:rPr>
                <w:sz w:val="14"/>
                <w:szCs w:val="14"/>
                <w:color w:val="auto"/>
              </w:rPr>
            </w:pPr>
          </w:p>
        </w:tc>
        <w:tc>
          <w:tcPr>
            <w:tcW w:w="8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720" w:type="dxa"/>
            <w:vAlign w:val="bottom"/>
            <w:tcBorders>
              <w:right w:val="single" w:sz="8" w:color="auto"/>
            </w:tcBorders>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7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EACH</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8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71"/>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vMerge w:val="continue"/>
          </w:tcPr>
          <w:p>
            <w:pPr>
              <w:spacing w:after="0"/>
              <w:rPr>
                <w:sz w:val="6"/>
                <w:szCs w:val="6"/>
                <w:color w:val="auto"/>
              </w:rPr>
            </w:pPr>
          </w:p>
        </w:tc>
        <w:tc>
          <w:tcPr>
            <w:tcW w:w="8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7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740" w:type="dxa"/>
            <w:vAlign w:val="bottom"/>
            <w:vMerge w:val="restart"/>
          </w:tcPr>
          <w:p>
            <w:pPr>
              <w:ind w:left="60"/>
              <w:spacing w:after="0" w:line="324" w:lineRule="exact"/>
              <w:rPr>
                <w:sz w:val="20"/>
                <w:szCs w:val="20"/>
                <w:color w:val="auto"/>
              </w:rPr>
            </w:pPr>
            <w:r>
              <w:rPr>
                <w:rFonts w:ascii="Times New Roman" w:cs="Times New Roman" w:eastAsia="Times New Roman" w:hAnsi="Times New Roman"/>
                <w:sz w:val="18"/>
                <w:szCs w:val="18"/>
                <w:color w:val="auto"/>
              </w:rPr>
              <w:t>22,938,512</w:t>
            </w:r>
            <w:r>
              <w:rPr>
                <w:rFonts w:ascii="Times New Roman" w:cs="Times New Roman" w:eastAsia="Times New Roman" w:hAnsi="Times New Roman"/>
                <w:sz w:val="29"/>
                <w:szCs w:val="29"/>
                <w:color w:val="auto"/>
                <w:vertAlign w:val="superscript"/>
              </w:rPr>
              <w:t>(1)(2)</w:t>
            </w:r>
          </w:p>
        </w:tc>
        <w:tc>
          <w:tcPr>
            <w:tcW w:w="0" w:type="dxa"/>
            <w:vAlign w:val="bottom"/>
          </w:tcPr>
          <w:p>
            <w:pPr>
              <w:spacing w:after="0"/>
              <w:rPr>
                <w:sz w:val="1"/>
                <w:szCs w:val="1"/>
                <w:color w:val="auto"/>
              </w:rPr>
            </w:pPr>
          </w:p>
        </w:tc>
      </w:tr>
      <w:tr>
        <w:trPr>
          <w:trHeight w:val="180"/>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720" w:type="dxa"/>
            <w:vAlign w:val="bottom"/>
            <w:tcBorders>
              <w:right w:val="single" w:sz="8" w:color="auto"/>
            </w:tcBorders>
            <w:vMerge w:val="continue"/>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7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7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880" w:right="3800" w:hanging="547"/>
        <w:spacing w:after="0" w:line="272" w:lineRule="auto"/>
        <w:tabs>
          <w:tab w:leader="none" w:pos="8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22,938,512</w:t>
      </w:r>
      <w:r>
        <w:rPr>
          <w:rFonts w:ascii="Times New Roman" w:cs="Times New Roman" w:eastAsia="Times New Roman" w:hAnsi="Times New Roman"/>
          <w:sz w:val="29"/>
          <w:szCs w:val="29"/>
          <w:color w:val="auto"/>
          <w:vertAlign w:val="superscript"/>
        </w:rPr>
        <w:t>(1)(2)</w:t>
      </w:r>
    </w:p>
    <w:p>
      <w:pPr>
        <w:spacing w:after="0" w:line="1" w:lineRule="exact"/>
        <w:rPr>
          <w:rFonts w:ascii="Times New Roman" w:cs="Times New Roman" w:eastAsia="Times New Roman" w:hAnsi="Times New Roman"/>
          <w:sz w:val="18"/>
          <w:szCs w:val="18"/>
          <w:color w:val="auto"/>
        </w:rPr>
      </w:pPr>
    </w:p>
    <w:p>
      <w:pPr>
        <w:ind w:left="880" w:hanging="550"/>
        <w:spacing w:after="0"/>
        <w:tabs>
          <w:tab w:leader="none" w:pos="8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6"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880" w:hanging="550"/>
        <w:spacing w:after="0"/>
        <w:tabs>
          <w:tab w:leader="none" w:pos="8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74.25%</w:t>
      </w:r>
    </w:p>
    <w:p>
      <w:pPr>
        <w:spacing w:after="0" w:line="125" w:lineRule="exact"/>
        <w:rPr>
          <w:rFonts w:ascii="Times New Roman" w:cs="Times New Roman" w:eastAsia="Times New Roman" w:hAnsi="Times New Roman"/>
          <w:sz w:val="18"/>
          <w:szCs w:val="18"/>
          <w:color w:val="auto"/>
        </w:rPr>
      </w:pPr>
    </w:p>
    <w:p>
      <w:pPr>
        <w:ind w:left="880" w:right="6020" w:hanging="550"/>
        <w:spacing w:after="0" w:line="282" w:lineRule="auto"/>
        <w:tabs>
          <w:tab w:leader="none" w:pos="8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242" w:lineRule="exact"/>
        <w:rPr>
          <w:rFonts w:ascii="Times New Roman" w:cs="Times New Roman" w:eastAsia="Times New Roman" w:hAnsi="Times New Roman"/>
          <w:sz w:val="18"/>
          <w:szCs w:val="18"/>
          <w:color w:val="auto"/>
        </w:rPr>
      </w:pPr>
    </w:p>
    <w:p>
      <w:pPr>
        <w:ind w:left="340" w:right="120" w:hanging="332"/>
        <w:spacing w:after="0" w:line="25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19,721,187 ordinary shares, no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Karooooo Ltd., a Singapore public limited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consisting of 20,332,894 Ordinary Shares held by Mr. Calisto prior to the Issuer’s initial public offering in the United States, and 86,400 Ordinary Shares acquired by Mr. Calisto pursuant to his participation in the Reinvestment (as defined below), less 309,000 Ordinary Shares sold by Mr. Calisto on the Johannesburg Stock Exchange pursuant to Rule 144 during November 2021, 81,483 Ordinary Shares sold by Mr. Calisto on the 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pursuant to Rule 144 during February 2022, and 307,624 Ordinary Shares sold by Mr. Calisto on Nasdaq pursuant to Rule 144 during August 2024, according to information provided by the Issuer.</w:t>
      </w:r>
    </w:p>
    <w:p>
      <w:pPr>
        <w:spacing w:after="0" w:line="187" w:lineRule="exact"/>
        <w:rPr>
          <w:rFonts w:ascii="Times New Roman" w:cs="Times New Roman" w:eastAsia="Times New Roman" w:hAnsi="Times New Roman"/>
          <w:sz w:val="18"/>
          <w:szCs w:val="18"/>
          <w:color w:val="auto"/>
        </w:rPr>
      </w:pPr>
    </w:p>
    <w:p>
      <w:pPr>
        <w:ind w:left="340" w:right="40" w:hanging="332"/>
        <w:spacing w:after="0" w:line="25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3,217,325 Ordinary Shares held by One Spire (Pty) Ltd. (“</w:t>
      </w:r>
      <w:r>
        <w:rPr>
          <w:rFonts w:ascii="Times New Roman" w:cs="Times New Roman" w:eastAsia="Times New Roman" w:hAnsi="Times New Roman"/>
          <w:sz w:val="18"/>
          <w:szCs w:val="18"/>
          <w:u w:val="single" w:color="auto"/>
          <w:color w:val="auto"/>
        </w:rPr>
        <w:t>One Spire</w:t>
      </w:r>
      <w:r>
        <w:rPr>
          <w:rFonts w:ascii="Times New Roman" w:cs="Times New Roman" w:eastAsia="Times New Roman" w:hAnsi="Times New Roman"/>
          <w:sz w:val="18"/>
          <w:szCs w:val="18"/>
          <w:color w:val="auto"/>
        </w:rPr>
        <w:t>”), pursuant to the A&amp;R One Spire Voting Agreement described herein, according to information provided by the Issuer. Beneficial ownership of the 3,217,325 Ordinary Shares held by One Spire is being reported hereunder solely because Mr. Calisto may be deemed to have beneficial ownership and shared voting and dispositive power as a result of the A&amp;R One Spire Voting Agreement described herein. Neither the filing of this Schedule 13D/A nor any of its contents shall be deemed to constitute an admission by Mr. Calisto that he is the beneficial owner of any Ordinary Shares held by One Spire for purposes of Section 13(d) of the Exchange Act or for any other purpose, and such beneficial ownership thereof is expressly disclaimed.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Amendment No. 3 amends, restates and supersedes the statement on Schedule 13D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filed with the U.S. Securities and Exchange Commission on April 26, 2021, as amended and restated by the Amendment No. 1 filed with the SEC on August 23, 2021 (File No. 005-92497), and as further amended and restated by the Amendment No. 2 filed with the SEC on December 8, 2021 (File No. 005-92497), by Isaias (Zak) Jose Calisto, a South African Citizen relating to the Ordinary Shares of the Issuer. Information reported in this Schedule 13D/A amends, restates and supersedes information provided in the Schedule 13D, as amended.</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references in this filing to “U.S. dollars,” “U.S.$,” “$” and “USD” refer to the currency of the United States of America and all references to “R”, “rand” and “ZAR” refer to the currency of South Africa.</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Schedule 13D/A relates to the ordinary shares, no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Karooooo Ltd., a Singapore public limited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address of the principal executive office of the Issuer is 1 Harbourfront Avenue, Keppel Bay Tower #14-07, Singapore 098632.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 This Schedule 13D/A is being filed by Isaias (Zak) Jose Calisto, a South African citizen.</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Isaias (Zak) Jose Calisto is c/o Karooooo Ltd., 1 Harbourfront Avenue, Keppel Bay Tower #14-07, Singapore 098632.</w:t>
      </w:r>
    </w:p>
    <w:p>
      <w:pPr>
        <w:spacing w:after="0" w:line="162"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Mr. Calisto is serving as the Chief Executive Officer and as a director of the Issuer.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Mr. Calisto has not been convicted in a criminal proceeding (excluding traffic violations or similar misdemeanors).</w:t>
      </w:r>
    </w:p>
    <w:p>
      <w:pPr>
        <w:spacing w:after="0" w:line="225" w:lineRule="exact"/>
        <w:rPr>
          <w:rFonts w:ascii="Times New Roman" w:cs="Times New Roman" w:eastAsia="Times New Roman" w:hAnsi="Times New Roman"/>
          <w:sz w:val="18"/>
          <w:szCs w:val="18"/>
          <w:color w:val="auto"/>
        </w:rPr>
      </w:pPr>
    </w:p>
    <w:p>
      <w:pPr>
        <w:ind w:right="60" w:firstLine="8"/>
        <w:spacing w:after="0" w:line="266"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Mr. Calisto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2(a)-(b) above for citizenship of Mr. Calisto.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Not applicable. As more fully described in Item 4 hereof, Mr. Calisto has not paid any funds or other consideration in connection with the acquisition of Ordinary Shares by One Spire, over which Mr. Calisto may be deemed to have beneficial ownership and shared voting and dispositive power as a result of the A&amp;R One Spire Voting Agreement (as defined below) described herein. Mr. Calisto has not otherwise acquired any Ordinary Shares since the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 anticipation of the Issuer’s initial public offering, and recognizing that Mr. Calisto, as founder, would receive no special rights pursuant to the Constitution of the Issuer, Mr. Calisto and Georgem Holdings (Pty) Ltd. (“</w:t>
      </w:r>
      <w:r>
        <w:rPr>
          <w:rFonts w:ascii="Times New Roman" w:cs="Times New Roman" w:eastAsia="Times New Roman" w:hAnsi="Times New Roman"/>
          <w:sz w:val="17"/>
          <w:szCs w:val="17"/>
          <w:u w:val="single" w:color="auto"/>
          <w:color w:val="auto"/>
        </w:rPr>
        <w:t>Georgem</w:t>
      </w:r>
      <w:r>
        <w:rPr>
          <w:rFonts w:ascii="Times New Roman" w:cs="Times New Roman" w:eastAsia="Times New Roman" w:hAnsi="Times New Roman"/>
          <w:sz w:val="17"/>
          <w:szCs w:val="17"/>
          <w:color w:val="auto"/>
        </w:rPr>
        <w:t>”) entered into that certain Voting Agreement (the “</w:t>
      </w:r>
      <w:r>
        <w:rPr>
          <w:rFonts w:ascii="Times New Roman" w:cs="Times New Roman" w:eastAsia="Times New Roman" w:hAnsi="Times New Roman"/>
          <w:sz w:val="17"/>
          <w:szCs w:val="17"/>
          <w:u w:val="single" w:color="auto"/>
          <w:color w:val="auto"/>
        </w:rPr>
        <w:t>Original 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March 22, 2021, with the purpose of providing Mr. Calisto and his permitted transferees the right to exercise, or cause Georgem to exercise as directed by Mr. Calisto and his permitted transferees, the voting rights in respect of the Initial Georgem Holding (as defined below).</w:t>
      </w:r>
    </w:p>
    <w:p>
      <w:pPr>
        <w:spacing w:after="0" w:line="1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initial public offering of the Issuer in the United States, a corporate reorganization (the “</w:t>
      </w:r>
      <w:r>
        <w:rPr>
          <w:rFonts w:ascii="Times New Roman" w:cs="Times New Roman" w:eastAsia="Times New Roman" w:hAnsi="Times New Roman"/>
          <w:sz w:val="18"/>
          <w:szCs w:val="18"/>
          <w:u w:val="single" w:color="auto"/>
          <w:color w:val="auto"/>
        </w:rPr>
        <w:t>Corporate Reorganization</w:t>
      </w:r>
      <w:r>
        <w:rPr>
          <w:rFonts w:ascii="Times New Roman" w:cs="Times New Roman" w:eastAsia="Times New Roman" w:hAnsi="Times New Roman"/>
          <w:sz w:val="18"/>
          <w:szCs w:val="18"/>
          <w:color w:val="auto"/>
        </w:rPr>
        <w:t>”) was undertaken pursuant to a scheme of arrangement under Section 114(1) (as read with Section 115) of the South African Companies Act (the “</w:t>
      </w:r>
      <w:r>
        <w:rPr>
          <w:rFonts w:ascii="Times New Roman" w:cs="Times New Roman" w:eastAsia="Times New Roman" w:hAnsi="Times New Roman"/>
          <w:sz w:val="18"/>
          <w:szCs w:val="18"/>
          <w:u w:val="single" w:color="auto"/>
          <w:color w:val="auto"/>
        </w:rPr>
        <w:t>Scheme</w:t>
      </w:r>
      <w:r>
        <w:rPr>
          <w:rFonts w:ascii="Times New Roman" w:cs="Times New Roman" w:eastAsia="Times New Roman" w:hAnsi="Times New Roman"/>
          <w:sz w:val="18"/>
          <w:szCs w:val="18"/>
          <w:color w:val="auto"/>
        </w:rPr>
        <w:t>”), whereby the Issuer, as the majority shareholder of Cartrack Holdings Limited (“</w:t>
      </w:r>
      <w:r>
        <w:rPr>
          <w:rFonts w:ascii="Times New Roman" w:cs="Times New Roman" w:eastAsia="Times New Roman" w:hAnsi="Times New Roman"/>
          <w:sz w:val="18"/>
          <w:szCs w:val="18"/>
          <w:u w:val="single" w:color="auto"/>
          <w:color w:val="auto"/>
        </w:rPr>
        <w:t>Cartrack</w:t>
      </w:r>
      <w:r>
        <w:rPr>
          <w:rFonts w:ascii="Times New Roman" w:cs="Times New Roman" w:eastAsia="Times New Roman" w:hAnsi="Times New Roman"/>
          <w:sz w:val="18"/>
          <w:szCs w:val="18"/>
          <w:color w:val="auto"/>
        </w:rPr>
        <w:t>”) acquired for cash all of the outstanding ordinary shares held by the minority shareholders of Cartrack at a price equal to R42.00 per share (the “</w:t>
      </w:r>
      <w:r>
        <w:rPr>
          <w:rFonts w:ascii="Times New Roman" w:cs="Times New Roman" w:eastAsia="Times New Roman" w:hAnsi="Times New Roman"/>
          <w:sz w:val="18"/>
          <w:szCs w:val="18"/>
          <w:u w:val="single" w:color="auto"/>
          <w:color w:val="auto"/>
        </w:rPr>
        <w:t>Scheme Consideration</w:t>
      </w:r>
      <w:r>
        <w:rPr>
          <w:rFonts w:ascii="Times New Roman" w:cs="Times New Roman" w:eastAsia="Times New Roman" w:hAnsi="Times New Roman"/>
          <w:sz w:val="18"/>
          <w:szCs w:val="18"/>
          <w:color w:val="auto"/>
        </w:rPr>
        <w:t>”), and, as a result, Cartrack became a wholly owned subsidiary of the Issuer. In connection with the Scheme, certain eligible shareholders of Cartrack elected to use all or a portion of their Scheme Consideration to subscribe for Ordinary Shares of the Issuer (the “</w:t>
      </w:r>
      <w:r>
        <w:rPr>
          <w:rFonts w:ascii="Times New Roman" w:cs="Times New Roman" w:eastAsia="Times New Roman" w:hAnsi="Times New Roman"/>
          <w:sz w:val="18"/>
          <w:szCs w:val="18"/>
          <w:u w:val="single" w:color="auto"/>
          <w:color w:val="auto"/>
        </w:rPr>
        <w:t>Reinvestment</w:t>
      </w:r>
      <w:r>
        <w:rPr>
          <w:rFonts w:ascii="Times New Roman" w:cs="Times New Roman" w:eastAsia="Times New Roman" w:hAnsi="Times New Roman"/>
          <w:sz w:val="18"/>
          <w:szCs w:val="18"/>
          <w:color w:val="auto"/>
        </w:rPr>
        <w:t>”). Georgem, an eligible Cartrack shareholder, used its Scheme Consideration to participate in the Reinvestment and acquired 3,550,000 Ordinary Shares on April 21, 2021 (the “</w:t>
      </w:r>
      <w:r>
        <w:rPr>
          <w:rFonts w:ascii="Times New Roman" w:cs="Times New Roman" w:eastAsia="Times New Roman" w:hAnsi="Times New Roman"/>
          <w:sz w:val="18"/>
          <w:szCs w:val="18"/>
          <w:u w:val="single" w:color="auto"/>
          <w:color w:val="auto"/>
        </w:rPr>
        <w:t>Initial Georgem Holding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260"/>
        <w:spacing w:after="0" w:line="282" w:lineRule="auto"/>
        <w:rPr>
          <w:sz w:val="20"/>
          <w:szCs w:val="20"/>
          <w:color w:val="auto"/>
        </w:rPr>
      </w:pPr>
      <w:r>
        <w:rPr>
          <w:rFonts w:ascii="Times New Roman" w:cs="Times New Roman" w:eastAsia="Times New Roman" w:hAnsi="Times New Roman"/>
          <w:sz w:val="18"/>
          <w:szCs w:val="18"/>
          <w:color w:val="auto"/>
        </w:rPr>
        <w:t>Also in connection with the Corporate Reorganization, Mr. Calisto, an eligible Cartrack shareholder, used his Scheme Consideration to participate in the Reinvestment and acquired 86,400 additional Ordinary Shares on April 21, 2021.</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August 12, 2021, in anticipation of the August One Spire Transaction (as defined below), Mr. Calisto and Georgem entered into that certain Amended and Restated Voting Agreement (the “</w:t>
      </w:r>
      <w:r>
        <w:rPr>
          <w:rFonts w:ascii="Times New Roman" w:cs="Times New Roman" w:eastAsia="Times New Roman" w:hAnsi="Times New Roman"/>
          <w:sz w:val="17"/>
          <w:szCs w:val="17"/>
          <w:u w:val="single" w:color="auto"/>
          <w:color w:val="auto"/>
        </w:rPr>
        <w:t>A&amp;R Georgem Voting Agreement</w:t>
      </w:r>
      <w:r>
        <w:rPr>
          <w:rFonts w:ascii="Times New Roman" w:cs="Times New Roman" w:eastAsia="Times New Roman" w:hAnsi="Times New Roman"/>
          <w:sz w:val="17"/>
          <w:szCs w:val="17"/>
          <w:color w:val="auto"/>
        </w:rPr>
        <w:t>”) dated as of August 12, 2021, with the purpose of amending, restating and superseding the Original Voting Agreement to permit Georgem to transfer 3,000,000 Ordinary Shares in connection with the August One Spire Transaction.</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A&amp;R Georgem Voting Agreement, Mr. Calisto and Georgem had agreed that if Mr. Calisto’s beneficial ownership falls to below 51% of the issued and outstanding Ordinary Shares of the Issuer, then Georgem will cast all votes in respect of the Ordinary Shares held by Georgem as directed by Mr. Calisto and his permitted transferees. In addition, without the prior written consent of Mr. Calisto, Georgem is not permitted to acquire any additional Ordinary Shares.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Concurrent with execution of the A&amp;R Georgem Voting Agreement and in anticipation of the August One Spire Transaction, Mr. Calisto and One Spire entered into that certain Voting Agreement (the “</w:t>
      </w:r>
      <w:r>
        <w:rPr>
          <w:rFonts w:ascii="Times New Roman" w:cs="Times New Roman" w:eastAsia="Times New Roman" w:hAnsi="Times New Roman"/>
          <w:sz w:val="18"/>
          <w:szCs w:val="18"/>
          <w:u w:val="single" w:color="auto"/>
          <w:color w:val="auto"/>
        </w:rPr>
        <w:t>Original One Spire Voting Agreement</w:t>
      </w:r>
      <w:r>
        <w:rPr>
          <w:rFonts w:ascii="Times New Roman" w:cs="Times New Roman" w:eastAsia="Times New Roman" w:hAnsi="Times New Roman"/>
          <w:sz w:val="18"/>
          <w:szCs w:val="18"/>
          <w:color w:val="auto"/>
        </w:rPr>
        <w:t>”), dated as of August 12, 2021, with the purpose of providing Mr. Calisto and his permitted transferees the right to exercise, or cause One Spire to exercise as directed by Mr. Calisto and his permitted transferees, the voting rights in respect of the Ordinary Shares held by One Spire in connection with the August One Spire Transaction or otherwise held by One Spire.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August 23, 2021, Georgem and One Spire consummated a transfer of 3,000,000 Ordinary Shares held by Georgem to One Spire (the “</w:t>
      </w:r>
      <w:r>
        <w:rPr>
          <w:rFonts w:ascii="Times New Roman" w:cs="Times New Roman" w:eastAsia="Times New Roman" w:hAnsi="Times New Roman"/>
          <w:sz w:val="18"/>
          <w:szCs w:val="18"/>
          <w:u w:val="single" w:color="auto"/>
          <w:color w:val="auto"/>
        </w:rPr>
        <w:t>August One Spire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Georgem retained 550,000 Ordinary Shares following the August One Spire Transaction.</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August 25, 2021, Georgem sold 309,000 Ordinary Shares on the Johannesburg Stock Exchange pursuant to Rule 144. Georgem retained 241,000 Ordinary Shares following this sale.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Between November 5 and November 22, 2021, Mr. Calisto sold 309,000 Ordinary Shares on the Johannesburg Stock Exchange pursuant to Rule 144 for aggregate consideration of R156,585,631.74 at a price of R506.75 per Ordinary Share, through Peresec SA Nominees (Pty) Ltd. as broker, primarily to fund taxes and costs related to the Scheme.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November 29, 2021, Georgem and One Spire consummated a transfer of 100,000 Ordinary Shares held by Georgem to One Spire (the “</w:t>
      </w:r>
      <w:r>
        <w:rPr>
          <w:rFonts w:ascii="Times New Roman" w:cs="Times New Roman" w:eastAsia="Times New Roman" w:hAnsi="Times New Roman"/>
          <w:sz w:val="18"/>
          <w:szCs w:val="18"/>
          <w:u w:val="single" w:color="auto"/>
          <w:color w:val="auto"/>
        </w:rPr>
        <w:t>November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Spire Transaction</w:t>
      </w:r>
      <w:r>
        <w:rPr>
          <w:rFonts w:ascii="Times New Roman" w:cs="Times New Roman" w:eastAsia="Times New Roman" w:hAnsi="Times New Roman"/>
          <w:sz w:val="18"/>
          <w:szCs w:val="18"/>
          <w:color w:val="auto"/>
        </w:rPr>
        <w:t>”). Georgem retained 141,000 Ordinary Shares following the November One Spire Transaction. One Spire holds 3,100,000 Ordinary Shares following the November One Spire Transaction.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November 30, 2021, Georgem sold 141,000 Ordinary Shares on the Johannesburg Stock Exchange pursuant to Rule 144. Georgem no longer holds any Ordinary Shares.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December 6, 2021, in connection with the November One Spire Transaction, Mr. Calisto and One Spire entered into that certain Amended and Restated Voting Agreement (the “</w:t>
      </w:r>
      <w:r>
        <w:rPr>
          <w:rFonts w:ascii="Times New Roman" w:cs="Times New Roman" w:eastAsia="Times New Roman" w:hAnsi="Times New Roman"/>
          <w:sz w:val="18"/>
          <w:szCs w:val="18"/>
          <w:u w:val="single" w:color="auto"/>
          <w:color w:val="auto"/>
        </w:rPr>
        <w:t>A&amp;R One Spire Voting Agreement</w:t>
      </w:r>
      <w:r>
        <w:rPr>
          <w:rFonts w:ascii="Times New Roman" w:cs="Times New Roman" w:eastAsia="Times New Roman" w:hAnsi="Times New Roman"/>
          <w:sz w:val="18"/>
          <w:szCs w:val="18"/>
          <w:color w:val="auto"/>
        </w:rPr>
        <w:t>”), dated as of December 6, 2021, with the purpose of amending, restating and superseding the Original One Spire Voting Agreement.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A&amp;R One Spire Voting Agreement, Mr. Calisto and One Spire have agreed that if Mr. Calisto’s beneficial ownership falls to below 51% of the issued and outstanding Ordinary Shares of the Issuer, then One Spire will cast all votes in respect of the Ordinary Shares held by One Spire as directed by Mr. Calisto and his permitted transferees. In addition, without the prior written consent of Mr. Calisto, One Spire is not permitted to (i) transfer any Ordinary Shares owned by One Spire or (ii) acquire any additional Ordinary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Calisto disclaims beneficial ownership of such Ordinary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right="100"/>
        <w:spacing w:after="0" w:line="261" w:lineRule="auto"/>
        <w:rPr>
          <w:sz w:val="20"/>
          <w:szCs w:val="20"/>
          <w:color w:val="auto"/>
        </w:rPr>
      </w:pPr>
      <w:r>
        <w:rPr>
          <w:rFonts w:ascii="Times New Roman" w:cs="Times New Roman" w:eastAsia="Times New Roman" w:hAnsi="Times New Roman"/>
          <w:sz w:val="18"/>
          <w:szCs w:val="18"/>
          <w:color w:val="auto"/>
        </w:rPr>
        <w:t>The description of the voting agreements contained in this Item 4 is not intended to be complete and is qualified in its entirety by reference to such documents. The A&amp;R One Spire Voting Agreement, which is the only voting agreement described herein pursuant to which Mr. Calisto may be deemed to have beneficial ownership and shared voting and dispositive power over Ordinary Shares, is filed as Exhibit 99.1 hereto and incorporated by reference herein.</w:t>
      </w:r>
    </w:p>
    <w:p>
      <w:pPr>
        <w:spacing w:after="0" w:line="180" w:lineRule="exact"/>
        <w:rPr>
          <w:sz w:val="20"/>
          <w:szCs w:val="20"/>
          <w:color w:val="auto"/>
        </w:rPr>
      </w:pPr>
    </w:p>
    <w:p>
      <w:pPr>
        <w:ind w:right="980"/>
        <w:spacing w:after="0" w:line="312" w:lineRule="auto"/>
        <w:rPr>
          <w:sz w:val="20"/>
          <w:szCs w:val="20"/>
          <w:color w:val="auto"/>
        </w:rPr>
      </w:pPr>
      <w:r>
        <w:rPr>
          <w:rFonts w:ascii="Times New Roman" w:cs="Times New Roman" w:eastAsia="Times New Roman" w:hAnsi="Times New Roman"/>
          <w:sz w:val="17"/>
          <w:szCs w:val="17"/>
          <w:color w:val="auto"/>
        </w:rPr>
        <w:t>During February 2022, Mr. Calisto sold 81,483 Ordinary Shares on the Nasdaq Capital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pursuant to Rule 144 for aggregate consideration of approximately $2,723,161.86 at an average price of $33.42 per Ordinary Share, through DBS Bank Limited, as broker.</w:t>
      </w:r>
    </w:p>
    <w:p>
      <w:pPr>
        <w:spacing w:after="0" w:line="140"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During August 2024, Mr. Calisto sold 307,624 Ordinary Shares on Nasdaq pursuant to Rule 144 for aggregate consideration of approximately $10,760,687.50 at an average price of $34.98 per Ordinary Share, through DBS Bank Limited, as broker.</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during the three months ended August 31, 2022, One Spire acquired 40,000 Ordinary Shares on the Johannesburg Stock Exchange for aggregate consideration of approximately R16,088,400.00 at an average price of R402.21 per Ordinary Share. During the three months ending August 31, 2024, One Spire acquired 77,325 Ordinary Shares on the Johannesburg Stock Exchange for aggregate consideration of approximately R48,825,324.80 at an average price of R631.43 per Ordinary Share. Mr. Calisto may be deemed to have beneficial ownership and shared voting and dispositive power over One Spire’s Ordinary Shares as a result of the A&amp;R One Spire Voting Agreement. Mr. Calisto disclaims beneficial ownership of such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6 of this Schedule 13D/A is incorporated herein by reference.</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Calisto intends to review his investment in the Issuer on an ongoing basis and, in the course of his review, may take actions (including through their affiliates) with respect to his investment or the Issuer, including communicating with the board of directors of the Issuer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members of management or other security 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Mr. Calisto is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Such discussions and actions may be preliminary and exploratory in nature, and not rise to the level of a plan or proposal. Subject to the terms and conditions of the documents described herein to which Mr. Calisto is a party, Mr. Calisto or his affiliates may seek to acquire securities of the Issuer, including Ordinary Shares and/or other equity, debt, notes or other financial instruments related to the Issuer or the Ordinary Shares (which may include rights or securities exercisable or convertible into securities of the Issuer), and/or sell or otherwise dispose of some or all of such Issuer securities or financial instruments (which may include distributing some or all of such securities to Mr. Calisto’s respective partners or beneficiaries, as applicable) from time to time, in each case, in open market or private transactions, block sales or otherwise. Any transaction that Mr. Calisto or his affiliates may pursue, subject to the terms and conditions of the documents described herein to which Mr. Calisto is a party, may be made at any time and from time to time without prior notice and will depend on a variety of factors, including, without limitation, the price and availability of the Issuer’s securities or other financial instruments, Mr. Calisto’s or such affiliates’ trading and investment strategies, subsequent developments affecting the Issuer, the Issuer’s business and the Issuer’s prospects, other investment and business opportunities available to Mr. Calisto and his affiliates, general industry and economic conditions, the securities markets in general, tax considerations and other factors deemed relevant by Mr. Calisto and such affiliates.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In particular, on July 11, 2024, to satisfy Mr. Calisto’s exercise of his demand registration rights pursuant to Sections 2.01(a) and 2.01(f) of the Registration Rights Agreement (as defined below), the Issuer filed a Registration Statement on Form F-3 (File No. 333-280758) (the “</w:t>
      </w:r>
      <w:r>
        <w:rPr>
          <w:rFonts w:ascii="Times New Roman" w:cs="Times New Roman" w:eastAsia="Times New Roman" w:hAnsi="Times New Roman"/>
          <w:sz w:val="18"/>
          <w:szCs w:val="18"/>
          <w:u w:val="single" w:color="auto"/>
          <w:color w:val="auto"/>
        </w:rPr>
        <w:t>Form F-3</w:t>
      </w:r>
      <w:r>
        <w:rPr>
          <w:rFonts w:ascii="Times New Roman" w:cs="Times New Roman" w:eastAsia="Times New Roman" w:hAnsi="Times New Roman"/>
          <w:sz w:val="18"/>
          <w:szCs w:val="18"/>
          <w:color w:val="auto"/>
        </w:rPr>
        <w:t>”) to register the offer and sale of up to 6,000,000 Ordinary Shares of the Issuer held by Mr. Calisto. Mr. Calisto may dispose of up to 6,000,000 Ordinary Shares registered for sale pursuant to the Form F-3 from time to time to increase the free float of the Issuer and provide for market liquidity.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Mr. Calisto may dispose of up to an additional 1,235,732 Ordinary Shares within 12 months from the date of this filing, pursuant to Rule 144, to increase the free float of the Issuer and provide for market liquidity.</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his capacity as Chief Executive Officer and a director of the Issuer, Mr. Calisto intends to continue taking an active role in the Issuer’s management. Also, in his capacity as Chief Executive Officer and a director of the Issuer, Mr. Calisto intends to be involved in approvals or recommendations with respect to the issuance of additional securities of the Issuer to employees of the Issuer or its subsidiaries.</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Except as described in this Schedule 13D/A, Mr. Calisto does not have any present plans or proposals that relate to or would result in any of the actions described in subparagraphs (a) through (j) of Item 4 of Schedule 13D. However, subject to the agreements described herein, as part of his ongoing evaluation of this investment and investment alternatives, Mr. Calisto may consider such matters and, subject to applicable law, may formulate a plan or proposal with respect to such matters, and, from time to time, may hold discussions with or make formal proposals to management or the Board, other stockholders of the Issuer or other third parties regarding such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(a)-(b) As of the filing date of this Schedule 13D/A, as a result of the A&amp;R One Spire Voting Agreement, Mr. Calisto may be deemed to have (i) beneficial ownership (within the meaning of Rule 13d-3 under the Exchange Act) and (ii) sole power to vote or direct the vote of 3,217,325 Ordinary Shares, which, together with Mr. Calisto’s additional 19,721,187 Ordinary Shares, represents approximately 74.25% of the Ordinary Shares deemed to be outstanding pursuant to Rule 13d-3(d)(1) of the Exchange Act, subject to the conditions and limitations of the A&amp;R One Spire Voting Agreement. Calculations of the percentage of Ordinary Shares beneficially owned assumes that there were 30,893,300 Ordinary Shares outstanding as reported in the Issuer’s Report on Form 6-K filed with the U.S. Securities and Exchange Commission on July 18, 2024. However, as of the filing date of this Schedule 13D/A, as Mr. Calisto otherwise beneficially owns Ordinary Shares representing more than 51% of the total issued and outstanding Ordinary Shares of the Issuer, he may not exercise voting rights in respect of the 3,217,325 Ordinary Shares owned by One Spire.</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aggregate number and percentage of the Ordinary Shares beneficially owned by Mr. Calisto and the number of shares as to which Mr. Calisto has sole power to vote or to direct the vote, shared power to vote or to direct the vote, sole power to dispose or to direct the disposition, or shared power to dispose or to direct the disposition are set forth on rows 7 through 11 and row 13 of the cover pages of this Schedule 13D/A and are incorporated herein by reference.</w:t>
      </w:r>
    </w:p>
    <w:p>
      <w:pPr>
        <w:spacing w:after="0" w:line="180"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13D/A, Mr. Calisto has not effected any transaction in Ordinary Shares in the past 60 days.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set forth, or incorporated by reference, in Items 3 through 5 of this Schedule 13D/A is incorporated by reference into this Item 6. Except as otherwise described in this Schedule 13D/A, to the knowledge of Mr. Calisto, there are no other contracts, arrangements, understandings or relationships (legal or otherwise) among the persons named in Item 2 hereto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April 6, 2021, the Issuer and Mr. Calisto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the terms of the Registration Rights Agreement, the Issuer will provide for customary “demand” registrations and “piggyback” registration rights. The Registration Rights Agreement will also provide that the Issuer will pay certain expenses relating to such registrations and indemnify the registration rights holders against (or make contributions in respect of) certain liabilities which may arise under the Securities Act of 1933, as amended.</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discussed in Item 4 hereto, on July 11, 2024, to satisfy Mr. Calisto’s exercise of his demand registration rights pursuant to Sections 2.01(a) and 2.01(f) of the Registration Rights Agreement, the Issuer filed the Form F-3 to register the offer and sale of up to 6,000,000 Ordinary Shares of the Issuer held by Mr. Calisto.</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description of the Registration Rights Agreement contained in this Item 6 is not intended to be complete and is qualified in its entirety by reference to such document, which was filed as Exhibit 10.5 to the Form F-1 registration statement filed with the U.S. Securities and Exchange Commission on March 22, 2021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180" w:type="dxa"/>
            <w:vAlign w:val="bottom"/>
            <w:tcBorders>
              <w:top w:val="single" w:sz="8" w:color="auto"/>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Amended and Restated Voting Agreement, dated as of December 6, 2021, by and between Mr. Calisto and One Spire (Pty) Ltd.</w:t>
              </w:r>
            </w:hyperlink>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(incorporated by reference to Exhibit 99.1 of the Schedule 13D/A filed by Mr. Calisto on December 8, 2021).</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880" w:type="dxa"/>
            <w:vAlign w:val="bottom"/>
            <w:tcBorders>
              <w:top w:val="single" w:sz="8" w:color="0000EE"/>
              <w:bottom w:val="single" w:sz="8" w:color="auto"/>
            </w:tcBorders>
          </w:tcPr>
          <w:p>
            <w:pPr>
              <w:jc w:val="right"/>
              <w:ind w:right="327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27,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ISAIAS (ZAK) JOSE CALISTO</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Isaias (Zak) Jose Calisto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Isaias (Zak) Jose Calisto</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1"/>
      <w:numFmt w:val="decimal"/>
      <w:start w:val="1"/>
    </w:lvl>
    <w:lvl w:ilvl="1">
      <w:lvlJc w:val="left"/>
      <w:lvlText w:val="%2"/>
      <w:numFmt w:val="decimal"/>
      <w:start w:val="11"/>
    </w:lvl>
  </w:abstractNum>
  <w:abstractNum w:abstractNumId="8">
    <w:nsid w:val="4DB127F8"/>
    <w:multiLevelType w:val="hybridMultilevel"/>
    <w:lvl w:ilvl="0">
      <w:lvlJc w:val="left"/>
      <w:lvlText w:val="(%1)"/>
      <w:numFmt w:val="decimal"/>
      <w:start w:val="1"/>
    </w:lvl>
    <w:lvl w:ilvl="1">
      <w:lvlJc w:val="left"/>
      <w:lvlText w:val="%2"/>
      <w:numFmt w:val="decimal"/>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19" Type="http://schemas.openxmlformats.org/officeDocument/2006/relationships/hyperlink" Target="http://www.sec.gov/Archives/edgar/data/1828102/000095010321019518/dp163327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2024-08-27T15:50:23Z</dcterms:created>
  <dcterms:modified xsi:type="dcterms:W3CDTF">2024-08-27T15:50:23Z</dcterms:modified>
</cp:coreProperties>
</file>