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w:t>
      </w:r>
    </w:p>
    <w:p>
      <w:pPr>
        <w:spacing w:after="0" w:line="37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Karooooo Ltd.</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Ordinary Shares, no par value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Y4600W108</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Georgem Holdings (Pty) Ltd.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 Juan Marais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 Penhurst Avenue, Essexwold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Bedfordview, South Africa 2007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+2782924259</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with a copy to:</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John B. Meade,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Roshni Banker Cariello, Esq.</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Tel: (212) 450-4077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April 21, 2021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8" w:lineRule="exact"/>
        <w:rPr>
          <w:sz w:val="24"/>
          <w:szCs w:val="24"/>
          <w:color w:val="auto"/>
        </w:rPr>
      </w:pPr>
    </w:p>
    <w:p>
      <w:pPr>
        <w:ind w:left="460" w:right="500" w:hanging="452"/>
        <w:spacing w:after="0" w:line="293"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7"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Y4600W108</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560" w:type="dxa"/>
            <w:vAlign w:val="bottom"/>
            <w:tcBorders>
              <w:top w:val="single" w:sz="8" w:color="auto"/>
              <w:right w:val="single" w:sz="8" w:color="auto"/>
            </w:tcBorders>
          </w:tcPr>
          <w:p>
            <w:pPr>
              <w:spacing w:after="0"/>
              <w:rPr>
                <w:sz w:val="22"/>
                <w:szCs w:val="22"/>
                <w:color w:val="auto"/>
              </w:rPr>
            </w:pPr>
          </w:p>
        </w:tc>
        <w:tc>
          <w:tcPr>
            <w:tcW w:w="10460" w:type="dxa"/>
            <w:vAlign w:val="bottom"/>
            <w:tcBorders>
              <w:top w:val="single" w:sz="8" w:color="auto"/>
              <w:right w:val="single" w:sz="8" w:color="auto"/>
            </w:tcBorders>
            <w:gridSpan w:val="4"/>
          </w:tcPr>
          <w:p>
            <w:pPr>
              <w:ind w:left="12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97"/>
              </w:rPr>
              <w:t>Juan Marais</w:t>
            </w:r>
          </w:p>
        </w:tc>
        <w:tc>
          <w:tcPr>
            <w:tcW w:w="280" w:type="dxa"/>
            <w:vAlign w:val="bottom"/>
          </w:tcPr>
          <w:p>
            <w:pPr>
              <w:spacing w:after="0"/>
              <w:rPr>
                <w:sz w:val="23"/>
                <w:szCs w:val="23"/>
                <w:color w:val="auto"/>
              </w:rPr>
            </w:pPr>
          </w:p>
        </w:tc>
        <w:tc>
          <w:tcPr>
            <w:tcW w:w="9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0460" w:type="dxa"/>
            <w:vAlign w:val="bottom"/>
            <w:tcBorders>
              <w:bottom w:val="single" w:sz="8" w:color="auto"/>
              <w:right w:val="single" w:sz="8" w:color="auto"/>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0"/>
        </w:trPr>
        <w:tc>
          <w:tcPr>
            <w:tcW w:w="24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10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40" w:type="dxa"/>
            <w:vAlign w:val="bottom"/>
            <w:tcBorders>
              <w:left w:val="single" w:sz="8" w:color="auto"/>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380" w:type="dxa"/>
            <w:vAlign w:val="bottom"/>
            <w:tcBorders>
              <w:bottom w:val="single" w:sz="8" w:color="auto"/>
            </w:tcBorders>
            <w:gridSpan w:val="3"/>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560" w:type="dxa"/>
            <w:vAlign w:val="bottom"/>
            <w:tcBorders>
              <w:right w:val="single" w:sz="8" w:color="auto"/>
            </w:tcBorders>
          </w:tcPr>
          <w:p>
            <w:pPr>
              <w:spacing w:after="0"/>
              <w:rPr>
                <w:sz w:val="20"/>
                <w:szCs w:val="20"/>
                <w:color w:val="auto"/>
              </w:rPr>
            </w:pPr>
          </w:p>
        </w:tc>
        <w:tc>
          <w:tcPr>
            <w:tcW w:w="1380" w:type="dxa"/>
            <w:vAlign w:val="bottom"/>
            <w:gridSpan w:val="3"/>
          </w:tcPr>
          <w:p>
            <w:pPr>
              <w:ind w:left="120"/>
              <w:spacing w:after="0"/>
              <w:rPr>
                <w:sz w:val="20"/>
                <w:szCs w:val="20"/>
                <w:color w:val="auto"/>
              </w:rPr>
            </w:pPr>
            <w:r>
              <w:rPr>
                <w:rFonts w:ascii="Arial" w:cs="Arial" w:eastAsia="Arial" w:hAnsi="Arial"/>
                <w:sz w:val="18"/>
                <w:szCs w:val="18"/>
                <w:color w:val="auto"/>
                <w:w w:val="91"/>
              </w:rPr>
              <w:t>SEC USE ONLY</w:t>
            </w:r>
          </w:p>
        </w:tc>
        <w:tc>
          <w:tcPr>
            <w:tcW w:w="9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046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OO</w:t>
            </w:r>
          </w:p>
        </w:tc>
        <w:tc>
          <w:tcPr>
            <w:tcW w:w="280" w:type="dxa"/>
            <w:vAlign w:val="bottom"/>
          </w:tcPr>
          <w:p>
            <w:pPr>
              <w:spacing w:after="0"/>
              <w:rPr>
                <w:sz w:val="23"/>
                <w:szCs w:val="23"/>
                <w:color w:val="auto"/>
              </w:rPr>
            </w:pPr>
          </w:p>
        </w:tc>
        <w:tc>
          <w:tcPr>
            <w:tcW w:w="9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0460" w:type="dxa"/>
            <w:vAlign w:val="bottom"/>
            <w:tcBorders>
              <w:bottom w:val="single" w:sz="8" w:color="auto"/>
              <w:right w:val="single" w:sz="8" w:color="auto"/>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90"/>
        </w:trPr>
        <w:tc>
          <w:tcPr>
            <w:tcW w:w="24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100" w:type="dxa"/>
            <w:vAlign w:val="bottom"/>
            <w:gridSpan w:val="2"/>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40" w:type="dxa"/>
            <w:vAlign w:val="bottom"/>
            <w:tcBorders>
              <w:left w:val="single" w:sz="8" w:color="auto"/>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0460" w:type="dxa"/>
            <w:vAlign w:val="bottom"/>
            <w:tcBorders>
              <w:bottom w:val="single" w:sz="8" w:color="auto"/>
              <w:right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97"/>
              </w:rPr>
              <w:t>South Africa</w:t>
            </w:r>
          </w:p>
        </w:tc>
        <w:tc>
          <w:tcPr>
            <w:tcW w:w="280" w:type="dxa"/>
            <w:vAlign w:val="bottom"/>
          </w:tcPr>
          <w:p>
            <w:pPr>
              <w:spacing w:after="0"/>
              <w:rPr>
                <w:sz w:val="23"/>
                <w:szCs w:val="23"/>
                <w:color w:val="auto"/>
              </w:rPr>
            </w:pPr>
          </w:p>
        </w:tc>
        <w:tc>
          <w:tcPr>
            <w:tcW w:w="9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9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158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8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9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240" w:type="dxa"/>
            <w:vAlign w:val="bottom"/>
            <w:tcBorders>
              <w:left w:val="single" w:sz="8" w:color="auto"/>
            </w:tcBorders>
          </w:tcPr>
          <w:p>
            <w:pPr>
              <w:spacing w:after="0"/>
              <w:rPr>
                <w:sz w:val="7"/>
                <w:szCs w:val="7"/>
                <w:color w:val="auto"/>
              </w:rPr>
            </w:pPr>
          </w:p>
        </w:tc>
        <w:tc>
          <w:tcPr>
            <w:tcW w:w="1580" w:type="dxa"/>
            <w:vAlign w:val="bottom"/>
            <w:tcBorders>
              <w:right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9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40" w:type="dxa"/>
            <w:vAlign w:val="bottom"/>
            <w:tcBorders>
              <w:left w:val="single" w:sz="8" w:color="auto"/>
            </w:tcBorders>
          </w:tcPr>
          <w:p>
            <w:pPr>
              <w:spacing w:after="0"/>
              <w:rPr>
                <w:sz w:val="15"/>
                <w:szCs w:val="15"/>
                <w:color w:val="auto"/>
              </w:rPr>
            </w:pPr>
          </w:p>
        </w:tc>
        <w:tc>
          <w:tcPr>
            <w:tcW w:w="158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4"/>
              </w:rPr>
              <w:t>SHARES</w:t>
            </w:r>
          </w:p>
        </w:tc>
        <w:tc>
          <w:tcPr>
            <w:tcW w:w="8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8</w:t>
            </w:r>
          </w:p>
        </w:tc>
        <w:tc>
          <w:tcPr>
            <w:tcW w:w="908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240" w:type="dxa"/>
            <w:vAlign w:val="bottom"/>
            <w:tcBorders>
              <w:left w:val="single" w:sz="8" w:color="auto"/>
            </w:tcBorders>
          </w:tcPr>
          <w:p>
            <w:pPr>
              <w:spacing w:after="0"/>
              <w:rPr>
                <w:sz w:val="18"/>
                <w:szCs w:val="18"/>
                <w:color w:val="auto"/>
              </w:rPr>
            </w:pPr>
          </w:p>
        </w:tc>
        <w:tc>
          <w:tcPr>
            <w:tcW w:w="158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3,550,000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76"/>
        </w:trPr>
        <w:tc>
          <w:tcPr>
            <w:tcW w:w="240" w:type="dxa"/>
            <w:vAlign w:val="bottom"/>
            <w:tcBorders>
              <w:left w:val="single" w:sz="8" w:color="auto"/>
            </w:tcBorders>
          </w:tcPr>
          <w:p>
            <w:pPr>
              <w:spacing w:after="0"/>
              <w:rPr>
                <w:sz w:val="15"/>
                <w:szCs w:val="15"/>
                <w:color w:val="auto"/>
              </w:rPr>
            </w:pPr>
          </w:p>
        </w:tc>
        <w:tc>
          <w:tcPr>
            <w:tcW w:w="158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7"/>
              </w:rPr>
              <w:t>OWNED BY</w:t>
            </w:r>
          </w:p>
        </w:tc>
        <w:tc>
          <w:tcPr>
            <w:tcW w:w="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40" w:type="dxa"/>
            <w:vAlign w:val="bottom"/>
            <w:tcBorders>
              <w:left w:val="single" w:sz="8" w:color="auto"/>
            </w:tcBorders>
          </w:tcPr>
          <w:p>
            <w:pPr>
              <w:spacing w:after="0"/>
              <w:rPr>
                <w:sz w:val="4"/>
                <w:szCs w:val="4"/>
                <w:color w:val="auto"/>
              </w:rPr>
            </w:pPr>
          </w:p>
        </w:tc>
        <w:tc>
          <w:tcPr>
            <w:tcW w:w="1580" w:type="dxa"/>
            <w:vAlign w:val="bottom"/>
            <w:tcBorders>
              <w:right w:val="single" w:sz="8" w:color="auto"/>
            </w:tcBorders>
            <w:gridSpan w:val="2"/>
            <w:vMerge w:val="continue"/>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40" w:type="dxa"/>
            <w:vAlign w:val="bottom"/>
            <w:tcBorders>
              <w:left w:val="single" w:sz="8" w:color="auto"/>
            </w:tcBorders>
          </w:tcPr>
          <w:p>
            <w:pPr>
              <w:spacing w:after="0"/>
              <w:rPr>
                <w:sz w:val="15"/>
                <w:szCs w:val="15"/>
                <w:color w:val="auto"/>
              </w:rPr>
            </w:pPr>
          </w:p>
        </w:tc>
        <w:tc>
          <w:tcPr>
            <w:tcW w:w="158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9</w:t>
            </w:r>
          </w:p>
        </w:tc>
        <w:tc>
          <w:tcPr>
            <w:tcW w:w="908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240" w:type="dxa"/>
            <w:vAlign w:val="bottom"/>
            <w:tcBorders>
              <w:left w:val="single" w:sz="8" w:color="auto"/>
            </w:tcBorders>
          </w:tcPr>
          <w:p>
            <w:pPr>
              <w:spacing w:after="0"/>
              <w:rPr>
                <w:sz w:val="18"/>
                <w:szCs w:val="18"/>
                <w:color w:val="auto"/>
              </w:rPr>
            </w:pPr>
          </w:p>
        </w:tc>
        <w:tc>
          <w:tcPr>
            <w:tcW w:w="158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240" w:type="dxa"/>
            <w:vAlign w:val="bottom"/>
            <w:tcBorders>
              <w:left w:val="single" w:sz="8" w:color="auto"/>
            </w:tcBorders>
          </w:tcPr>
          <w:p>
            <w:pPr>
              <w:spacing w:after="0"/>
              <w:rPr>
                <w:sz w:val="9"/>
                <w:szCs w:val="9"/>
                <w:color w:val="auto"/>
              </w:rPr>
            </w:pPr>
          </w:p>
        </w:tc>
        <w:tc>
          <w:tcPr>
            <w:tcW w:w="1580" w:type="dxa"/>
            <w:vAlign w:val="bottom"/>
            <w:tcBorders>
              <w:right w:val="single" w:sz="8" w:color="auto"/>
            </w:tcBorders>
            <w:gridSpan w:val="2"/>
            <w:vMerge w:val="restart"/>
          </w:tcPr>
          <w:p>
            <w:pPr>
              <w:jc w:val="center"/>
              <w:ind w:right="150"/>
              <w:spacing w:after="0" w:line="190" w:lineRule="exact"/>
              <w:rPr>
                <w:sz w:val="20"/>
                <w:szCs w:val="20"/>
                <w:color w:val="auto"/>
              </w:rPr>
            </w:pPr>
            <w:r>
              <w:rPr>
                <w:rFonts w:ascii="Arial" w:cs="Arial" w:eastAsia="Arial" w:hAnsi="Arial"/>
                <w:sz w:val="18"/>
                <w:szCs w:val="18"/>
                <w:color w:val="auto"/>
                <w:w w:val="92"/>
              </w:rPr>
              <w:t>PERSON</w:t>
            </w:r>
          </w:p>
        </w:tc>
        <w:tc>
          <w:tcPr>
            <w:tcW w:w="8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9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tcBorders>
          </w:tcPr>
          <w:p>
            <w:pPr>
              <w:spacing w:after="0"/>
              <w:rPr>
                <w:sz w:val="7"/>
                <w:szCs w:val="7"/>
                <w:color w:val="auto"/>
              </w:rPr>
            </w:pPr>
          </w:p>
        </w:tc>
        <w:tc>
          <w:tcPr>
            <w:tcW w:w="1580" w:type="dxa"/>
            <w:vAlign w:val="bottom"/>
            <w:tcBorders>
              <w:right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9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9"/>
              </w:rPr>
              <w:t>WITH</w:t>
            </w:r>
          </w:p>
        </w:tc>
        <w:tc>
          <w:tcPr>
            <w:tcW w:w="8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10</w:t>
            </w:r>
          </w:p>
        </w:tc>
        <w:tc>
          <w:tcPr>
            <w:tcW w:w="9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91"/>
        </w:trPr>
        <w:tc>
          <w:tcPr>
            <w:tcW w:w="24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3,550,000</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020" w:type="dxa"/>
            <w:vAlign w:val="bottom"/>
          </w:tcPr>
          <w:p>
            <w:pPr>
              <w:ind w:left="120"/>
              <w:spacing w:after="0"/>
              <w:rPr>
                <w:sz w:val="20"/>
                <w:szCs w:val="20"/>
                <w:color w:val="auto"/>
              </w:rPr>
            </w:pPr>
            <w:r>
              <w:rPr>
                <w:rFonts w:ascii="Arial" w:cs="Arial" w:eastAsia="Arial" w:hAnsi="Arial"/>
                <w:sz w:val="18"/>
                <w:szCs w:val="18"/>
                <w:color w:val="auto"/>
              </w:rPr>
              <w:t>3,550,000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gridSpan w:val="2"/>
          </w:tcPr>
          <w:p>
            <w:pPr>
              <w:spacing w:after="0"/>
              <w:rPr>
                <w:sz w:val="7"/>
                <w:szCs w:val="7"/>
                <w:color w:val="auto"/>
              </w:rPr>
            </w:pPr>
          </w:p>
        </w:tc>
        <w:tc>
          <w:tcPr>
            <w:tcW w:w="9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90"/>
        </w:trPr>
        <w:tc>
          <w:tcPr>
            <w:tcW w:w="24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100" w:type="dxa"/>
            <w:vAlign w:val="bottom"/>
            <w:gridSpan w:val="2"/>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40" w:type="dxa"/>
            <w:vAlign w:val="bottom"/>
            <w:tcBorders>
              <w:left w:val="single" w:sz="8" w:color="auto"/>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gridSpan w:val="2"/>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13</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020" w:type="dxa"/>
            <w:vAlign w:val="bottom"/>
          </w:tcPr>
          <w:p>
            <w:pPr>
              <w:ind w:left="12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gridSpan w:val="2"/>
          </w:tcPr>
          <w:p>
            <w:pPr>
              <w:spacing w:after="0"/>
              <w:rPr>
                <w:sz w:val="7"/>
                <w:szCs w:val="7"/>
                <w:color w:val="auto"/>
              </w:rPr>
            </w:pPr>
          </w:p>
        </w:tc>
        <w:tc>
          <w:tcPr>
            <w:tcW w:w="9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14</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IN</w:t>
            </w:r>
          </w:p>
        </w:tc>
        <w:tc>
          <w:tcPr>
            <w:tcW w:w="280" w:type="dxa"/>
            <w:vAlign w:val="bottom"/>
          </w:tcPr>
          <w:p>
            <w:pPr>
              <w:spacing w:after="0"/>
              <w:rPr>
                <w:sz w:val="23"/>
                <w:szCs w:val="23"/>
                <w:color w:val="auto"/>
              </w:rPr>
            </w:pPr>
          </w:p>
        </w:tc>
        <w:tc>
          <w:tcPr>
            <w:tcW w:w="9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right="240" w:firstLine="8"/>
        <w:spacing w:after="0" w:line="278" w:lineRule="auto"/>
        <w:tabs>
          <w:tab w:leader="none" w:pos="229" w:val="left"/>
        </w:tabs>
        <w:numPr>
          <w:ilvl w:val="0"/>
          <w:numId w:val="2"/>
        </w:numPr>
        <w:rPr>
          <w:rFonts w:ascii="Arial" w:cs="Arial" w:eastAsia="Arial" w:hAnsi="Arial"/>
          <w:sz w:val="16"/>
          <w:szCs w:val="16"/>
          <w:color w:val="auto"/>
        </w:rPr>
      </w:pPr>
      <w:r>
        <w:rPr>
          <w:rFonts w:ascii="Arial" w:cs="Arial" w:eastAsia="Arial" w:hAnsi="Arial"/>
          <w:sz w:val="16"/>
          <w:szCs w:val="16"/>
          <w:color w:val="auto"/>
        </w:rPr>
        <w:t>Mr. Marais and Ms. Allen are the directors of Georgem Holdings (Pty) Ltd. (“</w:t>
      </w:r>
      <w:r>
        <w:rPr>
          <w:rFonts w:ascii="Arial" w:cs="Arial" w:eastAsia="Arial" w:hAnsi="Arial"/>
          <w:sz w:val="16"/>
          <w:szCs w:val="16"/>
          <w:u w:val="single" w:color="auto"/>
          <w:color w:val="auto"/>
        </w:rPr>
        <w:t>Georgem</w:t>
      </w:r>
      <w:r>
        <w:rPr>
          <w:rFonts w:ascii="Arial" w:cs="Arial" w:eastAsia="Arial" w:hAnsi="Arial"/>
          <w:sz w:val="16"/>
          <w:szCs w:val="16"/>
          <w:color w:val="auto"/>
        </w:rPr>
        <w:t>”), and share voting power over the ordinary shares, no par value per share (the “</w:t>
      </w:r>
      <w:r>
        <w:rPr>
          <w:rFonts w:ascii="Arial" w:cs="Arial" w:eastAsia="Arial" w:hAnsi="Arial"/>
          <w:sz w:val="16"/>
          <w:szCs w:val="16"/>
          <w:u w:val="single" w:color="auto"/>
          <w:color w:val="auto"/>
        </w:rPr>
        <w:t>Ordinary Shares</w:t>
      </w:r>
      <w:r>
        <w:rPr>
          <w:rFonts w:ascii="Arial" w:cs="Arial" w:eastAsia="Arial" w:hAnsi="Arial"/>
          <w:sz w:val="16"/>
          <w:szCs w:val="16"/>
          <w:color w:val="auto"/>
        </w:rPr>
        <w:t>”) of Karooooo Ltd., a Singapore public limited company (the “</w:t>
      </w:r>
      <w:r>
        <w:rPr>
          <w:rFonts w:ascii="Arial" w:cs="Arial" w:eastAsia="Arial" w:hAnsi="Arial"/>
          <w:sz w:val="16"/>
          <w:szCs w:val="16"/>
          <w:u w:val="single" w:color="auto"/>
          <w:color w:val="auto"/>
        </w:rPr>
        <w:t>Issuer</w:t>
      </w:r>
      <w:r>
        <w:rPr>
          <w:rFonts w:ascii="Arial" w:cs="Arial" w:eastAsia="Arial" w:hAnsi="Arial"/>
          <w:sz w:val="16"/>
          <w:szCs w:val="16"/>
          <w:color w:val="auto"/>
        </w:rPr>
        <w:t>”), held by Georgem. See also Item 6—Voting Agreement for a description of the voting rights exercisable by Mr. Calisto in respect of the Ordinary Shares held by Georgem.</w:t>
      </w:r>
    </w:p>
    <w:p>
      <w:pPr>
        <w:spacing w:after="0" w:line="22" w:lineRule="exact"/>
        <w:rPr>
          <w:rFonts w:ascii="Arial" w:cs="Arial" w:eastAsia="Arial" w:hAnsi="Arial"/>
          <w:sz w:val="16"/>
          <w:szCs w:val="16"/>
          <w:color w:val="auto"/>
        </w:rPr>
      </w:pPr>
    </w:p>
    <w:p>
      <w:pPr>
        <w:ind w:right="80" w:firstLine="8"/>
        <w:spacing w:after="0" w:line="293" w:lineRule="auto"/>
        <w:tabs>
          <w:tab w:leader="none" w:pos="229" w:val="left"/>
        </w:tabs>
        <w:numPr>
          <w:ilvl w:val="0"/>
          <w:numId w:val="2"/>
        </w:numPr>
        <w:rPr>
          <w:rFonts w:ascii="Arial" w:cs="Arial" w:eastAsia="Arial" w:hAnsi="Arial"/>
          <w:sz w:val="16"/>
          <w:szCs w:val="16"/>
          <w:color w:val="auto"/>
        </w:rPr>
      </w:pPr>
      <w:r>
        <w:rPr>
          <w:rFonts w:ascii="Arial" w:cs="Arial" w:eastAsia="Arial" w:hAnsi="Arial"/>
          <w:sz w:val="16"/>
          <w:szCs w:val="16"/>
          <w:color w:val="auto"/>
        </w:rPr>
        <w:t>Mr. Marais and Ms. Allen are the directors of Georgem, and share dispositive power over the Ordinary Shares held by Georgem. See also Item 6—Voting Agreement for a description of the rights exercisable by Mr. Calisto in respect of Georgem’s ability to dispose of 3,000,000 Ordinary Shares held by Georgem.</w:t>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476"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Y4600W108</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560" w:type="dxa"/>
            <w:vAlign w:val="bottom"/>
            <w:tcBorders>
              <w:top w:val="single" w:sz="8" w:color="auto"/>
              <w:right w:val="single" w:sz="8" w:color="auto"/>
            </w:tcBorders>
          </w:tcPr>
          <w:p>
            <w:pPr>
              <w:spacing w:after="0"/>
              <w:rPr>
                <w:sz w:val="22"/>
                <w:szCs w:val="22"/>
                <w:color w:val="auto"/>
              </w:rPr>
            </w:pPr>
          </w:p>
        </w:tc>
        <w:tc>
          <w:tcPr>
            <w:tcW w:w="10460" w:type="dxa"/>
            <w:vAlign w:val="bottom"/>
            <w:tcBorders>
              <w:top w:val="single" w:sz="8" w:color="auto"/>
              <w:right w:val="single" w:sz="8" w:color="auto"/>
            </w:tcBorders>
            <w:gridSpan w:val="4"/>
          </w:tcPr>
          <w:p>
            <w:pPr>
              <w:ind w:left="12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w w:val="89"/>
              </w:rPr>
              <w:t>Jennefe Allen</w:t>
            </w:r>
          </w:p>
        </w:tc>
        <w:tc>
          <w:tcPr>
            <w:tcW w:w="260" w:type="dxa"/>
            <w:vAlign w:val="bottom"/>
          </w:tcPr>
          <w:p>
            <w:pPr>
              <w:spacing w:after="0"/>
              <w:rPr>
                <w:sz w:val="23"/>
                <w:szCs w:val="23"/>
                <w:color w:val="auto"/>
              </w:rPr>
            </w:pPr>
          </w:p>
        </w:tc>
        <w:tc>
          <w:tcPr>
            <w:tcW w:w="9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0460" w:type="dxa"/>
            <w:vAlign w:val="bottom"/>
            <w:tcBorders>
              <w:bottom w:val="single" w:sz="8" w:color="auto"/>
              <w:right w:val="single" w:sz="8" w:color="auto"/>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0"/>
        </w:trPr>
        <w:tc>
          <w:tcPr>
            <w:tcW w:w="24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12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40" w:type="dxa"/>
            <w:vAlign w:val="bottom"/>
            <w:tcBorders>
              <w:left w:val="single" w:sz="8" w:color="auto"/>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380" w:type="dxa"/>
            <w:vAlign w:val="bottom"/>
            <w:tcBorders>
              <w:bottom w:val="single" w:sz="8" w:color="auto"/>
            </w:tcBorders>
            <w:gridSpan w:val="3"/>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560" w:type="dxa"/>
            <w:vAlign w:val="bottom"/>
            <w:tcBorders>
              <w:right w:val="single" w:sz="8" w:color="auto"/>
            </w:tcBorders>
          </w:tcPr>
          <w:p>
            <w:pPr>
              <w:spacing w:after="0"/>
              <w:rPr>
                <w:sz w:val="20"/>
                <w:szCs w:val="20"/>
                <w:color w:val="auto"/>
              </w:rPr>
            </w:pPr>
          </w:p>
        </w:tc>
        <w:tc>
          <w:tcPr>
            <w:tcW w:w="1380" w:type="dxa"/>
            <w:vAlign w:val="bottom"/>
            <w:gridSpan w:val="3"/>
          </w:tcPr>
          <w:p>
            <w:pPr>
              <w:ind w:left="120"/>
              <w:spacing w:after="0"/>
              <w:rPr>
                <w:sz w:val="20"/>
                <w:szCs w:val="20"/>
                <w:color w:val="auto"/>
              </w:rPr>
            </w:pPr>
            <w:r>
              <w:rPr>
                <w:rFonts w:ascii="Arial" w:cs="Arial" w:eastAsia="Arial" w:hAnsi="Arial"/>
                <w:sz w:val="18"/>
                <w:szCs w:val="18"/>
                <w:color w:val="auto"/>
                <w:w w:val="91"/>
              </w:rPr>
              <w:t>SEC USE ONLY</w:t>
            </w:r>
          </w:p>
        </w:tc>
        <w:tc>
          <w:tcPr>
            <w:tcW w:w="9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046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OO</w:t>
            </w:r>
          </w:p>
        </w:tc>
        <w:tc>
          <w:tcPr>
            <w:tcW w:w="260" w:type="dxa"/>
            <w:vAlign w:val="bottom"/>
          </w:tcPr>
          <w:p>
            <w:pPr>
              <w:spacing w:after="0"/>
              <w:rPr>
                <w:sz w:val="23"/>
                <w:szCs w:val="23"/>
                <w:color w:val="auto"/>
              </w:rPr>
            </w:pPr>
          </w:p>
        </w:tc>
        <w:tc>
          <w:tcPr>
            <w:tcW w:w="9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0460" w:type="dxa"/>
            <w:vAlign w:val="bottom"/>
            <w:tcBorders>
              <w:bottom w:val="single" w:sz="8" w:color="auto"/>
              <w:right w:val="single" w:sz="8" w:color="auto"/>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90"/>
        </w:trPr>
        <w:tc>
          <w:tcPr>
            <w:tcW w:w="24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120" w:type="dxa"/>
            <w:vAlign w:val="bottom"/>
            <w:gridSpan w:val="2"/>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40" w:type="dxa"/>
            <w:vAlign w:val="bottom"/>
            <w:tcBorders>
              <w:left w:val="single" w:sz="8" w:color="auto"/>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0460" w:type="dxa"/>
            <w:vAlign w:val="bottom"/>
            <w:tcBorders>
              <w:bottom w:val="single" w:sz="8" w:color="auto"/>
              <w:right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w w:val="99"/>
              </w:rPr>
              <w:t>South Africa</w:t>
            </w:r>
          </w:p>
        </w:tc>
        <w:tc>
          <w:tcPr>
            <w:tcW w:w="260" w:type="dxa"/>
            <w:vAlign w:val="bottom"/>
          </w:tcPr>
          <w:p>
            <w:pPr>
              <w:spacing w:after="0"/>
              <w:rPr>
                <w:sz w:val="23"/>
                <w:szCs w:val="23"/>
                <w:color w:val="auto"/>
              </w:rPr>
            </w:pPr>
          </w:p>
        </w:tc>
        <w:tc>
          <w:tcPr>
            <w:tcW w:w="9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9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158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10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9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240" w:type="dxa"/>
            <w:vAlign w:val="bottom"/>
            <w:tcBorders>
              <w:left w:val="single" w:sz="8" w:color="auto"/>
            </w:tcBorders>
          </w:tcPr>
          <w:p>
            <w:pPr>
              <w:spacing w:after="0"/>
              <w:rPr>
                <w:sz w:val="7"/>
                <w:szCs w:val="7"/>
                <w:color w:val="auto"/>
              </w:rPr>
            </w:pPr>
          </w:p>
        </w:tc>
        <w:tc>
          <w:tcPr>
            <w:tcW w:w="1580" w:type="dxa"/>
            <w:vAlign w:val="bottom"/>
            <w:tcBorders>
              <w:right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9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40" w:type="dxa"/>
            <w:vAlign w:val="bottom"/>
            <w:tcBorders>
              <w:left w:val="single" w:sz="8" w:color="auto"/>
            </w:tcBorders>
          </w:tcPr>
          <w:p>
            <w:pPr>
              <w:spacing w:after="0"/>
              <w:rPr>
                <w:sz w:val="15"/>
                <w:szCs w:val="15"/>
                <w:color w:val="auto"/>
              </w:rPr>
            </w:pPr>
          </w:p>
        </w:tc>
        <w:tc>
          <w:tcPr>
            <w:tcW w:w="158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4"/>
              </w:rPr>
              <w:t>SHARES</w:t>
            </w:r>
          </w:p>
        </w:tc>
        <w:tc>
          <w:tcPr>
            <w:tcW w:w="100" w:type="dxa"/>
            <w:vAlign w:val="bottom"/>
          </w:tcPr>
          <w:p>
            <w:pPr>
              <w:spacing w:after="0"/>
              <w:rPr>
                <w:sz w:val="15"/>
                <w:szCs w:val="15"/>
                <w:color w:val="auto"/>
              </w:rPr>
            </w:pPr>
          </w:p>
        </w:tc>
        <w:tc>
          <w:tcPr>
            <w:tcW w:w="2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8</w:t>
            </w:r>
          </w:p>
        </w:tc>
        <w:tc>
          <w:tcPr>
            <w:tcW w:w="908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240" w:type="dxa"/>
            <w:vAlign w:val="bottom"/>
            <w:tcBorders>
              <w:left w:val="single" w:sz="8" w:color="auto"/>
            </w:tcBorders>
          </w:tcPr>
          <w:p>
            <w:pPr>
              <w:spacing w:after="0"/>
              <w:rPr>
                <w:sz w:val="18"/>
                <w:szCs w:val="18"/>
                <w:color w:val="auto"/>
              </w:rPr>
            </w:pPr>
          </w:p>
        </w:tc>
        <w:tc>
          <w:tcPr>
            <w:tcW w:w="158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9"/>
              </w:rPr>
              <w:t>BENEFICIALLY</w:t>
            </w:r>
          </w:p>
        </w:tc>
        <w:tc>
          <w:tcPr>
            <w:tcW w:w="1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3,550,000</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176"/>
        </w:trPr>
        <w:tc>
          <w:tcPr>
            <w:tcW w:w="240" w:type="dxa"/>
            <w:vAlign w:val="bottom"/>
            <w:tcBorders>
              <w:left w:val="single" w:sz="8" w:color="auto"/>
            </w:tcBorders>
          </w:tcPr>
          <w:p>
            <w:pPr>
              <w:spacing w:after="0"/>
              <w:rPr>
                <w:sz w:val="15"/>
                <w:szCs w:val="15"/>
                <w:color w:val="auto"/>
              </w:rPr>
            </w:pPr>
          </w:p>
        </w:tc>
        <w:tc>
          <w:tcPr>
            <w:tcW w:w="158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7"/>
              </w:rPr>
              <w:t>OWNED BY</w:t>
            </w:r>
          </w:p>
        </w:tc>
        <w:tc>
          <w:tcPr>
            <w:tcW w:w="10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40" w:type="dxa"/>
            <w:vAlign w:val="bottom"/>
            <w:tcBorders>
              <w:left w:val="single" w:sz="8" w:color="auto"/>
            </w:tcBorders>
          </w:tcPr>
          <w:p>
            <w:pPr>
              <w:spacing w:after="0"/>
              <w:rPr>
                <w:sz w:val="4"/>
                <w:szCs w:val="4"/>
                <w:color w:val="auto"/>
              </w:rPr>
            </w:pPr>
          </w:p>
        </w:tc>
        <w:tc>
          <w:tcPr>
            <w:tcW w:w="1580" w:type="dxa"/>
            <w:vAlign w:val="bottom"/>
            <w:tcBorders>
              <w:right w:val="single" w:sz="8" w:color="auto"/>
            </w:tcBorders>
            <w:gridSpan w:val="2"/>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40" w:type="dxa"/>
            <w:vAlign w:val="bottom"/>
            <w:tcBorders>
              <w:left w:val="single" w:sz="8" w:color="auto"/>
            </w:tcBorders>
          </w:tcPr>
          <w:p>
            <w:pPr>
              <w:spacing w:after="0"/>
              <w:rPr>
                <w:sz w:val="15"/>
                <w:szCs w:val="15"/>
                <w:color w:val="auto"/>
              </w:rPr>
            </w:pPr>
          </w:p>
        </w:tc>
        <w:tc>
          <w:tcPr>
            <w:tcW w:w="158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9"/>
              </w:rPr>
              <w:t>EACH</w:t>
            </w:r>
          </w:p>
        </w:tc>
        <w:tc>
          <w:tcPr>
            <w:tcW w:w="100" w:type="dxa"/>
            <w:vAlign w:val="bottom"/>
          </w:tcPr>
          <w:p>
            <w:pPr>
              <w:spacing w:after="0"/>
              <w:rPr>
                <w:sz w:val="15"/>
                <w:szCs w:val="15"/>
                <w:color w:val="auto"/>
              </w:rPr>
            </w:pPr>
          </w:p>
        </w:tc>
        <w:tc>
          <w:tcPr>
            <w:tcW w:w="2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9</w:t>
            </w:r>
          </w:p>
        </w:tc>
        <w:tc>
          <w:tcPr>
            <w:tcW w:w="908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240" w:type="dxa"/>
            <w:vAlign w:val="bottom"/>
            <w:tcBorders>
              <w:left w:val="single" w:sz="8" w:color="auto"/>
            </w:tcBorders>
          </w:tcPr>
          <w:p>
            <w:pPr>
              <w:spacing w:after="0"/>
              <w:rPr>
                <w:sz w:val="18"/>
                <w:szCs w:val="18"/>
                <w:color w:val="auto"/>
              </w:rPr>
            </w:pPr>
          </w:p>
        </w:tc>
        <w:tc>
          <w:tcPr>
            <w:tcW w:w="158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3"/>
              </w:rPr>
              <w:t>REPORTING</w:t>
            </w:r>
          </w:p>
        </w:tc>
        <w:tc>
          <w:tcPr>
            <w:tcW w:w="1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240" w:type="dxa"/>
            <w:vAlign w:val="bottom"/>
            <w:tcBorders>
              <w:left w:val="single" w:sz="8" w:color="auto"/>
            </w:tcBorders>
          </w:tcPr>
          <w:p>
            <w:pPr>
              <w:spacing w:after="0"/>
              <w:rPr>
                <w:sz w:val="9"/>
                <w:szCs w:val="9"/>
                <w:color w:val="auto"/>
              </w:rPr>
            </w:pPr>
          </w:p>
        </w:tc>
        <w:tc>
          <w:tcPr>
            <w:tcW w:w="1580" w:type="dxa"/>
            <w:vAlign w:val="bottom"/>
            <w:tcBorders>
              <w:right w:val="single" w:sz="8" w:color="auto"/>
            </w:tcBorders>
            <w:gridSpan w:val="2"/>
            <w:vMerge w:val="restart"/>
          </w:tcPr>
          <w:p>
            <w:pPr>
              <w:jc w:val="center"/>
              <w:ind w:right="150"/>
              <w:spacing w:after="0" w:line="190" w:lineRule="exact"/>
              <w:rPr>
                <w:sz w:val="20"/>
                <w:szCs w:val="20"/>
                <w:color w:val="auto"/>
              </w:rPr>
            </w:pPr>
            <w:r>
              <w:rPr>
                <w:rFonts w:ascii="Arial" w:cs="Arial" w:eastAsia="Arial" w:hAnsi="Arial"/>
                <w:sz w:val="18"/>
                <w:szCs w:val="18"/>
                <w:color w:val="auto"/>
                <w:w w:val="92"/>
              </w:rPr>
              <w:t>PERSON</w:t>
            </w:r>
          </w:p>
        </w:tc>
        <w:tc>
          <w:tcPr>
            <w:tcW w:w="10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9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tcBorders>
          </w:tcPr>
          <w:p>
            <w:pPr>
              <w:spacing w:after="0"/>
              <w:rPr>
                <w:sz w:val="7"/>
                <w:szCs w:val="7"/>
                <w:color w:val="auto"/>
              </w:rPr>
            </w:pPr>
          </w:p>
        </w:tc>
        <w:tc>
          <w:tcPr>
            <w:tcW w:w="1580" w:type="dxa"/>
            <w:vAlign w:val="bottom"/>
            <w:tcBorders>
              <w:right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9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9"/>
              </w:rPr>
              <w:t>WITH</w:t>
            </w:r>
          </w:p>
        </w:tc>
        <w:tc>
          <w:tcPr>
            <w:tcW w:w="100" w:type="dxa"/>
            <w:vAlign w:val="bottom"/>
          </w:tcPr>
          <w:p>
            <w:pPr>
              <w:spacing w:after="0"/>
              <w:rPr>
                <w:sz w:val="20"/>
                <w:szCs w:val="20"/>
                <w:color w:val="auto"/>
              </w:rPr>
            </w:pPr>
          </w:p>
        </w:tc>
        <w:tc>
          <w:tcPr>
            <w:tcW w:w="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10</w:t>
            </w:r>
          </w:p>
        </w:tc>
        <w:tc>
          <w:tcPr>
            <w:tcW w:w="9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91"/>
        </w:trPr>
        <w:tc>
          <w:tcPr>
            <w:tcW w:w="24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3,550,000</w:t>
            </w:r>
            <w:r>
              <w:rPr>
                <w:rFonts w:ascii="Arial" w:cs="Arial" w:eastAsia="Arial" w:hAnsi="Arial"/>
                <w:sz w:val="29"/>
                <w:szCs w:val="29"/>
                <w:color w:val="auto"/>
                <w:vertAlign w:val="superscript"/>
              </w:rPr>
              <w:t>(4)</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020" w:type="dxa"/>
            <w:vAlign w:val="bottom"/>
          </w:tcPr>
          <w:p>
            <w:pPr>
              <w:ind w:left="120"/>
              <w:spacing w:after="0"/>
              <w:rPr>
                <w:sz w:val="20"/>
                <w:szCs w:val="20"/>
                <w:color w:val="auto"/>
              </w:rPr>
            </w:pPr>
            <w:r>
              <w:rPr>
                <w:rFonts w:ascii="Arial" w:cs="Arial" w:eastAsia="Arial" w:hAnsi="Arial"/>
                <w:sz w:val="18"/>
                <w:szCs w:val="18"/>
                <w:color w:val="auto"/>
              </w:rPr>
              <w:t>3,550,000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gridSpan w:val="2"/>
          </w:tcPr>
          <w:p>
            <w:pPr>
              <w:spacing w:after="0"/>
              <w:rPr>
                <w:sz w:val="7"/>
                <w:szCs w:val="7"/>
                <w:color w:val="auto"/>
              </w:rPr>
            </w:pPr>
          </w:p>
        </w:tc>
        <w:tc>
          <w:tcPr>
            <w:tcW w:w="9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90"/>
        </w:trPr>
        <w:tc>
          <w:tcPr>
            <w:tcW w:w="24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120" w:type="dxa"/>
            <w:vAlign w:val="bottom"/>
            <w:gridSpan w:val="2"/>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40" w:type="dxa"/>
            <w:vAlign w:val="bottom"/>
            <w:tcBorders>
              <w:left w:val="single" w:sz="8" w:color="auto"/>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gridSpan w:val="2"/>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13</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020" w:type="dxa"/>
            <w:vAlign w:val="bottom"/>
          </w:tcPr>
          <w:p>
            <w:pPr>
              <w:ind w:left="12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gridSpan w:val="2"/>
          </w:tcPr>
          <w:p>
            <w:pPr>
              <w:spacing w:after="0"/>
              <w:rPr>
                <w:sz w:val="7"/>
                <w:szCs w:val="7"/>
                <w:color w:val="auto"/>
              </w:rPr>
            </w:pPr>
          </w:p>
        </w:tc>
        <w:tc>
          <w:tcPr>
            <w:tcW w:w="9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14</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IN</w:t>
            </w:r>
          </w:p>
        </w:tc>
        <w:tc>
          <w:tcPr>
            <w:tcW w:w="260" w:type="dxa"/>
            <w:vAlign w:val="bottom"/>
          </w:tcPr>
          <w:p>
            <w:pPr>
              <w:spacing w:after="0"/>
              <w:rPr>
                <w:sz w:val="23"/>
                <w:szCs w:val="23"/>
                <w:color w:val="auto"/>
              </w:rPr>
            </w:pPr>
          </w:p>
        </w:tc>
        <w:tc>
          <w:tcPr>
            <w:tcW w:w="9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right="240" w:firstLine="8"/>
        <w:spacing w:after="0" w:line="293" w:lineRule="auto"/>
        <w:tabs>
          <w:tab w:leader="none" w:pos="229" w:val="left"/>
        </w:tabs>
        <w:numPr>
          <w:ilvl w:val="0"/>
          <w:numId w:val="3"/>
        </w:numPr>
        <w:rPr>
          <w:rFonts w:ascii="Arial" w:cs="Arial" w:eastAsia="Arial" w:hAnsi="Arial"/>
          <w:sz w:val="16"/>
          <w:szCs w:val="16"/>
          <w:color w:val="auto"/>
        </w:rPr>
      </w:pPr>
      <w:r>
        <w:rPr>
          <w:rFonts w:ascii="Arial" w:cs="Arial" w:eastAsia="Arial" w:hAnsi="Arial"/>
          <w:sz w:val="16"/>
          <w:szCs w:val="16"/>
          <w:color w:val="auto"/>
        </w:rPr>
        <w:t>Mr. Marais and Ms. Allen are the directors of Georgem, and share voting power over the Ordinary Shares held by Georgem. See also Item 6—Voting Agreement for a description of the voting rights exercisable by Mr. Calisto in respect of the Ordinary Shares held by Georgem.</w:t>
      </w:r>
    </w:p>
    <w:p>
      <w:pPr>
        <w:spacing w:after="0" w:line="9" w:lineRule="exact"/>
        <w:rPr>
          <w:rFonts w:ascii="Arial" w:cs="Arial" w:eastAsia="Arial" w:hAnsi="Arial"/>
          <w:sz w:val="16"/>
          <w:szCs w:val="16"/>
          <w:color w:val="auto"/>
        </w:rPr>
      </w:pPr>
    </w:p>
    <w:p>
      <w:pPr>
        <w:ind w:right="80" w:firstLine="8"/>
        <w:spacing w:after="0" w:line="293" w:lineRule="auto"/>
        <w:tabs>
          <w:tab w:leader="none" w:pos="229" w:val="left"/>
        </w:tabs>
        <w:numPr>
          <w:ilvl w:val="0"/>
          <w:numId w:val="3"/>
        </w:numPr>
        <w:rPr>
          <w:rFonts w:ascii="Arial" w:cs="Arial" w:eastAsia="Arial" w:hAnsi="Arial"/>
          <w:sz w:val="16"/>
          <w:szCs w:val="16"/>
          <w:color w:val="auto"/>
        </w:rPr>
      </w:pPr>
      <w:r>
        <w:rPr>
          <w:rFonts w:ascii="Arial" w:cs="Arial" w:eastAsia="Arial" w:hAnsi="Arial"/>
          <w:sz w:val="16"/>
          <w:szCs w:val="16"/>
          <w:color w:val="auto"/>
        </w:rPr>
        <w:t>Mr. Marais and Ms. Allen are the directors of Georgem, and share dispositive power over the Ordinary Shares held by Georgem. See also Item 6—Voting Agreement for a description of the rights exercisable by Mr. Calisto in respect of Georgem’s ability to dispose of 3,000,000 Ordinary Shares held by Georgem.</w:t>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476"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Y4600W108</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560" w:type="dxa"/>
            <w:vAlign w:val="bottom"/>
            <w:tcBorders>
              <w:top w:val="single" w:sz="8" w:color="auto"/>
              <w:right w:val="single" w:sz="8" w:color="auto"/>
            </w:tcBorders>
          </w:tcPr>
          <w:p>
            <w:pPr>
              <w:spacing w:after="0"/>
              <w:rPr>
                <w:sz w:val="22"/>
                <w:szCs w:val="22"/>
                <w:color w:val="auto"/>
              </w:rPr>
            </w:pPr>
          </w:p>
        </w:tc>
        <w:tc>
          <w:tcPr>
            <w:tcW w:w="10460" w:type="dxa"/>
            <w:vAlign w:val="bottom"/>
            <w:tcBorders>
              <w:top w:val="single" w:sz="8" w:color="auto"/>
              <w:right w:val="single" w:sz="8" w:color="auto"/>
            </w:tcBorders>
            <w:gridSpan w:val="4"/>
          </w:tcPr>
          <w:p>
            <w:pPr>
              <w:ind w:left="12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Georgem Holdings (Pty) Ltd.</w:t>
            </w:r>
          </w:p>
        </w:tc>
        <w:tc>
          <w:tcPr>
            <w:tcW w:w="0" w:type="dxa"/>
            <w:vAlign w:val="bottom"/>
          </w:tcPr>
          <w:p>
            <w:pPr>
              <w:spacing w:after="0"/>
              <w:rPr>
                <w:sz w:val="1"/>
                <w:szCs w:val="1"/>
                <w:color w:val="auto"/>
              </w:rPr>
            </w:pPr>
          </w:p>
        </w:tc>
      </w:tr>
      <w:tr>
        <w:trPr>
          <w:trHeight w:val="81"/>
        </w:trPr>
        <w:tc>
          <w:tcPr>
            <w:tcW w:w="240" w:type="dxa"/>
            <w:vAlign w:val="bottom"/>
            <w:tcBorders>
              <w:left w:val="single" w:sz="8" w:color="auto"/>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0460" w:type="dxa"/>
            <w:vAlign w:val="bottom"/>
            <w:tcBorders>
              <w:bottom w:val="single" w:sz="8" w:color="auto"/>
              <w:right w:val="single" w:sz="8" w:color="auto"/>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0"/>
        </w:trPr>
        <w:tc>
          <w:tcPr>
            <w:tcW w:w="24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10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40" w:type="dxa"/>
            <w:vAlign w:val="bottom"/>
            <w:tcBorders>
              <w:left w:val="single" w:sz="8" w:color="auto"/>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380" w:type="dxa"/>
            <w:vAlign w:val="bottom"/>
            <w:tcBorders>
              <w:bottom w:val="single" w:sz="8" w:color="auto"/>
            </w:tcBorders>
            <w:gridSpan w:val="3"/>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560" w:type="dxa"/>
            <w:vAlign w:val="bottom"/>
            <w:tcBorders>
              <w:right w:val="single" w:sz="8" w:color="auto"/>
            </w:tcBorders>
          </w:tcPr>
          <w:p>
            <w:pPr>
              <w:spacing w:after="0"/>
              <w:rPr>
                <w:sz w:val="20"/>
                <w:szCs w:val="20"/>
                <w:color w:val="auto"/>
              </w:rPr>
            </w:pPr>
          </w:p>
        </w:tc>
        <w:tc>
          <w:tcPr>
            <w:tcW w:w="1380" w:type="dxa"/>
            <w:vAlign w:val="bottom"/>
            <w:gridSpan w:val="3"/>
          </w:tcPr>
          <w:p>
            <w:pPr>
              <w:ind w:left="120"/>
              <w:spacing w:after="0"/>
              <w:rPr>
                <w:sz w:val="20"/>
                <w:szCs w:val="20"/>
                <w:color w:val="auto"/>
              </w:rPr>
            </w:pPr>
            <w:r>
              <w:rPr>
                <w:rFonts w:ascii="Arial" w:cs="Arial" w:eastAsia="Arial" w:hAnsi="Arial"/>
                <w:sz w:val="18"/>
                <w:szCs w:val="18"/>
                <w:color w:val="auto"/>
                <w:w w:val="91"/>
              </w:rPr>
              <w:t>SEC USE ONLY</w:t>
            </w:r>
          </w:p>
        </w:tc>
        <w:tc>
          <w:tcPr>
            <w:tcW w:w="9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046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OO</w:t>
            </w:r>
          </w:p>
        </w:tc>
        <w:tc>
          <w:tcPr>
            <w:tcW w:w="280" w:type="dxa"/>
            <w:vAlign w:val="bottom"/>
          </w:tcPr>
          <w:p>
            <w:pPr>
              <w:spacing w:after="0"/>
              <w:rPr>
                <w:sz w:val="23"/>
                <w:szCs w:val="23"/>
                <w:color w:val="auto"/>
              </w:rPr>
            </w:pPr>
          </w:p>
        </w:tc>
        <w:tc>
          <w:tcPr>
            <w:tcW w:w="9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0460" w:type="dxa"/>
            <w:vAlign w:val="bottom"/>
            <w:tcBorders>
              <w:bottom w:val="single" w:sz="8" w:color="auto"/>
              <w:right w:val="single" w:sz="8" w:color="auto"/>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90"/>
        </w:trPr>
        <w:tc>
          <w:tcPr>
            <w:tcW w:w="24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100" w:type="dxa"/>
            <w:vAlign w:val="bottom"/>
            <w:gridSpan w:val="2"/>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40" w:type="dxa"/>
            <w:vAlign w:val="bottom"/>
            <w:tcBorders>
              <w:left w:val="single" w:sz="8" w:color="auto"/>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0460" w:type="dxa"/>
            <w:vAlign w:val="bottom"/>
            <w:tcBorders>
              <w:bottom w:val="single" w:sz="8" w:color="auto"/>
              <w:right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97"/>
              </w:rPr>
              <w:t>South Africa</w:t>
            </w:r>
          </w:p>
        </w:tc>
        <w:tc>
          <w:tcPr>
            <w:tcW w:w="280" w:type="dxa"/>
            <w:vAlign w:val="bottom"/>
          </w:tcPr>
          <w:p>
            <w:pPr>
              <w:spacing w:after="0"/>
              <w:rPr>
                <w:sz w:val="23"/>
                <w:szCs w:val="23"/>
                <w:color w:val="auto"/>
              </w:rPr>
            </w:pPr>
          </w:p>
        </w:tc>
        <w:tc>
          <w:tcPr>
            <w:tcW w:w="9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9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7"/>
        </w:trPr>
        <w:tc>
          <w:tcPr>
            <w:tcW w:w="240" w:type="dxa"/>
            <w:vAlign w:val="bottom"/>
            <w:tcBorders>
              <w:left w:val="single" w:sz="8" w:color="auto"/>
            </w:tcBorders>
          </w:tcPr>
          <w:p>
            <w:pPr>
              <w:spacing w:after="0"/>
              <w:rPr>
                <w:sz w:val="24"/>
                <w:szCs w:val="24"/>
                <w:color w:val="auto"/>
              </w:rPr>
            </w:pPr>
          </w:p>
        </w:tc>
        <w:tc>
          <w:tcPr>
            <w:tcW w:w="158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6"/>
              </w:rPr>
              <w:t>NUMBER OF</w:t>
            </w:r>
          </w:p>
        </w:tc>
        <w:tc>
          <w:tcPr>
            <w:tcW w:w="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3,550,000</w:t>
            </w:r>
            <w:r>
              <w:rPr>
                <w:rFonts w:ascii="Arial" w:cs="Arial" w:eastAsia="Arial" w:hAnsi="Arial"/>
                <w:sz w:val="29"/>
                <w:szCs w:val="29"/>
                <w:color w:val="auto"/>
                <w:vertAlign w:val="superscript"/>
              </w:rPr>
              <w:t>(5)</w:t>
            </w:r>
          </w:p>
        </w:tc>
        <w:tc>
          <w:tcPr>
            <w:tcW w:w="0" w:type="dxa"/>
            <w:vAlign w:val="bottom"/>
          </w:tcPr>
          <w:p>
            <w:pPr>
              <w:spacing w:after="0"/>
              <w:rPr>
                <w:sz w:val="1"/>
                <w:szCs w:val="1"/>
                <w:color w:val="auto"/>
              </w:rPr>
            </w:pPr>
          </w:p>
        </w:tc>
      </w:tr>
      <w:tr>
        <w:trPr>
          <w:trHeight w:val="55"/>
        </w:trPr>
        <w:tc>
          <w:tcPr>
            <w:tcW w:w="240" w:type="dxa"/>
            <w:vAlign w:val="bottom"/>
            <w:tcBorders>
              <w:left w:val="single" w:sz="8" w:color="auto"/>
            </w:tcBorders>
          </w:tcPr>
          <w:p>
            <w:pPr>
              <w:spacing w:after="0"/>
              <w:rPr>
                <w:sz w:val="4"/>
                <w:szCs w:val="4"/>
                <w:color w:val="auto"/>
              </w:rPr>
            </w:pPr>
          </w:p>
        </w:tc>
        <w:tc>
          <w:tcPr>
            <w:tcW w:w="158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4"/>
              </w:rPr>
              <w:t>SHARES</w:t>
            </w: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40" w:type="dxa"/>
            <w:vAlign w:val="bottom"/>
            <w:tcBorders>
              <w:left w:val="single" w:sz="8" w:color="auto"/>
            </w:tcBorders>
          </w:tcPr>
          <w:p>
            <w:pPr>
              <w:spacing w:after="0"/>
              <w:rPr>
                <w:sz w:val="12"/>
                <w:szCs w:val="12"/>
                <w:color w:val="auto"/>
              </w:rPr>
            </w:pPr>
          </w:p>
        </w:tc>
        <w:tc>
          <w:tcPr>
            <w:tcW w:w="158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90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240" w:type="dxa"/>
            <w:vAlign w:val="bottom"/>
            <w:tcBorders>
              <w:left w:val="single" w:sz="8" w:color="auto"/>
            </w:tcBorders>
          </w:tcPr>
          <w:p>
            <w:pPr>
              <w:spacing w:after="0"/>
              <w:rPr>
                <w:sz w:val="8"/>
                <w:szCs w:val="8"/>
                <w:color w:val="auto"/>
              </w:rPr>
            </w:pPr>
          </w:p>
        </w:tc>
        <w:tc>
          <w:tcPr>
            <w:tcW w:w="158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9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40" w:type="dxa"/>
            <w:vAlign w:val="bottom"/>
            <w:tcBorders>
              <w:left w:val="single" w:sz="8" w:color="auto"/>
            </w:tcBorders>
          </w:tcPr>
          <w:p>
            <w:pPr>
              <w:spacing w:after="0"/>
              <w:rPr>
                <w:sz w:val="10"/>
                <w:szCs w:val="10"/>
                <w:color w:val="auto"/>
              </w:rPr>
            </w:pPr>
          </w:p>
        </w:tc>
        <w:tc>
          <w:tcPr>
            <w:tcW w:w="1580" w:type="dxa"/>
            <w:vAlign w:val="bottom"/>
            <w:tcBorders>
              <w:right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90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9"/>
        </w:trPr>
        <w:tc>
          <w:tcPr>
            <w:tcW w:w="240" w:type="dxa"/>
            <w:vAlign w:val="bottom"/>
            <w:tcBorders>
              <w:left w:val="single" w:sz="8" w:color="auto"/>
            </w:tcBorders>
          </w:tcPr>
          <w:p>
            <w:pPr>
              <w:spacing w:after="0"/>
              <w:rPr>
                <w:sz w:val="12"/>
                <w:szCs w:val="12"/>
                <w:color w:val="auto"/>
              </w:rPr>
            </w:pPr>
          </w:p>
        </w:tc>
        <w:tc>
          <w:tcPr>
            <w:tcW w:w="158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7"/>
              </w:rPr>
              <w:t>OWNED BY</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tcBorders>
          </w:tcPr>
          <w:p>
            <w:pPr>
              <w:spacing w:after="0"/>
              <w:rPr>
                <w:sz w:val="7"/>
                <w:szCs w:val="7"/>
                <w:color w:val="auto"/>
              </w:rPr>
            </w:pPr>
          </w:p>
        </w:tc>
        <w:tc>
          <w:tcPr>
            <w:tcW w:w="1580" w:type="dxa"/>
            <w:vAlign w:val="bottom"/>
            <w:tcBorders>
              <w:right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9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40" w:type="dxa"/>
            <w:vAlign w:val="bottom"/>
            <w:tcBorders>
              <w:left w:val="single" w:sz="8" w:color="auto"/>
            </w:tcBorders>
          </w:tcPr>
          <w:p>
            <w:pPr>
              <w:spacing w:after="0"/>
              <w:rPr>
                <w:sz w:val="15"/>
                <w:szCs w:val="15"/>
                <w:color w:val="auto"/>
              </w:rPr>
            </w:pPr>
          </w:p>
        </w:tc>
        <w:tc>
          <w:tcPr>
            <w:tcW w:w="158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9</w:t>
            </w:r>
          </w:p>
        </w:tc>
        <w:tc>
          <w:tcPr>
            <w:tcW w:w="908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240" w:type="dxa"/>
            <w:vAlign w:val="bottom"/>
            <w:tcBorders>
              <w:left w:val="single" w:sz="8" w:color="auto"/>
            </w:tcBorders>
          </w:tcPr>
          <w:p>
            <w:pPr>
              <w:spacing w:after="0"/>
              <w:rPr>
                <w:sz w:val="18"/>
                <w:szCs w:val="18"/>
                <w:color w:val="auto"/>
              </w:rPr>
            </w:pPr>
          </w:p>
        </w:tc>
        <w:tc>
          <w:tcPr>
            <w:tcW w:w="158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3,550,000</w:t>
            </w:r>
            <w:r>
              <w:rPr>
                <w:rFonts w:ascii="Arial" w:cs="Arial" w:eastAsia="Arial" w:hAnsi="Arial"/>
                <w:sz w:val="29"/>
                <w:szCs w:val="29"/>
                <w:color w:val="auto"/>
                <w:vertAlign w:val="superscript"/>
              </w:rPr>
              <w:t>(6)</w:t>
            </w:r>
          </w:p>
        </w:tc>
        <w:tc>
          <w:tcPr>
            <w:tcW w:w="0" w:type="dxa"/>
            <w:vAlign w:val="bottom"/>
          </w:tcPr>
          <w:p>
            <w:pPr>
              <w:spacing w:after="0"/>
              <w:rPr>
                <w:sz w:val="1"/>
                <w:szCs w:val="1"/>
                <w:color w:val="auto"/>
              </w:rPr>
            </w:pPr>
          </w:p>
        </w:tc>
      </w:tr>
      <w:tr>
        <w:trPr>
          <w:trHeight w:val="176"/>
        </w:trPr>
        <w:tc>
          <w:tcPr>
            <w:tcW w:w="240" w:type="dxa"/>
            <w:vAlign w:val="bottom"/>
            <w:tcBorders>
              <w:left w:val="single" w:sz="8" w:color="auto"/>
            </w:tcBorders>
          </w:tcPr>
          <w:p>
            <w:pPr>
              <w:spacing w:after="0"/>
              <w:rPr>
                <w:sz w:val="15"/>
                <w:szCs w:val="15"/>
                <w:color w:val="auto"/>
              </w:rPr>
            </w:pPr>
          </w:p>
        </w:tc>
        <w:tc>
          <w:tcPr>
            <w:tcW w:w="158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2"/>
              </w:rPr>
              <w:t>PERSON</w:t>
            </w:r>
          </w:p>
        </w:tc>
        <w:tc>
          <w:tcPr>
            <w:tcW w:w="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40" w:type="dxa"/>
            <w:vAlign w:val="bottom"/>
            <w:tcBorders>
              <w:left w:val="single" w:sz="8" w:color="auto"/>
            </w:tcBorders>
          </w:tcPr>
          <w:p>
            <w:pPr>
              <w:spacing w:after="0"/>
              <w:rPr>
                <w:sz w:val="4"/>
                <w:szCs w:val="4"/>
                <w:color w:val="auto"/>
              </w:rPr>
            </w:pPr>
          </w:p>
        </w:tc>
        <w:tc>
          <w:tcPr>
            <w:tcW w:w="1580" w:type="dxa"/>
            <w:vAlign w:val="bottom"/>
            <w:tcBorders>
              <w:right w:val="single" w:sz="8" w:color="auto"/>
            </w:tcBorders>
            <w:gridSpan w:val="2"/>
            <w:vMerge w:val="continue"/>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9"/>
              </w:rPr>
              <w:t>WITH</w:t>
            </w:r>
          </w:p>
        </w:tc>
        <w:tc>
          <w:tcPr>
            <w:tcW w:w="8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10</w:t>
            </w:r>
          </w:p>
        </w:tc>
        <w:tc>
          <w:tcPr>
            <w:tcW w:w="9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9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240" w:type="dxa"/>
            <w:vAlign w:val="bottom"/>
            <w:tcBorders>
              <w:left w:val="single" w:sz="8" w:color="auto"/>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360" w:type="dxa"/>
            <w:vAlign w:val="bottom"/>
            <w:tcBorders>
              <w:bottom w:val="single" w:sz="8" w:color="auto"/>
              <w:right w:val="single" w:sz="8" w:color="auto"/>
            </w:tcBorders>
            <w:gridSpan w:val="2"/>
          </w:tcPr>
          <w:p>
            <w:pPr>
              <w:spacing w:after="0"/>
              <w:rPr>
                <w:sz w:val="7"/>
                <w:szCs w:val="7"/>
                <w:color w:val="auto"/>
              </w:rPr>
            </w:pPr>
          </w:p>
        </w:tc>
        <w:tc>
          <w:tcPr>
            <w:tcW w:w="9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020" w:type="dxa"/>
            <w:vAlign w:val="bottom"/>
          </w:tcPr>
          <w:p>
            <w:pPr>
              <w:ind w:left="120"/>
              <w:spacing w:after="0"/>
              <w:rPr>
                <w:sz w:val="20"/>
                <w:szCs w:val="20"/>
                <w:color w:val="auto"/>
              </w:rPr>
            </w:pPr>
            <w:r>
              <w:rPr>
                <w:rFonts w:ascii="Arial" w:cs="Arial" w:eastAsia="Arial" w:hAnsi="Arial"/>
                <w:sz w:val="18"/>
                <w:szCs w:val="18"/>
                <w:color w:val="auto"/>
              </w:rPr>
              <w:t>3,550,000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gridSpan w:val="2"/>
          </w:tcPr>
          <w:p>
            <w:pPr>
              <w:spacing w:after="0"/>
              <w:rPr>
                <w:sz w:val="7"/>
                <w:szCs w:val="7"/>
                <w:color w:val="auto"/>
              </w:rPr>
            </w:pPr>
          </w:p>
        </w:tc>
        <w:tc>
          <w:tcPr>
            <w:tcW w:w="9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90"/>
        </w:trPr>
        <w:tc>
          <w:tcPr>
            <w:tcW w:w="24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100" w:type="dxa"/>
            <w:vAlign w:val="bottom"/>
            <w:gridSpan w:val="2"/>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40" w:type="dxa"/>
            <w:vAlign w:val="bottom"/>
            <w:tcBorders>
              <w:left w:val="single" w:sz="8" w:color="auto"/>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gridSpan w:val="2"/>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13</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020" w:type="dxa"/>
            <w:vAlign w:val="bottom"/>
          </w:tcPr>
          <w:p>
            <w:pPr>
              <w:ind w:left="12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gridSpan w:val="2"/>
          </w:tcPr>
          <w:p>
            <w:pPr>
              <w:spacing w:after="0"/>
              <w:rPr>
                <w:sz w:val="7"/>
                <w:szCs w:val="7"/>
                <w:color w:val="auto"/>
              </w:rPr>
            </w:pPr>
          </w:p>
        </w:tc>
        <w:tc>
          <w:tcPr>
            <w:tcW w:w="9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14</w:t>
            </w:r>
          </w:p>
        </w:tc>
        <w:tc>
          <w:tcPr>
            <w:tcW w:w="56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OO</w:t>
            </w:r>
          </w:p>
        </w:tc>
        <w:tc>
          <w:tcPr>
            <w:tcW w:w="280" w:type="dxa"/>
            <w:vAlign w:val="bottom"/>
          </w:tcPr>
          <w:p>
            <w:pPr>
              <w:spacing w:after="0"/>
              <w:rPr>
                <w:sz w:val="23"/>
                <w:szCs w:val="23"/>
                <w:color w:val="auto"/>
              </w:rPr>
            </w:pPr>
          </w:p>
        </w:tc>
        <w:tc>
          <w:tcPr>
            <w:tcW w:w="9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right="640" w:firstLine="8"/>
        <w:spacing w:after="0" w:line="293" w:lineRule="auto"/>
        <w:tabs>
          <w:tab w:leader="none" w:pos="229" w:val="left"/>
        </w:tabs>
        <w:numPr>
          <w:ilvl w:val="0"/>
          <w:numId w:val="4"/>
        </w:numPr>
        <w:rPr>
          <w:rFonts w:ascii="Arial" w:cs="Arial" w:eastAsia="Arial" w:hAnsi="Arial"/>
          <w:sz w:val="16"/>
          <w:szCs w:val="16"/>
          <w:color w:val="auto"/>
        </w:rPr>
      </w:pPr>
      <w:r>
        <w:rPr>
          <w:rFonts w:ascii="Arial" w:cs="Arial" w:eastAsia="Arial" w:hAnsi="Arial"/>
          <w:sz w:val="16"/>
          <w:szCs w:val="16"/>
          <w:color w:val="auto"/>
        </w:rPr>
        <w:t>See Note 1 above. See also Item 6—Voting Agreement for a description of the voting rights exercisable by Mr. Calisto in respect of the Ordinary Shares held by Georgem.</w:t>
      </w:r>
    </w:p>
    <w:p>
      <w:pPr>
        <w:spacing w:after="0" w:line="9" w:lineRule="exact"/>
        <w:rPr>
          <w:rFonts w:ascii="Arial" w:cs="Arial" w:eastAsia="Arial" w:hAnsi="Arial"/>
          <w:sz w:val="16"/>
          <w:szCs w:val="16"/>
          <w:color w:val="auto"/>
        </w:rPr>
      </w:pPr>
    </w:p>
    <w:p>
      <w:pPr>
        <w:ind w:right="200" w:firstLine="8"/>
        <w:spacing w:after="0" w:line="293" w:lineRule="auto"/>
        <w:tabs>
          <w:tab w:leader="none" w:pos="229" w:val="left"/>
        </w:tabs>
        <w:numPr>
          <w:ilvl w:val="0"/>
          <w:numId w:val="4"/>
        </w:numPr>
        <w:rPr>
          <w:rFonts w:ascii="Arial" w:cs="Arial" w:eastAsia="Arial" w:hAnsi="Arial"/>
          <w:sz w:val="16"/>
          <w:szCs w:val="16"/>
          <w:color w:val="auto"/>
        </w:rPr>
      </w:pPr>
      <w:r>
        <w:rPr>
          <w:rFonts w:ascii="Arial" w:cs="Arial" w:eastAsia="Arial" w:hAnsi="Arial"/>
          <w:sz w:val="16"/>
          <w:szCs w:val="16"/>
          <w:color w:val="auto"/>
        </w:rPr>
        <w:t>See Note 2 above. See also Item 6—Voting Agreement for a description of the rights exercisable by Mr. Calisto in respect of Georgem’s ability to dispose of 3,000,000 Ordinary Shares held by Georgem.</w:t>
      </w:r>
    </w:p>
    <w:p>
      <w:pPr>
        <w:spacing w:after="0" w:line="16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5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This Schedule 13D relates to the ordinary shares, no par value per share (the “</w:t>
      </w:r>
      <w:r>
        <w:rPr>
          <w:rFonts w:ascii="Arial" w:cs="Arial" w:eastAsia="Arial" w:hAnsi="Arial"/>
          <w:sz w:val="16"/>
          <w:szCs w:val="16"/>
          <w:u w:val="single" w:color="auto"/>
          <w:color w:val="auto"/>
        </w:rPr>
        <w:t>Ordinary Shares</w:t>
      </w:r>
      <w:r>
        <w:rPr>
          <w:rFonts w:ascii="Arial" w:cs="Arial" w:eastAsia="Arial" w:hAnsi="Arial"/>
          <w:sz w:val="16"/>
          <w:szCs w:val="16"/>
          <w:color w:val="auto"/>
        </w:rPr>
        <w:t>”) of Karooooo Ltd., a Singapore public limited company (the “</w:t>
      </w:r>
      <w:r>
        <w:rPr>
          <w:rFonts w:ascii="Arial" w:cs="Arial" w:eastAsia="Arial" w:hAnsi="Arial"/>
          <w:sz w:val="16"/>
          <w:szCs w:val="16"/>
          <w:u w:val="single" w:color="auto"/>
          <w:color w:val="auto"/>
        </w:rPr>
        <w:t>Issuer</w:t>
      </w:r>
      <w:r>
        <w:rPr>
          <w:rFonts w:ascii="Arial" w:cs="Arial" w:eastAsia="Arial" w:hAnsi="Arial"/>
          <w:sz w:val="16"/>
          <w:szCs w:val="16"/>
          <w:color w:val="auto"/>
        </w:rPr>
        <w:t>”). The address of the principal executive office of the Issuer is 10 Anson Road, #12-14, International Plaza, Singapore 079903.</w:t>
      </w:r>
    </w:p>
    <w:p>
      <w:pPr>
        <w:spacing w:after="0" w:line="12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5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(a)-(b) This Schedule 13D is being filed by: (i) Juan Marais, a South African citizen, (ii) Jennefe Allen, a South African citizen, and (iii) Georgem Holdings (Pty) Ltd., a South African proprietary limited company (“</w:t>
      </w:r>
      <w:r>
        <w:rPr>
          <w:rFonts w:ascii="Arial" w:cs="Arial" w:eastAsia="Arial" w:hAnsi="Arial"/>
          <w:sz w:val="17"/>
          <w:szCs w:val="17"/>
          <w:u w:val="single" w:color="auto"/>
          <w:color w:val="auto"/>
        </w:rPr>
        <w:t>Georgem</w:t>
      </w:r>
      <w:r>
        <w:rPr>
          <w:rFonts w:ascii="Arial" w:cs="Arial" w:eastAsia="Arial" w:hAnsi="Arial"/>
          <w:sz w:val="17"/>
          <w:szCs w:val="17"/>
          <w:color w:val="auto"/>
        </w:rPr>
        <w:t>” and, together with Mr. Marais and Ms. Allen, the “</w:t>
      </w:r>
      <w:r>
        <w:rPr>
          <w:rFonts w:ascii="Arial" w:cs="Arial" w:eastAsia="Arial" w:hAnsi="Arial"/>
          <w:sz w:val="17"/>
          <w:szCs w:val="17"/>
          <w:u w:val="single" w:color="auto"/>
          <w:color w:val="auto"/>
        </w:rPr>
        <w:t>Reporting Persons</w:t>
      </w:r>
      <w:r>
        <w:rPr>
          <w:rFonts w:ascii="Arial" w:cs="Arial" w:eastAsia="Arial" w:hAnsi="Arial"/>
          <w:sz w:val="17"/>
          <w:szCs w:val="17"/>
          <w:color w:val="auto"/>
        </w:rPr>
        <w:t>”). Mr. Marais and Ms. Allen are directors of Georgem, and therefore share voting and investment power over the shares held by Georgem.</w:t>
      </w:r>
    </w:p>
    <w:p>
      <w:pPr>
        <w:spacing w:after="0" w:line="1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address of the principal business office of each of the Reporting Persons is c/o Juan Marais, 21 Penhurst Avenue, Essexwold, Bedfordview, South Africa 2007.</w:t>
      </w:r>
    </w:p>
    <w:p>
      <w:pPr>
        <w:spacing w:after="0" w:line="170" w:lineRule="exact"/>
        <w:rPr>
          <w:sz w:val="20"/>
          <w:szCs w:val="20"/>
          <w:color w:val="auto"/>
        </w:rPr>
      </w:pPr>
    </w:p>
    <w:p>
      <w:pPr>
        <w:ind w:right="540" w:firstLine="8"/>
        <w:spacing w:after="0" w:line="277"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principal business of Mr. Marais is serving as Chief Sales Officer of the Issuer. The principal business of Ms. Allen is serving as a director of Georgem. The principal business of Georgem is holding securities of the Issuer.</w:t>
      </w:r>
    </w:p>
    <w:p>
      <w:pPr>
        <w:spacing w:after="0" w:line="170" w:lineRule="exact"/>
        <w:rPr>
          <w:rFonts w:ascii="Arial" w:cs="Arial" w:eastAsia="Arial" w:hAnsi="Arial"/>
          <w:sz w:val="18"/>
          <w:szCs w:val="18"/>
          <w:color w:val="auto"/>
        </w:rPr>
      </w:pPr>
    </w:p>
    <w:p>
      <w:pPr>
        <w:ind w:right="80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have been convicted in a criminal proceeding (excluding traffic violations or similar misdemeanors).</w:t>
      </w:r>
    </w:p>
    <w:p>
      <w:pPr>
        <w:spacing w:after="0" w:line="170" w:lineRule="exact"/>
        <w:rPr>
          <w:rFonts w:ascii="Arial" w:cs="Arial" w:eastAsia="Arial" w:hAnsi="Arial"/>
          <w:sz w:val="18"/>
          <w:szCs w:val="18"/>
          <w:color w:val="auto"/>
        </w:rPr>
      </w:pPr>
    </w:p>
    <w:p>
      <w:pPr>
        <w:ind w:right="520" w:firstLine="8"/>
        <w:spacing w:after="0" w:line="286" w:lineRule="auto"/>
        <w:tabs>
          <w:tab w:leader="none" w:pos="245"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last five years, none of the Reporting Persons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5" w:lineRule="exact"/>
        <w:rPr>
          <w:rFonts w:ascii="Arial" w:cs="Arial" w:eastAsia="Arial" w:hAnsi="Arial"/>
          <w:sz w:val="17"/>
          <w:szCs w:val="17"/>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Item 2(a)-(b) above for citizenship or place of organization, as applicable, of each of the Reporting Persons.</w:t>
      </w:r>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ectPr>
          <w:pgSz w:w="11900" w:h="16838" w:orient="portrait"/>
          <w:cols w:equalWidth="0" w:num="1">
            <w:col w:w="11260"/>
          </w:cols>
          <w:pgMar w:left="320" w:top="476" w:right="319" w:bottom="29" w:gutter="0" w:footer="0" w:header="0"/>
        </w:sectPr>
      </w:pPr>
    </w:p>
    <w:bookmarkStart w:id="4" w:name="page5"/>
    <w:bookmarkEnd w:id="4"/>
    <w:p>
      <w:pPr>
        <w:spacing w:after="0" w:line="263" w:lineRule="auto"/>
        <w:rPr>
          <w:sz w:val="20"/>
          <w:szCs w:val="20"/>
          <w:color w:val="auto"/>
        </w:rPr>
      </w:pPr>
      <w:r>
        <w:rPr>
          <w:rFonts w:ascii="Arial" w:cs="Arial" w:eastAsia="Arial" w:hAnsi="Arial"/>
          <w:sz w:val="18"/>
          <w:szCs w:val="18"/>
          <w:color w:val="auto"/>
        </w:rPr>
        <w:t>Funds for the purchase by the Reporting Persons of the Ordinary Shares reported herein were derived from a corporate reorganization (the “</w:t>
      </w:r>
      <w:r>
        <w:rPr>
          <w:rFonts w:ascii="Arial" w:cs="Arial" w:eastAsia="Arial" w:hAnsi="Arial"/>
          <w:sz w:val="18"/>
          <w:szCs w:val="18"/>
          <w:u w:val="single" w:color="auto"/>
          <w:color w:val="auto"/>
        </w:rPr>
        <w:t>Corporate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Reorganization</w:t>
      </w:r>
      <w:r>
        <w:rPr>
          <w:rFonts w:ascii="Arial" w:cs="Arial" w:eastAsia="Arial" w:hAnsi="Arial"/>
          <w:sz w:val="18"/>
          <w:szCs w:val="18"/>
          <w:color w:val="auto"/>
        </w:rPr>
        <w:t>”), in connection with the Issuer’s initial public offering in the United States. The Corporate Reorganization is described in Item 4 of this Schedule 13D, which is incorporated herein by reference.</w:t>
      </w:r>
    </w:p>
    <w:p>
      <w:pPr>
        <w:spacing w:after="0" w:line="18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5" w:name="page6"/>
    <w:bookmarkEnd w:id="5"/>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Corporate Reorganization was undertaken pursuant to a scheme of arrangement under Section 114(1) (as read with Section 115) of the South African Companies Act (the “</w:t>
      </w:r>
      <w:r>
        <w:rPr>
          <w:rFonts w:ascii="Arial" w:cs="Arial" w:eastAsia="Arial" w:hAnsi="Arial"/>
          <w:sz w:val="16"/>
          <w:szCs w:val="16"/>
          <w:u w:val="single" w:color="auto"/>
          <w:color w:val="auto"/>
        </w:rPr>
        <w:t>Scheme</w:t>
      </w:r>
      <w:r>
        <w:rPr>
          <w:rFonts w:ascii="Arial" w:cs="Arial" w:eastAsia="Arial" w:hAnsi="Arial"/>
          <w:sz w:val="16"/>
          <w:szCs w:val="16"/>
          <w:color w:val="auto"/>
        </w:rPr>
        <w:t>”), whereby the Issuer, as the majority shareholder of Cartrack Holdings Limited (“</w:t>
      </w:r>
      <w:r>
        <w:rPr>
          <w:rFonts w:ascii="Arial" w:cs="Arial" w:eastAsia="Arial" w:hAnsi="Arial"/>
          <w:sz w:val="16"/>
          <w:szCs w:val="16"/>
          <w:u w:val="single" w:color="auto"/>
          <w:color w:val="auto"/>
        </w:rPr>
        <w:t>Cartrack</w:t>
      </w:r>
      <w:r>
        <w:rPr>
          <w:rFonts w:ascii="Arial" w:cs="Arial" w:eastAsia="Arial" w:hAnsi="Arial"/>
          <w:sz w:val="16"/>
          <w:szCs w:val="16"/>
          <w:color w:val="auto"/>
        </w:rPr>
        <w:t>”) acquired for cash all of the outstanding ordinary shares held by the minority shareholders of Cartrack at a price equal to R42.00 per share (the “</w:t>
      </w:r>
      <w:r>
        <w:rPr>
          <w:rFonts w:ascii="Arial" w:cs="Arial" w:eastAsia="Arial" w:hAnsi="Arial"/>
          <w:sz w:val="16"/>
          <w:szCs w:val="16"/>
          <w:u w:val="single" w:color="auto"/>
          <w:color w:val="auto"/>
        </w:rPr>
        <w:t>Scheme Consideration</w:t>
      </w:r>
      <w:r>
        <w:rPr>
          <w:rFonts w:ascii="Arial" w:cs="Arial" w:eastAsia="Arial" w:hAnsi="Arial"/>
          <w:sz w:val="16"/>
          <w:szCs w:val="16"/>
          <w:color w:val="auto"/>
        </w:rPr>
        <w:t>”), and, as a result, Cartrack became a wholly owned subsidiary of the Issuer. In connection with the Scheme, certain eligible shareholders of Cartrack elected to use all or a portion of their Scheme Consideration to subscribe for Ordinary Shares of the Issuer (the “</w:t>
      </w:r>
      <w:r>
        <w:rPr>
          <w:rFonts w:ascii="Arial" w:cs="Arial" w:eastAsia="Arial" w:hAnsi="Arial"/>
          <w:sz w:val="16"/>
          <w:szCs w:val="16"/>
          <w:u w:val="single" w:color="auto"/>
          <w:color w:val="auto"/>
        </w:rPr>
        <w:t>Reinvestment</w:t>
      </w:r>
      <w:r>
        <w:rPr>
          <w:rFonts w:ascii="Arial" w:cs="Arial" w:eastAsia="Arial" w:hAnsi="Arial"/>
          <w:sz w:val="16"/>
          <w:szCs w:val="16"/>
          <w:color w:val="auto"/>
        </w:rPr>
        <w:t>”). Georgem, an eligible Cartrack shareholder, used its Scheme Consideration to participate in the Reinvestment and acquired 3,550,000 Ordinary Shares on April 21, 2021 (the “</w:t>
      </w:r>
      <w:r>
        <w:rPr>
          <w:rFonts w:ascii="Arial" w:cs="Arial" w:eastAsia="Arial" w:hAnsi="Arial"/>
          <w:sz w:val="16"/>
          <w:szCs w:val="16"/>
          <w:u w:val="single" w:color="auto"/>
          <w:color w:val="auto"/>
        </w:rPr>
        <w:t>Georgem Holding</w:t>
      </w:r>
      <w:r>
        <w:rPr>
          <w:rFonts w:ascii="Arial" w:cs="Arial" w:eastAsia="Arial" w:hAnsi="Arial"/>
          <w:sz w:val="16"/>
          <w:szCs w:val="16"/>
          <w:color w:val="auto"/>
        </w:rPr>
        <w:t>”).</w:t>
      </w:r>
    </w:p>
    <w:p>
      <w:pPr>
        <w:spacing w:after="0" w:line="16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No Reporting Person has any present plan or proposal to acquire or dispose of any Ordinary Shares, although each Reporting Person at any time and from time to time may acquire additional Ordinary Shares or, subject to the terms of the Voting Agreement, dispose of Ordinary Shares, as applicable, depending upon prevailing market, economic and other conditions, other investment and business opportunities available to the Reporting Persons, liquidity requirements of the Reporting Persons, tax considerations and/or other investment considerations. In particular, the Reporting Persons intend to dispose of up to 550,000 Ordinary Shares within 12 months from the date hereof primarily to fund the payment of taxes and costs related to the Scheme.</w:t>
      </w:r>
    </w:p>
    <w:p>
      <w:pPr>
        <w:spacing w:after="0" w:line="16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Subject to the foregoing, none of the Reporting Persons has any plans or proposals which relate to, or could result in, any of the matters referred to in paragraphs (a) through (j), inclusive, of the instructions to Item 4 of Schedule 13D. The Reporting Persons may, at any time and from time to time, review or reconsider their position and/or change their purpose and/or formulate plans or proposals with respect thereto.</w:t>
      </w:r>
    </w:p>
    <w:p>
      <w:pPr>
        <w:spacing w:after="0" w:line="16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56"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(a)-(b) The aggregate number and percentage of the Ordinary Shares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 and are incorporated herein by reference. Calculations of the percentage of Ordinary Shares beneficially owned assumes that there were 30,951,106 Ordinary Shares outstanding as reported in the Issuer’s Report on Form 6-K filed with the U.S. Securities and Exchange Commission on April 19, 2021.</w:t>
      </w:r>
    </w:p>
    <w:p>
      <w:pPr>
        <w:spacing w:after="0" w:line="16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Except as set forth in this Schedule 13D, the Reporting Persons have not effected any transaction in Ordinary Shares in the past 60 days.</w:t>
      </w:r>
    </w:p>
    <w:p>
      <w:pPr>
        <w:spacing w:after="0" w:line="236" w:lineRule="exact"/>
        <w:rPr>
          <w:rFonts w:ascii="Arial" w:cs="Arial" w:eastAsia="Arial" w:hAnsi="Arial"/>
          <w:sz w:val="17"/>
          <w:szCs w:val="17"/>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56"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 xml:space="preserve">The information set forth, or incorporated by reference, in Items 3 through 5 of this Schedule 13D is incorporated by reference into this Item 6. Except as otherwise described in this Schedule 13D, to the knowledge of the Reporting Persons, there are no other contracts, arrangements, understandings or relationships (legal or otherwise) among the persons named in Item 2 or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and between such persons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Agreement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anticipation of the initial public offering of Karooooo Ltd., and recognizing that Mr. Calisto, as founder, would receive no special rights pursuant to the Constitution of the Issuer, Mr. Calisto and Georgem entered into that certain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6" w:name="page7"/>
    <w:bookmarkEnd w:id="6"/>
    <w:p>
      <w:pPr>
        <w:ind w:right="60"/>
        <w:spacing w:after="0" w:line="342" w:lineRule="auto"/>
        <w:rPr>
          <w:sz w:val="20"/>
          <w:szCs w:val="20"/>
          <w:color w:val="auto"/>
        </w:rPr>
      </w:pPr>
      <w:r>
        <w:rPr>
          <w:rFonts w:ascii="Arial" w:cs="Arial" w:eastAsia="Arial" w:hAnsi="Arial"/>
          <w:sz w:val="16"/>
          <w:szCs w:val="16"/>
          <w:color w:val="auto"/>
        </w:rPr>
        <w:t>Voting Agreement (the “</w:t>
      </w:r>
      <w:r>
        <w:rPr>
          <w:rFonts w:ascii="Arial" w:cs="Arial" w:eastAsia="Arial" w:hAnsi="Arial"/>
          <w:sz w:val="16"/>
          <w:szCs w:val="16"/>
          <w:u w:val="single" w:color="auto"/>
          <w:color w:val="auto"/>
        </w:rPr>
        <w:t>Voting Agreement</w:t>
      </w:r>
      <w:r>
        <w:rPr>
          <w:rFonts w:ascii="Arial" w:cs="Arial" w:eastAsia="Arial" w:hAnsi="Arial"/>
          <w:sz w:val="16"/>
          <w:szCs w:val="16"/>
          <w:color w:val="auto"/>
        </w:rPr>
        <w:t>”), dated as of March 22, 2021, with the purpose of providing Mr. Calisto and his permitted transferees the right to exercise, or cause Georgem to exercise as directed by Mr. Calisto and his permitted transferees, the voting rights in respect of the Georgem Holding.</w:t>
      </w:r>
    </w:p>
    <w:p>
      <w:pPr>
        <w:spacing w:after="0" w:line="1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Pursuant to the Voting Agreement, Mr. Calisto and Georgem have agreed that if Mr. Calisto’s beneficial ownership falls to below 51% of the issued and outstanding Ordinary Shares of the Issuer, then Georgem will cast all votes in respect of the Georgem Holding as directed by Mr. Calisto and his permitted transferees. In addition, without the prior written consent of Mr. Calisto, Georgem is not permitted to (i) transfer more than an aggregate of 550,000 Ordinary Shares owned by Georgem or (ii) acquire any additional Ordinary Shares. Mr. Calisto may be deemed to have beneficial ownership and shared voting power of 3,550,000 Ordinary Shares as a result of the Voting Agreement described herein. However, as of the filing date of this Schedule 13D, as Mr. Calisto otherwise beneficially owns Ordinary Shares representing more than 51% of the total issued and outstanding Ordinary Shares of the Issuer, he may not exercise voting rights in respect of the Ordinary Shares owned by Georgem. Neither the filing of this Schedule 13D nor any of its contents shall be deemed to constitute an admission by Mr. Calisto that he is the beneficial owner of any Ordinary Shares held by Georgem for purposes of Section 13(d) of the Exchange Act or for any other purpose, and such beneficial ownership thereof is expressly disclaimed.</w:t>
      </w:r>
    </w:p>
    <w:p>
      <w:pPr>
        <w:spacing w:after="0" w:line="16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description of the Voting Agreement contained in this Item 6 is not intended to be complete and is qualified in its entirety by reference to such document, which is filed as Exhibit 99.1 hereto and incorporated by reference herein.</w:t>
      </w:r>
    </w:p>
    <w:p>
      <w:pPr>
        <w:spacing w:after="0" w:line="1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93"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539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43180</wp:posOffset>
            </wp:positionV>
            <wp:extent cx="6489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28"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Voting Agreement, dated as of March 22, 2021, by and between Mr. Calisto and Georgem Holdings (Pty) Ltd. (filed herewith).</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7" w:name="page8"/>
    <w:bookmarkEnd w:id="7"/>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2021</w:t>
      </w:r>
    </w:p>
    <w:p>
      <w:pPr>
        <w:spacing w:after="0" w:line="248"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JUAN MARAIS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40"/>
        <w:spacing w:after="0"/>
        <w:tabs>
          <w:tab w:leader="none" w:pos="7160" w:val="left"/>
        </w:tabs>
        <w:rPr>
          <w:sz w:val="20"/>
          <w:szCs w:val="20"/>
          <w:color w:val="auto"/>
        </w:rPr>
      </w:pPr>
      <w:r>
        <w:rPr>
          <w:rFonts w:ascii="Arial" w:cs="Arial" w:eastAsia="Arial" w:hAnsi="Arial"/>
          <w:sz w:val="18"/>
          <w:szCs w:val="18"/>
          <w:color w:val="auto"/>
        </w:rPr>
        <w:t>By:</w:t>
        <w:tab/>
        <w:t>/s/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63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3495" cy="8255"/>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Juan Marais</w:t>
      </w:r>
    </w:p>
    <w:p>
      <w:pPr>
        <w:spacing w:after="0" w:line="200" w:lineRule="exact"/>
        <w:rPr>
          <w:sz w:val="20"/>
          <w:szCs w:val="20"/>
          <w:color w:val="auto"/>
        </w:rPr>
      </w:pPr>
    </w:p>
    <w:p>
      <w:pPr>
        <w:spacing w:after="0" w:line="345"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JENNEFE ALLEN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40"/>
        <w:spacing w:after="0"/>
        <w:tabs>
          <w:tab w:leader="none" w:pos="7160" w:val="left"/>
        </w:tabs>
        <w:rPr>
          <w:sz w:val="20"/>
          <w:szCs w:val="20"/>
          <w:color w:val="auto"/>
        </w:rPr>
      </w:pPr>
      <w:r>
        <w:rPr>
          <w:rFonts w:ascii="Arial" w:cs="Arial" w:eastAsia="Arial" w:hAnsi="Arial"/>
          <w:sz w:val="18"/>
          <w:szCs w:val="18"/>
          <w:color w:val="auto"/>
        </w:rPr>
        <w:t>By:</w:t>
        <w:tab/>
        <w:t>/s/ Jennefe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63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3495" cy="8255"/>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Jennefe Allen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GEORGEM HOLDINGS (PTY) LTD.</w:t>
      </w:r>
    </w:p>
    <w:p>
      <w:pPr>
        <w:spacing w:after="0" w:line="200" w:lineRule="exact"/>
        <w:rPr>
          <w:sz w:val="20"/>
          <w:szCs w:val="20"/>
          <w:color w:val="auto"/>
        </w:rPr>
      </w:pPr>
    </w:p>
    <w:p>
      <w:pPr>
        <w:spacing w:after="0" w:line="353" w:lineRule="exact"/>
        <w:rPr>
          <w:sz w:val="20"/>
          <w:szCs w:val="20"/>
          <w:color w:val="auto"/>
        </w:rPr>
      </w:pPr>
    </w:p>
    <w:p>
      <w:pPr>
        <w:ind w:left="6640"/>
        <w:spacing w:after="0"/>
        <w:tabs>
          <w:tab w:leader="none" w:pos="7160" w:val="left"/>
        </w:tabs>
        <w:rPr>
          <w:sz w:val="20"/>
          <w:szCs w:val="20"/>
          <w:color w:val="auto"/>
        </w:rPr>
      </w:pPr>
      <w:r>
        <w:rPr>
          <w:rFonts w:ascii="Arial" w:cs="Arial" w:eastAsia="Arial" w:hAnsi="Arial"/>
          <w:sz w:val="18"/>
          <w:szCs w:val="18"/>
          <w:color w:val="auto"/>
        </w:rPr>
        <w:t>By:</w:t>
        <w:tab/>
        <w:t>Juan Marais, its Director</w:t>
      </w:r>
    </w:p>
    <w:p>
      <w:pPr>
        <w:spacing w:after="0" w:line="333" w:lineRule="exact"/>
        <w:rPr>
          <w:sz w:val="20"/>
          <w:szCs w:val="20"/>
          <w:color w:val="auto"/>
        </w:rPr>
      </w:pPr>
    </w:p>
    <w:p>
      <w:pPr>
        <w:ind w:left="6640"/>
        <w:spacing w:after="0"/>
        <w:tabs>
          <w:tab w:leader="none" w:pos="7160" w:val="left"/>
        </w:tabs>
        <w:rPr>
          <w:sz w:val="20"/>
          <w:szCs w:val="20"/>
          <w:color w:val="auto"/>
        </w:rPr>
      </w:pPr>
      <w:r>
        <w:rPr>
          <w:rFonts w:ascii="Arial" w:cs="Arial" w:eastAsia="Arial" w:hAnsi="Arial"/>
          <w:sz w:val="18"/>
          <w:szCs w:val="18"/>
          <w:color w:val="auto"/>
        </w:rPr>
        <w:t>By:</w:t>
        <w:tab/>
        <w:t>/s/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634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3495" cy="8255"/>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Juan Marais</w:t>
      </w:r>
    </w:p>
    <w:p>
      <w:pPr>
        <w:spacing w:after="0" w:line="63" w:lineRule="exact"/>
        <w:rPr>
          <w:sz w:val="20"/>
          <w:szCs w:val="20"/>
          <w:color w:val="auto"/>
        </w:rPr>
      </w:pPr>
    </w:p>
    <w:p>
      <w:pPr>
        <w:ind w:left="6640"/>
        <w:spacing w:after="0"/>
        <w:tabs>
          <w:tab w:leader="none" w:pos="7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472" w:right="519" w:bottom="1440" w:gutter="0" w:footer="0" w:header="0"/>
        </w:sectPr>
      </w:pPr>
    </w:p>
    <w:bookmarkStart w:id="8" w:name="page9"/>
    <w:bookmarkEnd w:id="8"/>
    <w:p>
      <w:pPr>
        <w:jc w:val="center"/>
        <w:ind w:right="-319"/>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DIRECTORS AND EXECUTIVE OFFICERS OF GEORGEM HOLDINGS (PTY) LTD.</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name, business address, present principal occupation or employment and the name, principal business and address of any corporation or other organization in which such employment is conducted of each director and executive officer of Georgem Holdings (Pty) Ltd. (“</w:t>
      </w:r>
      <w:r>
        <w:rPr>
          <w:rFonts w:ascii="Arial" w:cs="Arial" w:eastAsia="Arial" w:hAnsi="Arial"/>
          <w:sz w:val="18"/>
          <w:szCs w:val="18"/>
          <w:u w:val="single" w:color="auto"/>
          <w:color w:val="auto"/>
        </w:rPr>
        <w:t>Georgem</w:t>
      </w:r>
      <w:r>
        <w:rPr>
          <w:rFonts w:ascii="Arial" w:cs="Arial" w:eastAsia="Arial" w:hAnsi="Arial"/>
          <w:sz w:val="18"/>
          <w:szCs w:val="18"/>
          <w:color w:val="auto"/>
        </w:rPr>
        <w:t>”) is set forth below. Except as otherwise indicated, each occupation set forth opposite an individual’s name refers to Georgem, and all of the persons listed below are citizens of South Africa. Directors are noted with an asterisk.</w:t>
      </w:r>
    </w:p>
    <w:p>
      <w:pPr>
        <w:sectPr>
          <w:pgSz w:w="11900" w:h="16838" w:orient="portrait"/>
          <w:cols w:equalWidth="0" w:num="1">
            <w:col w:w="10920"/>
          </w:cols>
          <w:pgMar w:left="320" w:top="472" w:right="659" w:bottom="1440" w:gutter="0" w:footer="0" w:header="0"/>
        </w:sectPr>
      </w:pPr>
    </w:p>
    <w:p>
      <w:pPr>
        <w:spacing w:after="0" w:line="237"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Arial" w:cs="Arial" w:eastAsia="Arial" w:hAnsi="Arial"/>
                <w:sz w:val="18"/>
                <w:szCs w:val="18"/>
                <w:b w:val="1"/>
                <w:bCs w:val="1"/>
                <w:color w:val="auto"/>
              </w:rPr>
              <w:t>2. Present Principal Occupation or</w:t>
            </w:r>
          </w:p>
        </w:tc>
      </w:t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Arial" w:cs="Arial" w:eastAsia="Arial" w:hAnsi="Arial"/>
                <w:sz w:val="18"/>
                <w:szCs w:val="18"/>
                <w:b w:val="1"/>
                <w:bCs w:val="1"/>
                <w:color w:val="auto"/>
              </w:rPr>
              <w:t>Employment (Including Principal</w:t>
            </w:r>
          </w:p>
        </w:tc>
      </w:tr>
      <w:tr>
        <w:trPr>
          <w:trHeight w:val="234"/>
        </w:trPr>
        <w:tc>
          <w:tcPr>
            <w:tcW w:w="2380" w:type="dxa"/>
            <w:vAlign w:val="bottom"/>
          </w:tcPr>
          <w:p>
            <w:pPr>
              <w:ind w:left="20"/>
              <w:spacing w:after="0"/>
              <w:rPr>
                <w:sz w:val="20"/>
                <w:szCs w:val="20"/>
                <w:color w:val="auto"/>
              </w:rPr>
            </w:pPr>
            <w:r>
              <w:rPr>
                <w:rFonts w:ascii="Arial" w:cs="Arial" w:eastAsia="Arial" w:hAnsi="Arial"/>
                <w:sz w:val="18"/>
                <w:szCs w:val="18"/>
                <w:b w:val="1"/>
                <w:bCs w:val="1"/>
                <w:color w:val="auto"/>
              </w:rPr>
              <w:t>1. Name</w:t>
            </w:r>
          </w:p>
        </w:tc>
        <w:tc>
          <w:tcPr>
            <w:tcW w:w="180" w:type="dxa"/>
            <w:vAlign w:val="bottom"/>
          </w:tcPr>
          <w:p>
            <w:pPr>
              <w:spacing w:after="0"/>
              <w:rPr>
                <w:sz w:val="20"/>
                <w:szCs w:val="20"/>
                <w:color w:val="auto"/>
              </w:rPr>
            </w:pPr>
          </w:p>
        </w:tc>
        <w:tc>
          <w:tcPr>
            <w:tcW w:w="3980" w:type="dxa"/>
            <w:vAlign w:val="bottom"/>
          </w:tcPr>
          <w:p>
            <w:pPr>
              <w:ind w:left="40"/>
              <w:spacing w:after="0"/>
              <w:rPr>
                <w:sz w:val="20"/>
                <w:szCs w:val="20"/>
                <w:color w:val="auto"/>
              </w:rPr>
            </w:pPr>
            <w:r>
              <w:rPr>
                <w:rFonts w:ascii="Arial" w:cs="Arial" w:eastAsia="Arial" w:hAnsi="Arial"/>
                <w:sz w:val="18"/>
                <w:szCs w:val="18"/>
                <w:b w:val="1"/>
                <w:bCs w:val="1"/>
                <w:color w:val="auto"/>
              </w:rPr>
              <w:t>Business of Employer)</w:t>
            </w:r>
          </w:p>
        </w:tc>
      </w:tr>
      <w:tr>
        <w:trPr>
          <w:trHeight w:val="27"/>
        </w:trPr>
        <w:tc>
          <w:tcPr>
            <w:tcW w:w="2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49"/>
        </w:trPr>
        <w:tc>
          <w:tcPr>
            <w:tcW w:w="2380" w:type="dxa"/>
            <w:vAlign w:val="bottom"/>
          </w:tcPr>
          <w:p>
            <w:pPr>
              <w:ind w:left="20"/>
              <w:spacing w:after="0"/>
              <w:rPr>
                <w:sz w:val="20"/>
                <w:szCs w:val="20"/>
                <w:color w:val="auto"/>
              </w:rPr>
            </w:pPr>
            <w:r>
              <w:rPr>
                <w:rFonts w:ascii="Arial" w:cs="Arial" w:eastAsia="Arial" w:hAnsi="Arial"/>
                <w:sz w:val="18"/>
                <w:szCs w:val="18"/>
                <w:color w:val="auto"/>
              </w:rPr>
              <w:t>Juan Marais</w:t>
            </w:r>
          </w:p>
        </w:tc>
        <w:tc>
          <w:tcPr>
            <w:tcW w:w="180" w:type="dxa"/>
            <w:vAlign w:val="bottom"/>
          </w:tcPr>
          <w:p>
            <w:pPr>
              <w:spacing w:after="0"/>
              <w:rPr>
                <w:sz w:val="21"/>
                <w:szCs w:val="21"/>
                <w:color w:val="auto"/>
              </w:rPr>
            </w:pPr>
          </w:p>
        </w:tc>
        <w:tc>
          <w:tcPr>
            <w:tcW w:w="3980" w:type="dxa"/>
            <w:vAlign w:val="bottom"/>
          </w:tcPr>
          <w:p>
            <w:pPr>
              <w:ind w:left="40"/>
              <w:spacing w:after="0"/>
              <w:rPr>
                <w:sz w:val="20"/>
                <w:szCs w:val="20"/>
                <w:color w:val="auto"/>
              </w:rPr>
            </w:pPr>
            <w:r>
              <w:rPr>
                <w:rFonts w:ascii="Arial" w:cs="Arial" w:eastAsia="Arial" w:hAnsi="Arial"/>
                <w:sz w:val="18"/>
                <w:szCs w:val="18"/>
                <w:color w:val="auto"/>
              </w:rPr>
              <w:t>Chief Sales Officer of Karooooo Ltd.; Director of</w:t>
            </w:r>
          </w:p>
        </w:tc>
      </w:tr>
      <w:tr>
        <w:trPr>
          <w:trHeight w:val="230"/>
        </w:trPr>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80" w:type="dxa"/>
            <w:vAlign w:val="bottom"/>
          </w:tcPr>
          <w:p>
            <w:pPr>
              <w:ind w:left="40"/>
              <w:spacing w:after="0"/>
              <w:rPr>
                <w:sz w:val="20"/>
                <w:szCs w:val="20"/>
                <w:color w:val="auto"/>
              </w:rPr>
            </w:pPr>
            <w:r>
              <w:rPr>
                <w:rFonts w:ascii="Arial" w:cs="Arial" w:eastAsia="Arial" w:hAnsi="Arial"/>
                <w:sz w:val="18"/>
                <w:szCs w:val="18"/>
                <w:color w:val="auto"/>
              </w:rPr>
              <w:t>Georgem</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20"/>
        <w:spacing w:after="0"/>
        <w:tabs>
          <w:tab w:leader="none" w:pos="3180" w:val="left"/>
        </w:tabs>
        <w:rPr>
          <w:sz w:val="20"/>
          <w:szCs w:val="20"/>
          <w:color w:val="auto"/>
        </w:rPr>
      </w:pPr>
      <w:r>
        <w:rPr>
          <w:rFonts w:ascii="Arial" w:cs="Arial" w:eastAsia="Arial" w:hAnsi="Arial"/>
          <w:sz w:val="18"/>
          <w:szCs w:val="18"/>
          <w:color w:val="auto"/>
        </w:rPr>
        <w:t>Jennefe Allen</w:t>
      </w:r>
      <w:r>
        <w:rPr>
          <w:sz w:val="20"/>
          <w:szCs w:val="20"/>
          <w:color w:val="auto"/>
        </w:rPr>
        <w:tab/>
      </w:r>
      <w:r>
        <w:rPr>
          <w:rFonts w:ascii="Arial" w:cs="Arial" w:eastAsia="Arial" w:hAnsi="Arial"/>
          <w:sz w:val="16"/>
          <w:szCs w:val="16"/>
          <w:color w:val="auto"/>
        </w:rPr>
        <w:t>Director of Georgem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left="8" w:right="1100" w:hanging="8"/>
        <w:spacing w:after="0" w:line="346" w:lineRule="auto"/>
        <w:tabs>
          <w:tab w:leader="none" w:pos="188"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Business Address / Address of Principal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wp:posOffset>
            </wp:positionV>
            <wp:extent cx="2108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ind w:left="8"/>
        <w:spacing w:after="0"/>
        <w:rPr>
          <w:sz w:val="20"/>
          <w:szCs w:val="20"/>
          <w:color w:val="auto"/>
        </w:rPr>
      </w:pPr>
      <w:r>
        <w:rPr>
          <w:rFonts w:ascii="Arial" w:cs="Arial" w:eastAsia="Arial" w:hAnsi="Arial"/>
          <w:sz w:val="18"/>
          <w:szCs w:val="18"/>
          <w:color w:val="auto"/>
        </w:rPr>
        <w:t>c/o Karooooo Ltd.</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10 Anson Road #12-14</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International Plaza</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Singapore 079903</w:t>
      </w:r>
    </w:p>
    <w:p>
      <w:pPr>
        <w:spacing w:after="0" w:line="373" w:lineRule="exact"/>
        <w:rPr>
          <w:sz w:val="20"/>
          <w:szCs w:val="20"/>
          <w:color w:val="auto"/>
        </w:rPr>
      </w:pPr>
    </w:p>
    <w:p>
      <w:pPr>
        <w:ind w:left="8" w:right="1180"/>
        <w:spacing w:after="0" w:line="259" w:lineRule="auto"/>
        <w:rPr>
          <w:sz w:val="20"/>
          <w:szCs w:val="20"/>
          <w:color w:val="auto"/>
        </w:rPr>
      </w:pPr>
      <w:r>
        <w:rPr>
          <w:rFonts w:ascii="Arial" w:cs="Arial" w:eastAsia="Arial" w:hAnsi="Arial"/>
          <w:sz w:val="18"/>
          <w:szCs w:val="18"/>
          <w:color w:val="auto"/>
        </w:rPr>
        <w:t>c/o Georgem Holdings (Pty) Ltd. 21 Penhurst Avenue Essexwold, Bedfordview South Africa 2007</w:t>
      </w:r>
    </w:p>
    <w:p>
      <w:pPr>
        <w:spacing w:after="0" w:line="200" w:lineRule="exact"/>
        <w:rPr>
          <w:sz w:val="20"/>
          <w:szCs w:val="20"/>
          <w:color w:val="auto"/>
        </w:rPr>
      </w:pPr>
    </w:p>
    <w:p>
      <w:pPr>
        <w:sectPr>
          <w:pgSz w:w="11900" w:h="16838" w:orient="portrait"/>
          <w:cols w:equalWidth="0" w:num="2">
            <w:col w:w="7140" w:space="212"/>
            <w:col w:w="3568"/>
          </w:cols>
          <w:pgMar w:left="320" w:top="472" w:right="659" w:bottom="1440" w:gutter="0" w:footer="0" w:header="0"/>
          <w:type w:val="continuous"/>
        </w:sectPr>
      </w:pPr>
    </w:p>
    <w:p>
      <w:pPr>
        <w:spacing w:after="0" w:line="68"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472" w:right="65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AGREEMENT</w:t>
      </w:r>
    </w:p>
    <w:p>
      <w:pPr>
        <w:spacing w:after="0" w:line="225" w:lineRule="exact"/>
        <w:rPr>
          <w:sz w:val="20"/>
          <w:szCs w:val="20"/>
          <w:color w:val="auto"/>
        </w:rPr>
      </w:pPr>
    </w:p>
    <w:p>
      <w:pPr>
        <w:ind w:right="960" w:firstLine="648"/>
        <w:spacing w:after="0" w:line="282" w:lineRule="auto"/>
        <w:rPr>
          <w:sz w:val="20"/>
          <w:szCs w:val="20"/>
          <w:color w:val="auto"/>
        </w:rPr>
      </w:pPr>
      <w:r>
        <w:rPr>
          <w:rFonts w:ascii="Arial" w:cs="Arial" w:eastAsia="Arial" w:hAnsi="Arial"/>
          <w:sz w:val="18"/>
          <w:szCs w:val="18"/>
          <w:color w:val="auto"/>
        </w:rPr>
        <w:t>AGREEMENT dated and effective as of March 22, 2021 between (i) Isaias Jose Calisto (“</w:t>
      </w:r>
      <w:r>
        <w:rPr>
          <w:rFonts w:ascii="Arial" w:cs="Arial" w:eastAsia="Arial" w:hAnsi="Arial"/>
          <w:sz w:val="18"/>
          <w:szCs w:val="18"/>
          <w:b w:val="1"/>
          <w:bCs w:val="1"/>
          <w:color w:val="auto"/>
        </w:rPr>
        <w:t>IJC</w:t>
      </w:r>
      <w:r>
        <w:rPr>
          <w:rFonts w:ascii="Arial" w:cs="Arial" w:eastAsia="Arial" w:hAnsi="Arial"/>
          <w:sz w:val="18"/>
          <w:szCs w:val="18"/>
          <w:color w:val="auto"/>
        </w:rPr>
        <w:t>”) and (ii) Georgem Holdings (Pty) Ltd (“</w:t>
      </w:r>
      <w:r>
        <w:rPr>
          <w:rFonts w:ascii="Arial" w:cs="Arial" w:eastAsia="Arial" w:hAnsi="Arial"/>
          <w:sz w:val="18"/>
          <w:szCs w:val="18"/>
          <w:b w:val="1"/>
          <w:bCs w:val="1"/>
          <w:color w:val="auto"/>
        </w:rPr>
        <w:t>Georgem</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IJC is the founder and sole shareholder of Karooooo Ltd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WHEREAS, the Company intends to list the ordinary shares of the Company (the “</w:t>
      </w:r>
      <w:r>
        <w:rPr>
          <w:rFonts w:ascii="Arial" w:cs="Arial" w:eastAsia="Arial" w:hAnsi="Arial"/>
          <w:sz w:val="18"/>
          <w:szCs w:val="18"/>
          <w:b w:val="1"/>
          <w:bCs w:val="1"/>
          <w:color w:val="auto"/>
        </w:rPr>
        <w:t>Ordinary Shares</w:t>
      </w:r>
      <w:r>
        <w:rPr>
          <w:rFonts w:ascii="Arial" w:cs="Arial" w:eastAsia="Arial" w:hAnsi="Arial"/>
          <w:sz w:val="18"/>
          <w:szCs w:val="18"/>
          <w:color w:val="auto"/>
        </w:rPr>
        <w:t>”) on the Nasdaq Global Select Market, conduct an initial public offering of Shares in the United States pursuant to a registration statement on Form F-1 filed with the U.S. Securities and Exchange Commission (the “</w:t>
      </w:r>
      <w:r>
        <w:rPr>
          <w:rFonts w:ascii="Arial" w:cs="Arial" w:eastAsia="Arial" w:hAnsi="Arial"/>
          <w:sz w:val="18"/>
          <w:szCs w:val="18"/>
          <w:b w:val="1"/>
          <w:bCs w:val="1"/>
          <w:color w:val="auto"/>
        </w:rPr>
        <w:t>Form F-1</w:t>
      </w:r>
      <w:r>
        <w:rPr>
          <w:rFonts w:ascii="Arial" w:cs="Arial" w:eastAsia="Arial" w:hAnsi="Arial"/>
          <w:sz w:val="18"/>
          <w:szCs w:val="18"/>
          <w:color w:val="auto"/>
        </w:rPr>
        <w:t>”) and, in connection therewith, effect the corporate reorganization (the “</w:t>
      </w:r>
      <w:r>
        <w:rPr>
          <w:rFonts w:ascii="Arial" w:cs="Arial" w:eastAsia="Arial" w:hAnsi="Arial"/>
          <w:sz w:val="18"/>
          <w:szCs w:val="18"/>
          <w:b w:val="1"/>
          <w:bCs w:val="1"/>
          <w:color w:val="auto"/>
        </w:rPr>
        <w:t>Corporate Reorganization</w:t>
      </w:r>
      <w:r>
        <w:rPr>
          <w:rFonts w:ascii="Arial" w:cs="Arial" w:eastAsia="Arial" w:hAnsi="Arial"/>
          <w:sz w:val="18"/>
          <w:szCs w:val="18"/>
          <w:color w:val="auto"/>
        </w:rPr>
        <w:t>”) described in the Form F-1;</w:t>
      </w:r>
    </w:p>
    <w:p>
      <w:pPr>
        <w:spacing w:after="0" w:line="180"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color w:val="auto"/>
        </w:rPr>
        <w:t>WHEREAS, pursuant to the Corporate Reorganization, Georgem Holdings (Pty) Ltd. (“</w:t>
      </w:r>
      <w:r>
        <w:rPr>
          <w:rFonts w:ascii="Arial" w:cs="Arial" w:eastAsia="Arial" w:hAnsi="Arial"/>
          <w:sz w:val="18"/>
          <w:szCs w:val="18"/>
          <w:b w:val="1"/>
          <w:bCs w:val="1"/>
          <w:color w:val="auto"/>
        </w:rPr>
        <w:t>Georgem</w:t>
      </w:r>
      <w:r>
        <w:rPr>
          <w:rFonts w:ascii="Arial" w:cs="Arial" w:eastAsia="Arial" w:hAnsi="Arial"/>
          <w:sz w:val="18"/>
          <w:szCs w:val="18"/>
          <w:color w:val="auto"/>
        </w:rPr>
        <w:t>”) is expected to acquire approximately 3,550,000 Ordinary Shares; and</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WHEREAS, in the absence of any special rights or privileges granted to IJC as founder of the Company pursuant to the Company’s constitutional documents, the parties hereto desire to enter into this Agreement to provide IJC and IJC Transferees with the right to exercise, or cause Georgem to exercise as directed by IJC and IJC Transferees, the voting rights in respect of any Ordinary Shares beneficially owned by Georgem for so long as IJC and IJC Transferees, in his or their sole discretion, determine to do so;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covenants and agreements contained herein, the parties hereto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Beneficially Owned</w:t>
      </w:r>
      <w:r>
        <w:rPr>
          <w:rFonts w:ascii="Arial" w:cs="Arial" w:eastAsia="Arial" w:hAnsi="Arial"/>
          <w:sz w:val="18"/>
          <w:szCs w:val="18"/>
          <w:color w:val="auto"/>
        </w:rPr>
        <w:t>” has the meaning ascribed to such term in Rule 13d-3 of the Exchange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Karooooo Ltd., a public limited company organized under the laws of the Republic of Singapore.</w:t>
      </w:r>
    </w:p>
    <w:p>
      <w:pPr>
        <w:spacing w:after="0" w:line="225"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Securities</w:t>
      </w:r>
      <w:r>
        <w:rPr>
          <w:rFonts w:ascii="Arial" w:cs="Arial" w:eastAsia="Arial" w:hAnsi="Arial"/>
          <w:sz w:val="18"/>
          <w:szCs w:val="18"/>
          <w:color w:val="auto"/>
        </w:rPr>
        <w:t>” means (i) the Ordinary Shares, (ii) securities convertible into or exchangeable for Ordinary Shares and (iii) any options, warrants or other rights to acquire Ordinary Shares.</w:t>
      </w:r>
    </w:p>
    <w:p>
      <w:pPr>
        <w:spacing w:after="0" w:line="16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Reorganization</w:t>
      </w:r>
      <w:r>
        <w:rPr>
          <w:rFonts w:ascii="Arial" w:cs="Arial" w:eastAsia="Arial" w:hAnsi="Arial"/>
          <w:sz w:val="18"/>
          <w:szCs w:val="18"/>
          <w:color w:val="auto"/>
        </w:rPr>
        <w:t>” means the corporate reorganization described in the Form F-1 registration statement filed with the U.S. Securities and Exchange Commission on March 22, 2021.</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Georgem</w:t>
      </w:r>
      <w:r>
        <w:rPr>
          <w:rFonts w:ascii="Arial" w:cs="Arial" w:eastAsia="Arial" w:hAnsi="Arial"/>
          <w:sz w:val="18"/>
          <w:szCs w:val="18"/>
          <w:color w:val="auto"/>
        </w:rPr>
        <w:t>” Georgem Holdings (Pty)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Georgem Holding</w:t>
      </w:r>
      <w:r>
        <w:rPr>
          <w:rFonts w:ascii="Arial" w:cs="Arial" w:eastAsia="Arial" w:hAnsi="Arial"/>
          <w:sz w:val="17"/>
          <w:szCs w:val="17"/>
          <w:color w:val="auto"/>
        </w:rPr>
        <w:t>” means the 3,550,000 Ordinary Shares that Georgem is expected to acquire pursuant to the Corporate Reorganization.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IJC</w:t>
      </w:r>
      <w:r>
        <w:rPr>
          <w:rFonts w:ascii="Arial" w:cs="Arial" w:eastAsia="Arial" w:hAnsi="Arial"/>
          <w:sz w:val="18"/>
          <w:szCs w:val="18"/>
          <w:color w:val="auto"/>
        </w:rPr>
        <w:t>” means Isaias Jose Calisto.</w:t>
      </w:r>
    </w:p>
    <w:p>
      <w:pPr>
        <w:spacing w:after="0" w:line="225" w:lineRule="exact"/>
        <w:rPr>
          <w:sz w:val="20"/>
          <w:szCs w:val="20"/>
          <w:color w:val="auto"/>
        </w:rPr>
      </w:pPr>
    </w:p>
    <w:p>
      <w:pPr>
        <w:ind w:right="8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IJC Family Tranferee</w:t>
      </w:r>
      <w:r>
        <w:rPr>
          <w:rFonts w:ascii="Arial" w:cs="Arial" w:eastAsia="Arial" w:hAnsi="Arial"/>
          <w:sz w:val="18"/>
          <w:szCs w:val="18"/>
          <w:color w:val="auto"/>
        </w:rPr>
        <w:t>” means the spouse, the lineal descendant, sibling, heir, executor, administrator, testamentary trustee, legatee or beneficiary of IJC.</w:t>
      </w:r>
    </w:p>
    <w:p>
      <w:pPr>
        <w:spacing w:after="0" w:line="162" w:lineRule="exact"/>
        <w:rPr>
          <w:sz w:val="20"/>
          <w:szCs w:val="20"/>
          <w:color w:val="auto"/>
        </w:rPr>
      </w:pPr>
    </w:p>
    <w:p>
      <w:pPr>
        <w:ind w:right="1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IJC Transferee</w:t>
      </w:r>
      <w:r>
        <w:rPr>
          <w:rFonts w:ascii="Arial" w:cs="Arial" w:eastAsia="Arial" w:hAnsi="Arial"/>
          <w:sz w:val="16"/>
          <w:szCs w:val="16"/>
          <w:color w:val="auto"/>
        </w:rPr>
        <w:t xml:space="preserve">” means any Person to whom Company Securities are Transferred from IJC;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transferee is (A) an IJC Family Tranferee, (B) a trust that is for the exclusive benefit of an IJC Family Transferee or (C) a legal entity that is controlled by an IJC Family Transferee.</w:t>
      </w:r>
    </w:p>
    <w:p>
      <w:pPr>
        <w:spacing w:after="0" w:line="11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ordinary shares of the Company and any other security into which such ordinary shares may hereafter be converted or changed.</w:t>
      </w:r>
    </w:p>
    <w:p>
      <w:pPr>
        <w:spacing w:after="0" w:line="16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or other entity or organization, including a government or political subdivision or an agency or instrumentality thereof.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with respect to any Company Securities, (i) when used as a verb, to sell, assign, dispose of, exchange, pledge, encumber, hypothecate or otherwise transfer such Company Securities or any participation or interest therein, whether directly or indirectly (including pursuant to a derivative transaction), or agree or commit to do any of the foregoing and (ii) when used as a noun, a direct or indirect sale, assignment, disposition, exchange, pledge, encumbrance, hypothecation, or other transfer of such Company Securities or any participation or interest therein or any agreement or commitment to do any of the foregoing.</w:t>
      </w:r>
    </w:p>
    <w:p>
      <w:pPr>
        <w:spacing w:after="0" w:line="187" w:lineRule="exact"/>
        <w:rPr>
          <w:sz w:val="20"/>
          <w:szCs w:val="20"/>
          <w:color w:val="auto"/>
        </w:rPr>
      </w:pPr>
    </w:p>
    <w:p>
      <w:pPr>
        <w:ind w:left="660"/>
        <w:spacing w:after="0" w:line="272" w:lineRule="auto"/>
        <w:rPr>
          <w:sz w:val="20"/>
          <w:szCs w:val="20"/>
          <w:color w:val="auto"/>
        </w:rPr>
      </w:pPr>
      <w:r>
        <w:rPr>
          <w:rFonts w:ascii="Arial" w:cs="Arial" w:eastAsia="Arial" w:hAnsi="Arial"/>
          <w:sz w:val="17"/>
          <w:szCs w:val="17"/>
          <w:color w:val="auto"/>
        </w:rPr>
        <w:t>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1" w:name="page12"/>
    <w:bookmarkEnd w:id="11"/>
    <w:p>
      <w:pPr>
        <w:ind w:right="20"/>
        <w:spacing w:after="0" w:line="291" w:lineRule="auto"/>
        <w:rPr>
          <w:sz w:val="20"/>
          <w:szCs w:val="20"/>
          <w:color w:val="auto"/>
        </w:rPr>
      </w:pPr>
      <w:r>
        <w:rPr>
          <w:rFonts w:ascii="Arial" w:cs="Arial" w:eastAsia="Arial" w:hAnsi="Arial"/>
          <w:sz w:val="16"/>
          <w:szCs w:val="16"/>
          <w:color w:val="auto"/>
        </w:rPr>
        <w:t xml:space="preserve">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agreement or contract listed on any schedules hereto, all such amendments, modifications or supplements must also be listed in the appropriate schedule. References to any law include all rules and regulations promulgated thereunder. References to any Person include the successors and permitted assigns of that Person. References from or through any date mean, unless otherwise specified, from and including or through and including, respectively.</w:t>
      </w:r>
    </w:p>
    <w:p>
      <w:pPr>
        <w:spacing w:after="0" w:line="166"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OTING</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so long as IJC and IJC Transferees, when taken together, shall Beneficially Own Company Securities but not Beneficially Own more than fifty one percent of the issued and outstanding number of Ordinary Shares, Georgem shall, in person or by proxy, cast all votes to which Geogem is entitled in respect of the Ordinary Shares that Georgem Beneficially Owns, whether at any annual or special meeting of shareholders of the Company, by written consent or otherwise, in the manner directed in writing by IJC.</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so long as IJC and IJC Transferees, when taken together, shall Beneficially Own Company Securities but not Beneficially Own more than fifty one percent of the issued and outstanding number of Ordinary Shares, if IJC requests Georgem to grant IJC a proxy to cast any or all votes to which Geogem is entitled in respect of the Ordinary Shares that Georgem Beneficially Owns, whether at any annual or special meeting of shareholders of the Company, Georgem shall grant IJC such proxy.</w:t>
      </w:r>
    </w:p>
    <w:p>
      <w:pPr>
        <w:spacing w:after="0" w:line="187"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 xml:space="preserve">In the event that IJC shall transfer Ordinary Shares from IJC to IJC Transferees and IJC shall no longer Beneficially Own Company Securities, then for so long as any such IJC Transferee shall Beneficially Own Company Securities but not, when taken together with all other IJC Transferees, Beneficially Own more than fifty one percent of the issued and outstanding number of Ordinary Shares, such IJC Transferee may exercise the rights granted to IJC by Section 2.01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in the proportion that such IJC Transferee’s Beneficial Ownership of Ordinary Shares relates to the aggregate Beneficial Ownership of Ordinary Shares of all such IJC Transferees.</w:t>
      </w:r>
    </w:p>
    <w:p>
      <w:pPr>
        <w:spacing w:after="0" w:line="17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476" w:right="359" w:bottom="1440" w:gutter="0" w:footer="0" w:header="0"/>
        </w:sectPr>
      </w:pPr>
    </w:p>
    <w:bookmarkStart w:id="12" w:name="page13"/>
    <w:bookmarkEnd w:id="12"/>
    <w:p>
      <w:pPr>
        <w:jc w:val="center"/>
        <w:ind w:right="600"/>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RANSFER AND</w:t>
      </w:r>
      <w:r>
        <w:rPr>
          <w:rFonts w:ascii="Arial" w:cs="Arial" w:eastAsia="Arial" w:hAnsi="Arial"/>
          <w:sz w:val="18"/>
          <w:szCs w:val="18"/>
          <w:color w:val="auto"/>
        </w:rPr>
        <w:t xml:space="preserve"> A</w:t>
      </w:r>
      <w:r>
        <w:rPr>
          <w:rFonts w:ascii="Arial" w:cs="Arial" w:eastAsia="Arial" w:hAnsi="Arial"/>
          <w:sz w:val="12"/>
          <w:szCs w:val="12"/>
          <w:color w:val="auto"/>
        </w:rPr>
        <w:t>CQUISITION</w:t>
      </w:r>
    </w:p>
    <w:p>
      <w:pPr>
        <w:spacing w:after="0" w:line="21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 xml:space="preserve">Except with the prior consent in writing of IJC, which consent may be withheld at the sole discretion of IJC, Georgem shall not Transfer to any Person any Company Securities Beneficially Owned by Georgem;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Georgem may Transfer up to an aggregate of 550,000 Ordinary Share without such consent.</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Other than the Georgem Holding, except with the prior consent in writing of IJC, which consent may be withheld at the sole discretion of IJC, Georgem shall not acquire Beneficial Ownership of any Company Securities.</w:t>
      </w:r>
    </w:p>
    <w:p>
      <w:pPr>
        <w:spacing w:after="0" w:line="17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C</w:t>
      </w:r>
      <w:r>
        <w:rPr>
          <w:rFonts w:ascii="Arial" w:cs="Arial" w:eastAsia="Arial" w:hAnsi="Arial"/>
          <w:sz w:val="12"/>
          <w:szCs w:val="12"/>
          <w:color w:val="auto"/>
        </w:rPr>
        <w:t>ONFLICTING</w:t>
      </w:r>
      <w:r>
        <w:rPr>
          <w:rFonts w:ascii="Arial" w:cs="Arial" w:eastAsia="Arial" w:hAnsi="Arial"/>
          <w:sz w:val="18"/>
          <w:szCs w:val="18"/>
          <w:color w:val="auto"/>
        </w:rPr>
        <w:t xml:space="preserve"> A</w:t>
      </w:r>
      <w:r>
        <w:rPr>
          <w:rFonts w:ascii="Arial" w:cs="Arial" w:eastAsia="Arial" w:hAnsi="Arial"/>
          <w:sz w:val="12"/>
          <w:szCs w:val="12"/>
          <w:color w:val="auto"/>
        </w:rPr>
        <w:t>GREEMENTS</w:t>
      </w:r>
    </w:p>
    <w:p>
      <w:pPr>
        <w:spacing w:after="0" w:line="2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Georgem shall not (i) grant any proxy or enter into or agree to be bound by any voting trust or agreement with respect to the Company Securities, except as expressly contemplated by this Agreement, (ii) enter into any agreement or arrangement of any kind with any Person with respect to any Company Securities inconsistent with the provisions of this Agreement or for the purpose or with the effect of denying or reducing the rights of IJC under this Agreement, including agreements or arrangements with respect to the Transfer or voting of its Company Securities or (iii) act, for any reason, as a member of a group or in concert with any other Person in connection with the Transfer or voting of its Company Securities in any manner that is inconsistent with the provisions of this Agreement.</w:t>
      </w:r>
    </w:p>
    <w:p>
      <w:pPr>
        <w:spacing w:after="0" w:line="178"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This Agreement shall inure to the benefit of and be binding upon the parties hereto and their respective heirs, successors, legal representatives and permitted assigns. IJC may assign this Agreement and any right or remedy arising hereunder or by reason hereof to any IJC Transferee. Georgem may not assign this Agreement or any obligation hereunder or by reason hereof to any Person.</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All notices, requests and other communications to any party shall be in writing and shall be delivered in person (including by courier), mailed by certified or registered mail, return receipt requested, or sent by electronic mail (so long as receipt of such electronic mail is requested and received) to: if to IJC, C/O Karooooo Ltd., 10 Anson Road #12-14, International Plaza Singapore 079903; Email: zak.calisto@catrack.com; and if to Georgem, C/O Juan Marais, 21 Penhurst avenue, Essexwold, Bedfordview, South Africa.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Email: juan@cartrack.com.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476" w:right="379" w:bottom="1440" w:gutter="0" w:footer="0" w:header="0"/>
        </w:sectPr>
      </w:pPr>
    </w:p>
    <w:bookmarkStart w:id="13" w:name="page14"/>
    <w:bookmarkEnd w:id="13"/>
    <w:p>
      <w:pPr>
        <w:spacing w:after="0" w:line="269" w:lineRule="auto"/>
        <w:rPr>
          <w:sz w:val="20"/>
          <w:szCs w:val="20"/>
          <w:color w:val="auto"/>
        </w:rPr>
      </w:pPr>
      <w:r>
        <w:rPr>
          <w:rFonts w:ascii="Arial" w:cs="Arial" w:eastAsia="Arial" w:hAnsi="Arial"/>
          <w:sz w:val="17"/>
          <w:szCs w:val="17"/>
          <w:color w:val="auto"/>
        </w:rPr>
        <w:t>The parties hereto agree that any suit, action or proceeding seeking to enforce any provision of, or based on any matter arising out of or in connection with, this Agreement or the transactions contemplated hereby shall be brought in the United States District Court for the Southern District of New York or any New York State court sitting in New York City, and that any case of action arising out of this Agreement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5.02 shall be deemed effective service of process on such party.</w:t>
      </w:r>
    </w:p>
    <w:p>
      <w:pPr>
        <w:spacing w:after="0" w:line="18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EACH OF THE PARTIES HERETO HEREBY IRREVOCABLY WAIVES ANY AND ALL RIGHT TO TRIAL BY JURY IN ANY LEGAL PROCEEDING ARISING OUT OF OR RELATED TO THIS AGREEMENT OR THE TRANSACTIONS CONTEMPLATED HEREBY.</w:t>
      </w:r>
    </w:p>
    <w:p>
      <w:pPr>
        <w:spacing w:after="0" w:line="14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Each party hereto acknowledges that the remedies at law of the other parties for a breach or threatened breach of this Agreement would be inadequate and, in recognition of this fact, any party to this Agreement, without posting any bond, and in addition to all other remedies that may be available, shall be entitled to obtain equitable relief in the form of specific performance, a temporary restraining order, a temporary or permanent injunction or any other equitable remedy that may then be available.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Agreement may be executed in any number of counterparts, each of which shall be deemed to be an original, with the same effect as if the signatures thereto and hereto were upon the same instrument.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w:t>
      </w:r>
    </w:p>
    <w:p>
      <w:pPr>
        <w:spacing w:after="0" w:line="18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476"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method of an executed counterpart of this Agreement will constitute due and sufficient delivery of such counterpart.</w:t>
      </w:r>
    </w:p>
    <w:p>
      <w:pPr>
        <w:spacing w:after="0" w:line="225"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This Agreement constitutes the entire agreement among the parties hereto and supersede all prior and contemporaneous agreements and understandings, both oral and written, among the parties hereto with respect to the subject matter hereof and thereof.</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17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20"/>
          </w:cols>
          <w:pgMar w:left="980" w:top="476" w:right="499" w:bottom="1440" w:gutter="0" w:footer="0" w:header="0"/>
        </w:sectPr>
      </w:pPr>
    </w:p>
    <w:bookmarkStart w:id="15" w:name="page16"/>
    <w:bookmarkEnd w:id="15"/>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Isaias Jose Calisto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 /s/ Isaias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31750</wp:posOffset>
            </wp:positionV>
            <wp:extent cx="26314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Isaias Jose Calisto</w:t>
      </w:r>
    </w:p>
    <w:p>
      <w:pPr>
        <w:spacing w:after="0" w:line="27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Georgem Holdings (Pty) Ltd.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 /s/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31750</wp:posOffset>
            </wp:positionV>
            <wp:extent cx="2631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Juan Marais</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47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5"/>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2021-04-26T16:02:11Z</dcterms:created>
  <dcterms:modified xsi:type="dcterms:W3CDTF">2021-04-26T16:02:11Z</dcterms:modified>
</cp:coreProperties>
</file>