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0"/>
        <w:gridCol w:w="3625"/>
      </w:tblGrid>
      <w:tr>
        <w:trPr/>
        <w:tc>
          <w:tcPr>
            <w:tcW w:w="6580" w:type="dxa"/>
            <w:tcBorders/>
            <w:vAlign w:val="center"/>
          </w:tcPr>
          <w:p>
            <w:pPr>
              <w:pStyle w:val="TableContents"/>
              <w:bidi w:val="0"/>
              <w:spacing w:before="0" w:after="283"/>
              <w:jc w:val="left"/>
              <w:rPr/>
            </w:pPr>
            <w:r>
              <w:rPr/>
              <w:t>Name of Issuer</w:t>
            </w:r>
          </w:p>
        </w:tc>
        <w:tc>
          <w:tcPr>
            <w:tcW w:w="3625" w:type="dxa"/>
            <w:tcBorders/>
            <w:vAlign w:val="center"/>
          </w:tcPr>
          <w:p>
            <w:pPr>
              <w:pStyle w:val="TableContents"/>
              <w:bidi w:val="0"/>
              <w:spacing w:before="0" w:after="0"/>
              <w:jc w:val="left"/>
              <w:rPr/>
            </w:pPr>
            <w:r>
              <w:rPr/>
              <w:t>Karooooo Ltd.</w:t>
            </w:r>
          </w:p>
        </w:tc>
      </w:tr>
      <w:tr>
        <w:trPr/>
        <w:tc>
          <w:tcPr>
            <w:tcW w:w="6580" w:type="dxa"/>
            <w:tcBorders/>
            <w:vAlign w:val="center"/>
          </w:tcPr>
          <w:p>
            <w:pPr>
              <w:pStyle w:val="TableContents"/>
              <w:bidi w:val="0"/>
              <w:spacing w:before="0" w:after="283"/>
              <w:jc w:val="left"/>
              <w:rPr/>
            </w:pPr>
            <w:r>
              <w:rPr/>
              <w:t>SEC File Number</w:t>
            </w:r>
          </w:p>
        </w:tc>
        <w:tc>
          <w:tcPr>
            <w:tcW w:w="3625" w:type="dxa"/>
            <w:tcBorders/>
            <w:vAlign w:val="center"/>
          </w:tcPr>
          <w:p>
            <w:pPr>
              <w:pStyle w:val="TableContents"/>
              <w:bidi w:val="0"/>
              <w:spacing w:before="0" w:after="0"/>
              <w:jc w:val="left"/>
              <w:rPr/>
            </w:pPr>
            <w:r>
              <w:rPr/>
              <w:t>001-40300</w:t>
            </w:r>
          </w:p>
        </w:tc>
      </w:tr>
      <w:tr>
        <w:trPr/>
        <w:tc>
          <w:tcPr>
            <w:tcW w:w="6580" w:type="dxa"/>
            <w:tcBorders/>
            <w:vAlign w:val="center"/>
          </w:tcPr>
          <w:p>
            <w:pPr>
              <w:pStyle w:val="TableContents"/>
              <w:bidi w:val="0"/>
              <w:spacing w:before="0" w:after="283"/>
              <w:jc w:val="left"/>
              <w:rPr/>
            </w:pPr>
            <w:r>
              <w:rPr/>
              <w:t>Address of Issuer</w:t>
            </w:r>
          </w:p>
        </w:tc>
        <w:tc>
          <w:tcPr>
            <w:tcW w:w="3625" w:type="dxa"/>
            <w:tcBorders/>
            <w:vAlign w:val="center"/>
          </w:tcPr>
          <w:p>
            <w:pPr>
              <w:pStyle w:val="TableContents"/>
              <w:bidi w:val="0"/>
              <w:spacing w:before="0" w:after="0"/>
              <w:jc w:val="left"/>
              <w:rPr/>
            </w:pPr>
            <w:r>
              <w:rPr/>
              <w:t>1 Harbourfront Avenue</w:t>
              <w:br/>
              <w:t>Keppel Bay Tower, #14-07</w:t>
              <w:br/>
              <w:t>Singapore</w:t>
              <w:br/>
              <w:t xml:space="preserve">SINGAPORE </w:t>
              <w:br/>
              <w:t>098632</w:t>
            </w:r>
          </w:p>
        </w:tc>
      </w:tr>
      <w:tr>
        <w:trPr/>
        <w:tc>
          <w:tcPr>
            <w:tcW w:w="6580" w:type="dxa"/>
            <w:tcBorders/>
            <w:vAlign w:val="center"/>
          </w:tcPr>
          <w:p>
            <w:pPr>
              <w:pStyle w:val="TableContents"/>
              <w:bidi w:val="0"/>
              <w:spacing w:before="0" w:after="283"/>
              <w:jc w:val="left"/>
              <w:rPr/>
            </w:pPr>
            <w:r>
              <w:rPr/>
              <w:t>Phone</w:t>
            </w:r>
          </w:p>
        </w:tc>
        <w:tc>
          <w:tcPr>
            <w:tcW w:w="3625" w:type="dxa"/>
            <w:tcBorders/>
            <w:vAlign w:val="center"/>
          </w:tcPr>
          <w:p>
            <w:pPr>
              <w:pStyle w:val="TableContents"/>
              <w:bidi w:val="0"/>
              <w:spacing w:before="0" w:after="0"/>
              <w:jc w:val="left"/>
              <w:rPr/>
            </w:pPr>
            <w:r>
              <w:rPr/>
              <w:t>65-6255-4151</w:t>
            </w:r>
          </w:p>
        </w:tc>
      </w:tr>
      <w:tr>
        <w:trPr/>
        <w:tc>
          <w:tcPr>
            <w:tcW w:w="6580" w:type="dxa"/>
            <w:tcBorders/>
            <w:vAlign w:val="center"/>
          </w:tcPr>
          <w:p>
            <w:pPr>
              <w:pStyle w:val="TableContents"/>
              <w:bidi w:val="0"/>
              <w:spacing w:before="0" w:after="283"/>
              <w:jc w:val="left"/>
              <w:rPr/>
            </w:pPr>
            <w:r>
              <w:rPr/>
              <w:t>Name of Person for Whose Account the Securities are To Be Sold</w:t>
            </w:r>
          </w:p>
        </w:tc>
        <w:tc>
          <w:tcPr>
            <w:tcW w:w="3625" w:type="dxa"/>
            <w:tcBorders/>
            <w:vAlign w:val="center"/>
          </w:tcPr>
          <w:p>
            <w:pPr>
              <w:pStyle w:val="TableContents"/>
              <w:bidi w:val="0"/>
              <w:spacing w:before="0" w:after="0"/>
              <w:jc w:val="left"/>
              <w:rPr/>
            </w:pPr>
            <w:r>
              <w:rPr/>
              <w:t>Isaias Jose Calisto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0" w:type="dxa"/>
            <w:tcBorders/>
            <w:vAlign w:val="center"/>
          </w:tcPr>
          <w:p>
            <w:pPr>
              <w:pStyle w:val="TableContents"/>
              <w:bidi w:val="0"/>
              <w:spacing w:before="0" w:after="283"/>
              <w:jc w:val="left"/>
              <w:rPr/>
            </w:pPr>
            <w:r>
              <w:rPr/>
              <w:t>Relationship to Issuer</w:t>
            </w:r>
          </w:p>
        </w:tc>
        <w:tc>
          <w:tcPr>
            <w:tcW w:w="3625" w:type="dxa"/>
            <w:tcBorders/>
            <w:vAlign w:val="center"/>
          </w:tcPr>
          <w:p>
            <w:pPr>
              <w:pStyle w:val="TableContents"/>
              <w:bidi w:val="0"/>
              <w:spacing w:before="0" w:after="0"/>
              <w:jc w:val="left"/>
              <w:rPr/>
            </w:pPr>
            <w:r>
              <w:rPr/>
              <w:t>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Ordinary</w:t>
            </w:r>
          </w:p>
        </w:tc>
        <w:tc>
          <w:tcPr>
            <w:tcW w:w="1513" w:type="dxa"/>
            <w:tcBorders/>
            <w:vAlign w:val="center"/>
          </w:tcPr>
          <w:p>
            <w:pPr>
              <w:pStyle w:val="TableContents"/>
              <w:bidi w:val="0"/>
              <w:spacing w:before="0" w:after="0"/>
              <w:jc w:val="left"/>
              <w:rPr/>
            </w:pPr>
            <w:r>
              <w:rPr/>
              <w:t>DBS Bank Limited</w:t>
              <w:br/>
              <w:t>12 Marina Boulevard</w:t>
              <w:br/>
              <w:t>Marina Bay Financial</w:t>
              <w:br/>
              <w:t>Centre, Tower 3   U0   018982</w:t>
            </w:r>
          </w:p>
        </w:tc>
        <w:tc>
          <w:tcPr>
            <w:tcW w:w="1149" w:type="dxa"/>
            <w:tcBorders/>
            <w:vAlign w:val="center"/>
          </w:tcPr>
          <w:p>
            <w:pPr>
              <w:pStyle w:val="TableContents"/>
              <w:bidi w:val="0"/>
              <w:spacing w:before="0" w:after="283"/>
              <w:jc w:val="left"/>
              <w:rPr/>
            </w:pPr>
            <w:r>
              <w:rPr/>
              <w:t>417958</w:t>
            </w:r>
          </w:p>
        </w:tc>
        <w:tc>
          <w:tcPr>
            <w:tcW w:w="1556" w:type="dxa"/>
            <w:tcBorders/>
            <w:vAlign w:val="center"/>
          </w:tcPr>
          <w:p>
            <w:pPr>
              <w:pStyle w:val="TableContents"/>
              <w:bidi w:val="0"/>
              <w:spacing w:before="0" w:after="283"/>
              <w:jc w:val="left"/>
              <w:rPr/>
            </w:pPr>
            <w:r>
              <w:rPr/>
              <w:t>26331354.00</w:t>
            </w:r>
          </w:p>
        </w:tc>
        <w:tc>
          <w:tcPr>
            <w:tcW w:w="1535" w:type="dxa"/>
            <w:tcBorders/>
            <w:vAlign w:val="center"/>
          </w:tcPr>
          <w:p>
            <w:pPr>
              <w:pStyle w:val="TableContents"/>
              <w:bidi w:val="0"/>
              <w:spacing w:before="0" w:after="283"/>
              <w:jc w:val="left"/>
              <w:rPr/>
            </w:pPr>
            <w:r>
              <w:rPr/>
              <w:t>30893300</w:t>
            </w:r>
          </w:p>
        </w:tc>
        <w:tc>
          <w:tcPr>
            <w:tcW w:w="1557" w:type="dxa"/>
            <w:tcBorders/>
            <w:vAlign w:val="center"/>
          </w:tcPr>
          <w:p>
            <w:pPr>
              <w:pStyle w:val="TableContents"/>
              <w:bidi w:val="0"/>
              <w:spacing w:before="0" w:after="283"/>
              <w:jc w:val="left"/>
              <w:rPr/>
            </w:pPr>
            <w:r>
              <w:rPr/>
              <w:t>07/23/2026</w:t>
            </w:r>
          </w:p>
        </w:tc>
        <w:tc>
          <w:tcPr>
            <w:tcW w:w="136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9"/>
        <w:gridCol w:w="1110"/>
        <w:gridCol w:w="1459"/>
        <w:gridCol w:w="1387"/>
        <w:gridCol w:w="518"/>
        <w:gridCol w:w="1110"/>
        <w:gridCol w:w="1151"/>
        <w:gridCol w:w="1051"/>
        <w:gridCol w:w="1360"/>
      </w:tblGrid>
      <w:tr>
        <w:trPr/>
        <w:tc>
          <w:tcPr>
            <w:tcW w:w="1059"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59" w:type="dxa"/>
            <w:tcBorders/>
            <w:vAlign w:val="center"/>
          </w:tcPr>
          <w:p>
            <w:pPr>
              <w:pStyle w:val="TableHeading"/>
              <w:suppressLineNumbers/>
              <w:bidi w:val="0"/>
              <w:spacing w:before="0" w:after="283"/>
              <w:jc w:val="center"/>
              <w:rPr/>
            </w:pPr>
            <w:r>
              <w:rPr/>
              <w:t>Nature of Acquisition Transaction</w:t>
            </w:r>
          </w:p>
        </w:tc>
        <w:tc>
          <w:tcPr>
            <w:tcW w:w="1387"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1"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3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9" w:type="dxa"/>
            <w:tcBorders/>
            <w:vAlign w:val="center"/>
          </w:tcPr>
          <w:p>
            <w:pPr>
              <w:pStyle w:val="TableContents"/>
              <w:bidi w:val="0"/>
              <w:spacing w:before="0" w:after="283"/>
              <w:jc w:val="left"/>
              <w:rPr/>
            </w:pPr>
            <w:r>
              <w:rPr/>
              <w:t>Ordinary</w:t>
            </w:r>
          </w:p>
        </w:tc>
        <w:tc>
          <w:tcPr>
            <w:tcW w:w="1110" w:type="dxa"/>
            <w:tcBorders/>
            <w:vAlign w:val="center"/>
          </w:tcPr>
          <w:p>
            <w:pPr>
              <w:pStyle w:val="TableContents"/>
              <w:bidi w:val="0"/>
              <w:spacing w:before="0" w:after="283"/>
              <w:jc w:val="left"/>
              <w:rPr/>
            </w:pPr>
            <w:r>
              <w:rPr/>
              <w:t>05/19/2018</w:t>
            </w:r>
          </w:p>
        </w:tc>
        <w:tc>
          <w:tcPr>
            <w:tcW w:w="1459" w:type="dxa"/>
            <w:tcBorders/>
            <w:vAlign w:val="center"/>
          </w:tcPr>
          <w:p>
            <w:pPr>
              <w:pStyle w:val="TableContents"/>
              <w:bidi w:val="0"/>
              <w:spacing w:before="0" w:after="283"/>
              <w:jc w:val="left"/>
              <w:rPr/>
            </w:pPr>
            <w:r>
              <w:rPr/>
              <w:t>Subscription for shares pursuant to incorporation of the Issuer on May 19, 2018. Sole shareholder owning 100% of the issued shares.</w:t>
            </w:r>
          </w:p>
        </w:tc>
        <w:tc>
          <w:tcPr>
            <w:tcW w:w="1387"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1000</w:t>
            </w:r>
          </w:p>
        </w:tc>
        <w:tc>
          <w:tcPr>
            <w:tcW w:w="1051" w:type="dxa"/>
            <w:tcBorders/>
            <w:vAlign w:val="center"/>
          </w:tcPr>
          <w:p>
            <w:pPr>
              <w:pStyle w:val="TableContents"/>
              <w:bidi w:val="0"/>
              <w:spacing w:before="0" w:after="283"/>
              <w:jc w:val="left"/>
              <w:rPr/>
            </w:pPr>
            <w:r>
              <w:rPr/>
              <w:t>05/19/2018</w:t>
            </w:r>
          </w:p>
        </w:tc>
        <w:tc>
          <w:tcPr>
            <w:tcW w:w="1360" w:type="dxa"/>
            <w:tcBorders/>
            <w:vAlign w:val="center"/>
          </w:tcPr>
          <w:p>
            <w:pPr>
              <w:pStyle w:val="TableContents"/>
              <w:bidi w:val="0"/>
              <w:spacing w:before="0" w:after="283"/>
              <w:jc w:val="left"/>
              <w:rPr/>
            </w:pPr>
            <w:r>
              <w:rPr/>
              <w:t>Initial issue of founder shares</w:t>
            </w:r>
          </w:p>
        </w:tc>
      </w:tr>
      <w:tr>
        <w:trPr/>
        <w:tc>
          <w:tcPr>
            <w:tcW w:w="1059" w:type="dxa"/>
            <w:tcBorders/>
            <w:vAlign w:val="center"/>
          </w:tcPr>
          <w:p>
            <w:pPr>
              <w:pStyle w:val="TableContents"/>
              <w:bidi w:val="0"/>
              <w:spacing w:before="0" w:after="283"/>
              <w:jc w:val="left"/>
              <w:rPr/>
            </w:pPr>
            <w:r>
              <w:rPr/>
              <w:t>Ordinary</w:t>
            </w:r>
          </w:p>
        </w:tc>
        <w:tc>
          <w:tcPr>
            <w:tcW w:w="1110" w:type="dxa"/>
            <w:tcBorders/>
            <w:vAlign w:val="center"/>
          </w:tcPr>
          <w:p>
            <w:pPr>
              <w:pStyle w:val="TableContents"/>
              <w:bidi w:val="0"/>
              <w:spacing w:before="0" w:after="283"/>
              <w:jc w:val="left"/>
              <w:rPr/>
            </w:pPr>
            <w:r>
              <w:rPr/>
              <w:t>11/18/2020</w:t>
            </w:r>
          </w:p>
        </w:tc>
        <w:tc>
          <w:tcPr>
            <w:tcW w:w="1459" w:type="dxa"/>
            <w:tcBorders/>
            <w:vAlign w:val="center"/>
          </w:tcPr>
          <w:p>
            <w:pPr>
              <w:pStyle w:val="TableContents"/>
              <w:bidi w:val="0"/>
              <w:spacing w:before="0" w:after="283"/>
              <w:jc w:val="left"/>
              <w:rPr/>
            </w:pPr>
            <w:r>
              <w:rPr/>
              <w:t>Acquired pursuant to the conversion of a shareholder loan from IJ Calisto to the Issuer on November 18, 2021. Remained the sole shareholder, owning 100% of the issued shares.</w:t>
            </w:r>
          </w:p>
        </w:tc>
        <w:tc>
          <w:tcPr>
            <w:tcW w:w="1387"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20331894</w:t>
            </w:r>
          </w:p>
        </w:tc>
        <w:tc>
          <w:tcPr>
            <w:tcW w:w="1051" w:type="dxa"/>
            <w:tcBorders/>
            <w:vAlign w:val="center"/>
          </w:tcPr>
          <w:p>
            <w:pPr>
              <w:pStyle w:val="TableContents"/>
              <w:bidi w:val="0"/>
              <w:spacing w:before="0" w:after="283"/>
              <w:jc w:val="left"/>
              <w:rPr/>
            </w:pPr>
            <w:r>
              <w:rPr/>
              <w:t>11/18/2020</w:t>
            </w:r>
          </w:p>
        </w:tc>
        <w:tc>
          <w:tcPr>
            <w:tcW w:w="1360" w:type="dxa"/>
            <w:tcBorders/>
            <w:vAlign w:val="center"/>
          </w:tcPr>
          <w:p>
            <w:pPr>
              <w:pStyle w:val="TableContents"/>
              <w:bidi w:val="0"/>
              <w:spacing w:before="0" w:after="283"/>
              <w:jc w:val="left"/>
              <w:rPr/>
            </w:pPr>
            <w:r>
              <w:rPr/>
              <w:t>See "Nature of acquisition transaction"</w:t>
            </w:r>
          </w:p>
        </w:tc>
      </w:tr>
      <w:tr>
        <w:trPr/>
        <w:tc>
          <w:tcPr>
            <w:tcW w:w="1059" w:type="dxa"/>
            <w:tcBorders/>
            <w:vAlign w:val="center"/>
          </w:tcPr>
          <w:p>
            <w:pPr>
              <w:pStyle w:val="TableContents"/>
              <w:bidi w:val="0"/>
              <w:spacing w:before="0" w:after="283"/>
              <w:jc w:val="left"/>
              <w:rPr/>
            </w:pPr>
            <w:r>
              <w:rPr/>
              <w:t>Ordinary</w:t>
            </w:r>
          </w:p>
        </w:tc>
        <w:tc>
          <w:tcPr>
            <w:tcW w:w="1110" w:type="dxa"/>
            <w:tcBorders/>
            <w:vAlign w:val="center"/>
          </w:tcPr>
          <w:p>
            <w:pPr>
              <w:pStyle w:val="TableContents"/>
              <w:bidi w:val="0"/>
              <w:spacing w:before="0" w:after="283"/>
              <w:jc w:val="left"/>
              <w:rPr/>
            </w:pPr>
            <w:r>
              <w:rPr/>
              <w:t>04/21/2021</w:t>
            </w:r>
          </w:p>
        </w:tc>
        <w:tc>
          <w:tcPr>
            <w:tcW w:w="1459" w:type="dxa"/>
            <w:tcBorders/>
            <w:vAlign w:val="center"/>
          </w:tcPr>
          <w:p>
            <w:pPr>
              <w:pStyle w:val="TableContents"/>
              <w:bidi w:val="0"/>
              <w:spacing w:before="0" w:after="283"/>
              <w:jc w:val="left"/>
              <w:rPr/>
            </w:pPr>
            <w:r>
              <w:rPr/>
              <w:t>See Note 1 below</w:t>
            </w:r>
          </w:p>
        </w:tc>
        <w:tc>
          <w:tcPr>
            <w:tcW w:w="1387" w:type="dxa"/>
            <w:tcBorders/>
            <w:vAlign w:val="center"/>
          </w:tcPr>
          <w:p>
            <w:pPr>
              <w:pStyle w:val="TableContents"/>
              <w:bidi w:val="0"/>
              <w:spacing w:before="0" w:after="283"/>
              <w:jc w:val="left"/>
              <w:rPr/>
            </w:pPr>
            <w:r>
              <w:rPr/>
              <w:t>Issuer, pursuant to a scheme in terms of South African law and concurrent reinvestment in KARO</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86400</w:t>
            </w:r>
          </w:p>
        </w:tc>
        <w:tc>
          <w:tcPr>
            <w:tcW w:w="1051" w:type="dxa"/>
            <w:tcBorders/>
            <w:vAlign w:val="center"/>
          </w:tcPr>
          <w:p>
            <w:pPr>
              <w:pStyle w:val="TableContents"/>
              <w:bidi w:val="0"/>
              <w:spacing w:before="0" w:after="283"/>
              <w:jc w:val="left"/>
              <w:rPr/>
            </w:pPr>
            <w:r>
              <w:rPr/>
              <w:t>04/21/2021</w:t>
            </w:r>
          </w:p>
        </w:tc>
        <w:tc>
          <w:tcPr>
            <w:tcW w:w="1360" w:type="dxa"/>
            <w:tcBorders/>
            <w:vAlign w:val="center"/>
          </w:tcPr>
          <w:p>
            <w:pPr>
              <w:pStyle w:val="TableContents"/>
              <w:bidi w:val="0"/>
              <w:spacing w:before="0" w:after="283"/>
              <w:jc w:val="left"/>
              <w:rPr/>
            </w:pPr>
            <w:r>
              <w:rPr/>
              <w:t>See Note 1 on "Nature of Acquisition Transaction"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46"/>
        <w:gridCol w:w="7959"/>
      </w:tblGrid>
      <w:tr>
        <w:trPr/>
        <w:tc>
          <w:tcPr>
            <w:tcW w:w="2246" w:type="dxa"/>
            <w:tcBorders/>
            <w:vAlign w:val="center"/>
          </w:tcPr>
          <w:p>
            <w:pPr>
              <w:pStyle w:val="TableContents"/>
              <w:bidi w:val="0"/>
              <w:spacing w:before="0" w:after="283"/>
              <w:jc w:val="left"/>
              <w:rPr/>
            </w:pPr>
            <w:r>
              <w:rPr/>
              <w:t>Remarks</w:t>
            </w:r>
          </w:p>
        </w:tc>
        <w:tc>
          <w:tcPr>
            <w:tcW w:w="7959" w:type="dxa"/>
            <w:tcBorders/>
            <w:vAlign w:val="center"/>
          </w:tcPr>
          <w:p>
            <w:pPr>
              <w:pStyle w:val="TableContents"/>
              <w:bidi w:val="0"/>
              <w:spacing w:before="0" w:after="0"/>
              <w:jc w:val="left"/>
              <w:rPr/>
            </w:pPr>
            <w:r>
              <w:rPr/>
              <w:t>There have been no sales of securities by Mr Calisto during the past three months</w:t>
            </w:r>
          </w:p>
        </w:tc>
      </w:tr>
      <w:tr>
        <w:trPr/>
        <w:tc>
          <w:tcPr>
            <w:tcW w:w="2246" w:type="dxa"/>
            <w:tcBorders/>
            <w:vAlign w:val="center"/>
          </w:tcPr>
          <w:p>
            <w:pPr>
              <w:pStyle w:val="TableContents"/>
              <w:bidi w:val="0"/>
              <w:spacing w:before="0" w:after="283"/>
              <w:jc w:val="left"/>
              <w:rPr/>
            </w:pPr>
            <w:r>
              <w:rPr/>
              <w:t>Date of Notice</w:t>
            </w:r>
          </w:p>
        </w:tc>
        <w:tc>
          <w:tcPr>
            <w:tcW w:w="7959"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46" w:type="dxa"/>
            <w:tcBorders/>
            <w:vAlign w:val="center"/>
          </w:tcPr>
          <w:p>
            <w:pPr>
              <w:pStyle w:val="TableContents"/>
              <w:bidi w:val="0"/>
              <w:spacing w:before="0" w:after="283"/>
              <w:jc w:val="left"/>
              <w:rPr/>
            </w:pPr>
            <w:r>
              <w:rPr/>
              <w:t>Signature</w:t>
            </w:r>
          </w:p>
        </w:tc>
        <w:tc>
          <w:tcPr>
            <w:tcW w:w="7959" w:type="dxa"/>
            <w:tcBorders/>
            <w:vAlign w:val="center"/>
          </w:tcPr>
          <w:p>
            <w:pPr>
              <w:pStyle w:val="TableContents"/>
              <w:bidi w:val="0"/>
              <w:spacing w:before="0" w:after="0"/>
              <w:jc w:val="left"/>
              <w:rPr/>
            </w:pPr>
            <w:r>
              <w:rPr/>
              <w:t>/s/ Isaias Jose Calisto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3504</Characters>
  <CharactersWithSpaces>4122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