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July,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60"/>
        <w:spacing w:after="0" w:line="207" w:lineRule="exact"/>
        <w:tabs>
          <w:tab w:leader="none" w:pos="5200" w:val="left"/>
          <w:tab w:leader="none" w:pos="5860" w:val="left"/>
          <w:tab w:leader="none" w:pos="68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July 18, 2024 - Karooooo Ltd. Announces First Quarter 2025 Unaudited Financial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900" w:type="dxa"/>
            <w:vAlign w:val="bottom"/>
            <w:tcBorders>
              <w:top w:val="single" w:sz="8" w:color="0000EE"/>
              <w:bottom w:val="single" w:sz="8" w:color="auto"/>
            </w:tcBorders>
          </w:tcPr>
          <w:p>
            <w:pPr>
              <w:jc w:val="right"/>
              <w:ind w:right="3290"/>
              <w:spacing w:after="0"/>
              <w:rPr>
                <w:sz w:val="20"/>
                <w:szCs w:val="20"/>
                <w:color w:val="auto"/>
              </w:rPr>
            </w:pPr>
            <w:r>
              <w:rPr>
                <w:rFonts w:ascii="Times New Roman" w:cs="Times New Roman" w:eastAsia="Times New Roman" w:hAnsi="Times New Roman"/>
                <w:sz w:val="18"/>
                <w:szCs w:val="18"/>
                <w:color w:val="auto"/>
              </w:rPr>
              <w:t>2</w:t>
            </w:r>
          </w:p>
        </w:tc>
        <w:tc>
          <w:tcPr>
            <w:tcW w:w="2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SINGAPORE (July 18, 2024) - Karooooo Limited (“Karooooo”) reported strong results and a positive outlook in the first quarter ended May 31, 2024 (“Q1 2025”). Karooooo owns 100% of Cartrack and 74.8% of Karooooo Logistics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(collectively, “the group”).</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earnings per share increased by 41% to ZAR7.17 for Q1 2025 (Q1 2024: ZAR5.09), driven by higher subscription revenue and expanded margins. Cartrack achieved record subscription revenue in the period. Further, the negative impact that Carzuka had on earnings has been resolved, with Carzuka now fully integrated to support Cartrack’s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group’s robust results and investment in growth, enhancements made to our cloud platform and the prospect of improved economic conditions in South Africa, give us confidence that we can continue to extend our long-standing track record of profitable growth at scale and robust cash generation. Our move to a newly built central office in South Africa is also expected to support higher organic growth in this region in the short to medium term. In addition, we expect Southeast Asia to present the most compelling growth opportunity for the group in the medium to long term.</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culture of entrepreneurship, technological innovation and customer-centricity, supported by a prudent capital allocation strategy focused on customer acquisition and expansion, support this positive outlook.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proven and scalable business model, compelling market differentiators and sound financial standing give us numerous growth levers. We cultivate strong relationships and meet the distinct needs of diverse clients, helping them digitalize their operations to gain a competitive edge in an ever-evolving and highly competitive business landscape.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unified, intuitive and enterprise-grade cloud platform enables continuous improvement in our customers’ operations; increasing revenue and reducing costs, while enhancing industry competitiveness, ESG reporting, and regulatory compliance. By digitalizing key aspects of our customers’ daily operations, and seamlessly integrating different users and processes, we help them ensure effective controls and streamlined workflows. This eliminates inefficiencies and supports strategic decision-making and execution.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leverage over 170 billion data points each month to transform complex data points into actionable business intelligence. This empowers customers with meaningful insights. Further we provide our customers with practical tools for simplified decision-making that allow immediate tangible business impact.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Karooooo’s leading Operations Cloud drives the digital transformation of over 124,000 commercial clients. We consistently demonstrate high implementation success and maintain a 95% commercial customer retention rate. This is across businesses of various sizes in diverse industries such as logistics, retail, field-service maintenance, tourism, finance, mining, agriculture, and emergency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Overview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(Comparisons are relative to Q1 2024, unless otherwise stated.)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 subscribers up 17% to 2,047,442 at May 31, 2024 (Q1 2024: 1,757,452)</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Cartrack subscriber additions up 88% to 75,910 (Q1 2024: 40,375)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Picup was re-named Karooooo Logistics post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up 15% to ZAR964 million (Q1 2024: ZAR836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up 15% on a constant currency basis (a non-IFRS measure)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 Financial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Financial Information and Business Metrics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May 31,</w:t>
            </w: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Cartrack</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Carzuka</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6"/>
          </w:tcPr>
          <w:p>
            <w:pPr>
              <w:ind w:left="400"/>
              <w:spacing w:after="0" w:line="189" w:lineRule="exact"/>
              <w:rPr>
                <w:sz w:val="20"/>
                <w:szCs w:val="20"/>
                <w:color w:val="auto"/>
              </w:rPr>
            </w:pPr>
            <w:r>
              <w:rPr>
                <w:rFonts w:ascii="Times New Roman" w:cs="Times New Roman" w:eastAsia="Times New Roman" w:hAnsi="Times New Roman"/>
                <w:sz w:val="13"/>
                <w:szCs w:val="13"/>
                <w:b w:val="1"/>
                <w:bCs w:val="1"/>
                <w:color w:val="auto"/>
              </w:rPr>
              <w:t>Karooooo Logistics</w:t>
            </w:r>
            <w:r>
              <w:rPr>
                <w:rFonts w:ascii="Times New Roman" w:cs="Times New Roman" w:eastAsia="Times New Roman" w:hAnsi="Times New Roman"/>
                <w:sz w:val="21"/>
                <w:szCs w:val="21"/>
                <w:b w:val="1"/>
                <w:bCs w:val="1"/>
                <w:color w:val="auto"/>
                <w:vertAlign w:val="superscript"/>
              </w:rPr>
              <w:t>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6"/>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Karooooo Consolidated</w:t>
            </w:r>
          </w:p>
        </w:tc>
        <w:tc>
          <w:tcPr>
            <w:tcW w:w="0" w:type="dxa"/>
            <w:vAlign w:val="bottom"/>
          </w:tcPr>
          <w:p>
            <w:pPr>
              <w:spacing w:after="0"/>
              <w:rPr>
                <w:sz w:val="1"/>
                <w:szCs w:val="1"/>
                <w:color w:val="auto"/>
              </w:rPr>
            </w:pPr>
          </w:p>
        </w:tc>
      </w:tr>
      <w:tr>
        <w:trPr>
          <w:trHeight w:val="124"/>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Figures in Rand Thousands</w:t>
            </w:r>
          </w:p>
        </w:tc>
        <w:tc>
          <w:tcPr>
            <w:tcW w:w="60" w:type="dxa"/>
            <w:vAlign w:val="bottom"/>
            <w:vMerge w:val="restart"/>
          </w:tcPr>
          <w:p>
            <w:pPr>
              <w:spacing w:after="0"/>
              <w:rPr>
                <w:sz w:val="10"/>
                <w:szCs w:val="10"/>
                <w:color w:val="auto"/>
              </w:rPr>
            </w:pPr>
          </w:p>
        </w:tc>
        <w:tc>
          <w:tcPr>
            <w:tcW w:w="6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00" w:type="dxa"/>
            <w:vAlign w:val="bottom"/>
          </w:tcPr>
          <w:p>
            <w:pPr>
              <w:spacing w:after="0"/>
              <w:rPr>
                <w:sz w:val="10"/>
                <w:szCs w:val="10"/>
                <w:color w:val="auto"/>
              </w:rPr>
            </w:pPr>
          </w:p>
        </w:tc>
        <w:tc>
          <w:tcPr>
            <w:tcW w:w="56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2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0"/>
                <w:szCs w:val="10"/>
                <w:color w:val="auto"/>
              </w:rPr>
            </w:pPr>
          </w:p>
        </w:tc>
        <w:tc>
          <w:tcPr>
            <w:tcW w:w="600" w:type="dxa"/>
            <w:vAlign w:val="bottom"/>
            <w:tcBorders>
              <w:top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w w:val="98"/>
              </w:rPr>
              <w:t>Y-o-Y</w:t>
            </w:r>
          </w:p>
        </w:tc>
        <w:tc>
          <w:tcPr>
            <w:tcW w:w="220" w:type="dxa"/>
            <w:vAlign w:val="bottom"/>
          </w:tcPr>
          <w:p>
            <w:pPr>
              <w:spacing w:after="0"/>
              <w:rPr>
                <w:sz w:val="10"/>
                <w:szCs w:val="10"/>
                <w:color w:val="auto"/>
              </w:rPr>
            </w:pPr>
          </w:p>
        </w:tc>
        <w:tc>
          <w:tcPr>
            <w:tcW w:w="62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Y-o-Y</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2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Subscription revenue</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959,603</w:t>
            </w:r>
          </w:p>
        </w:tc>
        <w:tc>
          <w:tcPr>
            <w:tcW w:w="18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834,232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963,768</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836,397</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208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Other revenue</w:t>
            </w:r>
            <w:r>
              <w:rPr>
                <w:rFonts w:ascii="Times New Roman" w:cs="Times New Roman" w:eastAsia="Times New Roman" w:hAnsi="Times New Roman"/>
                <w:sz w:val="21"/>
                <w:szCs w:val="21"/>
                <w:color w:val="auto"/>
                <w:vertAlign w:val="superscript"/>
              </w:rPr>
              <w:t>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19,372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19,197</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19,372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19,197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0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Vehicle sales</w:t>
            </w:r>
            <w:r>
              <w:rPr>
                <w:rFonts w:ascii="Times New Roman" w:cs="Times New Roman" w:eastAsia="Times New Roman" w:hAnsi="Times New Roman"/>
                <w:sz w:val="21"/>
                <w:szCs w:val="21"/>
                <w:color w:val="auto"/>
                <w:vertAlign w:val="superscript"/>
              </w:rPr>
              <w:t>3</w:t>
            </w: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2,099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81,563</w:t>
            </w:r>
          </w:p>
        </w:tc>
        <w:tc>
          <w:tcPr>
            <w:tcW w:w="7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2,099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81,563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62"/>
        </w:trPr>
        <w:tc>
          <w:tcPr>
            <w:tcW w:w="2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Delivery service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96,586</w:t>
            </w:r>
          </w:p>
        </w:tc>
        <w:tc>
          <w:tcPr>
            <w:tcW w:w="10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59,630</w:t>
            </w:r>
          </w:p>
        </w:tc>
        <w:tc>
          <w:tcPr>
            <w:tcW w:w="10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96,586</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59,630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7"/>
        </w:trPr>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6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5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6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line="20" w:lineRule="exact"/>
              <w:rPr>
                <w:sz w:val="1"/>
                <w:szCs w:val="1"/>
                <w:color w:val="auto"/>
              </w:rPr>
            </w:pPr>
          </w:p>
        </w:tc>
      </w:tr>
      <w:tr>
        <w:trPr>
          <w:trHeight w:val="183"/>
        </w:trPr>
        <w:tc>
          <w:tcPr>
            <w:tcW w:w="2080" w:type="dxa"/>
            <w:vAlign w:val="bottom"/>
            <w:gridSpan w:val="2"/>
            <w:vMerge w:val="continue"/>
            <w:shd w:val="clear" w:color="auto" w:fill="CCEEFF"/>
          </w:tcPr>
          <w:p>
            <w:pPr>
              <w:spacing w:after="0"/>
              <w:rPr>
                <w:sz w:val="15"/>
                <w:szCs w:val="15"/>
                <w:color w:val="auto"/>
              </w:rPr>
            </w:pPr>
          </w:p>
        </w:tc>
        <w:tc>
          <w:tcPr>
            <w:tcW w:w="7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981,074</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853,429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200" w:type="dxa"/>
            <w:vAlign w:val="bottom"/>
            <w:vMerge w:val="continue"/>
            <w:shd w:val="clear" w:color="auto" w:fill="CCEEFF"/>
          </w:tcPr>
          <w:p>
            <w:pPr>
              <w:spacing w:after="0"/>
              <w:rPr>
                <w:sz w:val="15"/>
                <w:szCs w:val="15"/>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81,563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c>
          <w:tcPr>
            <w:tcW w:w="24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100,751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61,795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w:t>
            </w:r>
          </w:p>
        </w:tc>
        <w:tc>
          <w:tcPr>
            <w:tcW w:w="220" w:type="dxa"/>
            <w:vAlign w:val="bottom"/>
            <w:vMerge w:val="continue"/>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1,081,825</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996,787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(268,060)</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(252,965)</w:t>
            </w:r>
          </w:p>
        </w:tc>
        <w:tc>
          <w:tcPr>
            <w:tcW w:w="180" w:type="dxa"/>
            <w:vAlign w:val="bottom"/>
          </w:tcPr>
          <w:p>
            <w:pPr>
              <w:spacing w:after="0"/>
              <w:rPr>
                <w:sz w:val="12"/>
                <w:szCs w:val="12"/>
                <w:color w:val="auto"/>
              </w:rPr>
            </w:pPr>
          </w:p>
        </w:tc>
        <w:tc>
          <w:tcPr>
            <w:tcW w:w="7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(74,445)</w:t>
            </w:r>
          </w:p>
        </w:tc>
        <w:tc>
          <w:tcPr>
            <w:tcW w:w="2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vMerge w:val="continue"/>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(66,356)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(334,416)</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(370,248)</w:t>
            </w: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Gross Profit</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713,014</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600,464</w:t>
            </w:r>
          </w:p>
        </w:tc>
        <w:tc>
          <w:tcPr>
            <w:tcW w:w="7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7,118</w:t>
            </w:r>
          </w:p>
        </w:tc>
        <w:tc>
          <w:tcPr>
            <w:tcW w:w="7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34,395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18,957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747,409</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626,539</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Gross Profit Margin</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Profit/(loss)</w:t>
            </w:r>
          </w:p>
        </w:tc>
        <w:tc>
          <w:tcPr>
            <w:tcW w:w="78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287,187</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231,901</w:t>
            </w:r>
          </w:p>
        </w:tc>
        <w:tc>
          <w:tcPr>
            <w:tcW w:w="72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6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(12,056)</w:t>
            </w:r>
          </w:p>
        </w:tc>
        <w:tc>
          <w:tcPr>
            <w:tcW w:w="78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12,560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4,529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299,747</w:t>
            </w: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224,374</w:t>
            </w: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Operating Profit Margin</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80" w:type="dxa"/>
            <w:vAlign w:val="bottom"/>
            <w:gridSpan w:val="2"/>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(a non-IFRS</w:t>
            </w:r>
          </w:p>
        </w:tc>
        <w:tc>
          <w:tcPr>
            <w:tcW w:w="780" w:type="dxa"/>
            <w:vAlign w:val="bottom"/>
            <w:tcBorders>
              <w:right w:val="single" w:sz="8" w:color="CCEEFF"/>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453,333</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392,090</w:t>
            </w:r>
          </w:p>
        </w:tc>
        <w:tc>
          <w:tcPr>
            <w:tcW w:w="72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6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(10,958)</w:t>
            </w:r>
          </w:p>
        </w:tc>
        <w:tc>
          <w:tcPr>
            <w:tcW w:w="780" w:type="dxa"/>
            <w:vAlign w:val="bottom"/>
            <w:gridSpan w:val="2"/>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13,404</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4,992</w:t>
            </w:r>
          </w:p>
        </w:tc>
        <w:tc>
          <w:tcPr>
            <w:tcW w:w="1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169%</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466,737</w:t>
            </w: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386,124</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73"/>
        </w:trPr>
        <w:tc>
          <w:tcPr>
            <w:tcW w:w="2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780" w:type="dxa"/>
            <w:vAlign w:val="bottom"/>
            <w:tcBorders>
              <w:right w:val="single" w:sz="8" w:color="CCEEFF"/>
            </w:tcBorders>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80" w:type="dxa"/>
            <w:vAlign w:val="bottom"/>
            <w:gridSpan w:val="2"/>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Adjusted EBITDA Margin (a</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46%</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0"/>
                <w:szCs w:val="10"/>
                <w:color w:val="auto"/>
              </w:rPr>
            </w:pP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non-IFRS measure)</w:t>
            </w: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right="2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Karooooo acquired 70.1% of Picup in September 2021, subsequently re-named Karooooo Logistics. Refer to “Events in the First Quarter of 2025” below for futher commentary on the change in ownership to 74.8%.</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revenue is non-subscription-based revenue and relates predominantly to the sale of telematics devices to large enterprise customers opting for a non-bundled contracts. Cartrack remains focused on bundled sales.</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Effective from Q1 2025, Carzuka has been fully integrated to support Cartrack operations, with the final on-hand vehicles sold off in this quarter.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Total Subscription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grew subscription revenue by 15% to ZAR964 million in Q1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Cartrack grew revenue by 15% to ZAR981 million (Q1 2024: ZAR853 million) and subscription revenue by 15% to a record ZAR960 million in Q1 2025 (Q1 2024: ZAR834 million). Subscription revenue equated to 98% of total revenue. Cartrack achieved strong customer acquisition in the quarter, building on its solid track record of growing at scale.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Logistics grew revenue by 63% to ZAR101 million (Q1 2024: ZAR62 million). Karooooo Logistics focuses on delivery-as-a-service (“DaaS”) for our large enterprise customers wishing to scale and digitalise their e-commerce operations without investing unnecessarily in additional assets by connecting them into an elastic fleet of third party delivery drivers.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5"/>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9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194"/>
        </w:trPr>
        <w:tc>
          <w:tcPr>
            <w:tcW w:w="7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50"/>
              <w:spacing w:after="0" w:line="194" w:lineRule="exact"/>
              <w:rPr>
                <w:sz w:val="20"/>
                <w:szCs w:val="20"/>
                <w:color w:val="auto"/>
              </w:rPr>
            </w:pPr>
            <w:r>
              <w:rPr>
                <w:rFonts w:ascii="Times New Roman" w:cs="Times New Roman" w:eastAsia="Times New Roman" w:hAnsi="Times New Roman"/>
                <w:sz w:val="18"/>
                <w:szCs w:val="18"/>
                <w:b w:val="1"/>
                <w:bCs w:val="1"/>
                <w:color w:val="auto"/>
              </w:rPr>
              <w:t>Y-o-Y</w:t>
            </w:r>
          </w:p>
        </w:tc>
        <w:tc>
          <w:tcPr>
            <w:tcW w:w="140" w:type="dxa"/>
            <w:vAlign w:val="bottom"/>
          </w:tcPr>
          <w:p>
            <w:pPr>
              <w:spacing w:after="0"/>
              <w:rPr>
                <w:sz w:val="16"/>
                <w:szCs w:val="16"/>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Figures in Rand Thousands</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1"/>
                <w:szCs w:val="21"/>
                <w:color w:val="auto"/>
              </w:rPr>
            </w:pPr>
          </w:p>
        </w:tc>
      </w:tr>
      <w:tr>
        <w:trPr>
          <w:trHeight w:val="249"/>
        </w:trPr>
        <w:tc>
          <w:tcPr>
            <w:tcW w:w="7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Karooooo’s Operating Expenses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449,344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Cartrack</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427,509</w:t>
            </w:r>
          </w:p>
        </w:tc>
        <w:tc>
          <w:tcPr>
            <w:tcW w:w="20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370,879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Carzuka</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19,174</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Karooooo Logistics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expenses increased 11% to ZAR449 million (Q1 2024: ZAR404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ZAR428 million, was attributable to Cartrack (Q1 2024: ZAR371 million). This comprised investment in territorial expansion and growth.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to invest prudently in scaling Karooooo Logistics, equating to ZAR22 million (Q1 2024: ZAR14 million) of total operating expenses.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sales and marketing operating expenses increased 21% to ZAR140 million (Q1 2024: ZAR115 million). This strategic investment in customer acquisition positions us well for continued growth.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general and administration operating expenses increased 14% to ZAR202 million (Q1 2024: ZAR178 million). This planned increase reflects management’s commitment to building strong infrastructure that supports growth, while demonstrating our ability to contain costs.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R&amp;D operating expenses increased 20% to ZAR55 million (Q1 2024: ZAR46 million). We remain focused on driving substantial benefit from our R&amp;D capital allocation.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prudently provided for expected credit losses of ZAR30 million (Q1 2024: ZAR31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expenses as a proportion of subscription revenue aligns with Karooooo’s long-term financial goals, and reflects our investment in growth.</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sales and marketing expenses as a percentage of Cartrack’s subscription revenue increased to 15% (Q1 2024: 14%)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general and administration expenses as a percentage of Cartrack’s subscription revenue remained at 21% (Q1 2024: 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R&amp;D expenses as a percentage of Cartrack’s subscription revenue remained at 6% (Q1 2024: 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Operating Profit and 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operating profit grew by 34% to ZAR300 million (Q1 2024: ZAR224 million) and earnings per share by 41% to ZAR7.17 (Q1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ZAR5.09).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 delivered record operating profit of ZAR287 million, up 24% (Q1 2024: ZAR232 million). The gross profit margin expanded to 73% (Q1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and the operating profit margin expanded to 29% (Q1 2024: 27%).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delivered an operating profit of ZAR13 million (Q1 2024: ZAR5 million) as it continues to scale.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Karooooo’s Adjusted EBITDA (a non-IFRS measure) grew by 21% to ZAR467 million (Q1 2024: ZAR386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Adjusted EBITDA grew by 16% to ZAR453 million (Q1 2024: ZAR392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Logistics’ Adjusted EBITDA grew by 169% to ZAR13 million (Q1 2024: ZAR5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Karooooo is strongly positioned for growth. We operate in a growing and largely underpenetrated market, with strong demand from customers needing to be competitive and digitalise their operations.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proven, robust and consistently profitable business model, underpinned by a strong balance sheet and healthy cash position, gives us multiple levers for expansion. We expect our continuous investment in our AI products, platform and customer experience to generate robust results in the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confident that our track record of success, specifically our ability to generate healthy cash flows, is sustainable.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be a leading Operations Cloud service provider.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Cartrack’s revenue making up the majority of group revenue, the guidance below relates primarily to 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guidance for FY 2025 remains unchanged:</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number of subscribers expected to be between 2,200,000 and 2,400,000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subscription revenue expected to be between ZAR3,900 million and ZAR4,150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Cartrack’s operating profit margin expected to be between 27% and 31%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Karooooo’s Earnings Per Share expected to be between ZAR27.50 and ZAR31.00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strategic approach to capital allocation supports Karooooo’s strong growth at scale, profitability and high cash-generation. Given our balanced capital structure and healthy operating profit margins, we have ample runway to accelerate our customer acquisition strategy while remaining profitable.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May 31, 2024, Karooooo’s property, plant and equipment had increased by ZAR94 million to ZAR2,127 million (February 29, 2024: ZAR2,033 million). This was primarily due to an increase of ZAR48 million in in-vehicle capitalized telematic devices, an increase of ZAR5 million in telematic devices available for future sales and an investment of ZAR37 million in building the South African central office. Karooooo’s property, plant and equipment of uninstalled telematic devices for future sales was ZAR351 million (February 29, 2024: ZAR346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line with business growth and currency fluctuations, trade and other payables increased to ZAR466 million (February 29, 2024: ZAR446 million). Trade and other receivables and prepayments decreased to ZAR596 million (February 29, 2024: ZAR985 million). At February 29, 2024, fixed deposits placed with banks amounting to ZAR486 million, which matured in June and July 2024, were included in other receivables.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 collection days remain within our historical norms at 30 days (February 29, 2024: 29 days).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line with the group’s cash management policy, overseen by our capital allocation committee, Karooooo’s excess cash reserves are held in US Dollars.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allocating ZAR37 million to the new South African central office, Karooooo reported a net cash and cash equivalents balance of ZAR950 million at May 31, 2024 (February 29, 2024: ZAR436 million). At February 29, 2024, the net cash and cash equivalents balance would have been ZAR922 million if all the bank fixed deposits had matured prior to May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May 31, 2024, the group had bank facilities for growth initiatives and other general corporate purposes of ZAR275 million with Capitec Bank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 non-IFRS measure)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February 29, 2024, there were bank fixed deposits of USD25.2 million maturing more than 3 months after year end that were included in “Trade and other receivables and prepayments” on the balance sheet.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same bank fixed deposits maturing less than 3 months are now presented as “Cash and cash equivalents” in the May 31, 2024 balance sheet. Hence, the group generated Free Cash Flow (a non-IFRS measure) of ZAR569 million for the quarter ended May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Excluding the effect of the bank fixed deposits of USD25.2 million, Free Cash Flow (a non-IFRS measure) was ZAR83 million for this quarter (Q1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ZAR158 million).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Free Cash Flow (a non-IFRS measure) generated is in keeping with our planned capital allocation for future growth.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45"/>
        </w:trPr>
        <w:tc>
          <w:tcPr>
            <w:tcW w:w="73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2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 (Current)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595,847</w:t>
            </w:r>
          </w:p>
        </w:tc>
        <w:tc>
          <w:tcPr>
            <w:tcW w:w="1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985,398</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442,696</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Fixed Deposits of expiration above 3 months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(485,681)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499,717</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0"/>
        </w:trPr>
        <w:tc>
          <w:tcPr>
            <w:tcW w:w="73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2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73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45"/>
        </w:trPr>
        <w:tc>
          <w:tcPr>
            <w:tcW w:w="732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20" w:type="dxa"/>
            <w:vAlign w:val="bottom"/>
            <w:tcBorders>
              <w:bottom w:val="single" w:sz="8" w:color="auto"/>
            </w:tcBorders>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and cash equivalents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949,558</w:t>
            </w:r>
          </w:p>
        </w:tc>
        <w:tc>
          <w:tcPr>
            <w:tcW w:w="16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436,165</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1,137,444</w:t>
            </w:r>
          </w:p>
        </w:tc>
      </w:tr>
      <w:tr>
        <w:trPr>
          <w:trHeight w:val="23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Fixed Deposits of expiration above 3 months</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485,681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7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921,846</w:t>
            </w: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(a non-IFRS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 of Fixed Deposits of expiration above 3 months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Free Cash Flow (a non-IFRS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31"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568,962</w:t>
      </w:r>
      <w:r>
        <w:rPr>
          <w:sz w:val="20"/>
          <w:szCs w:val="20"/>
          <w:color w:val="auto"/>
        </w:rPr>
        <w:tab/>
      </w:r>
      <w:r>
        <w:rPr>
          <w:rFonts w:ascii="Times New Roman" w:cs="Times New Roman" w:eastAsia="Times New Roman" w:hAnsi="Times New Roman"/>
          <w:sz w:val="18"/>
          <w:szCs w:val="18"/>
          <w:color w:val="auto"/>
        </w:rPr>
        <w:t>157,732</w:t>
      </w:r>
    </w:p>
    <w:p>
      <w:pPr>
        <w:spacing w:after="0" w:line="9" w:lineRule="exact"/>
        <w:rPr>
          <w:sz w:val="20"/>
          <w:szCs w:val="20"/>
          <w:color w:val="auto"/>
        </w:rPr>
      </w:pPr>
    </w:p>
    <w:p>
      <w:pPr>
        <w:ind w:left="100"/>
        <w:spacing w:after="0"/>
        <w:tabs>
          <w:tab w:leader="none" w:pos="2000" w:val="left"/>
        </w:tabs>
        <w:rPr>
          <w:sz w:val="20"/>
          <w:szCs w:val="20"/>
          <w:color w:val="auto"/>
        </w:rPr>
      </w:pPr>
      <w:r>
        <w:rPr>
          <w:rFonts w:ascii="Times New Roman" w:cs="Times New Roman" w:eastAsia="Times New Roman" w:hAnsi="Times New Roman"/>
          <w:sz w:val="18"/>
          <w:szCs w:val="18"/>
          <w:color w:val="auto"/>
        </w:rPr>
        <w:t>(485,681)</w:t>
      </w:r>
      <w:r>
        <w:rPr>
          <w:sz w:val="20"/>
          <w:szCs w:val="20"/>
          <w:color w:val="auto"/>
        </w:rPr>
        <w:tab/>
      </w: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both"/>
        <w:ind w:left="260"/>
        <w:spacing w:after="0"/>
        <w:tabs>
          <w:tab w:leader="none" w:pos="1460" w:val="left"/>
        </w:tabs>
        <w:rPr>
          <w:sz w:val="20"/>
          <w:szCs w:val="20"/>
          <w:color w:val="auto"/>
        </w:rPr>
      </w:pPr>
      <w:r>
        <w:rPr>
          <w:rFonts w:ascii="Times New Roman" w:cs="Times New Roman" w:eastAsia="Times New Roman" w:hAnsi="Times New Roman"/>
          <w:sz w:val="18"/>
          <w:szCs w:val="18"/>
          <w:color w:val="auto"/>
        </w:rPr>
        <w:t>83,281</w:t>
      </w:r>
      <w:r>
        <w:rPr>
          <w:sz w:val="20"/>
          <w:szCs w:val="20"/>
          <w:color w:val="auto"/>
        </w:rPr>
        <w:tab/>
      </w:r>
      <w:r>
        <w:rPr>
          <w:rFonts w:ascii="Times New Roman" w:cs="Times New Roman" w:eastAsia="Times New Roman" w:hAnsi="Times New Roman"/>
          <w:sz w:val="18"/>
          <w:szCs w:val="18"/>
          <w:color w:val="auto"/>
        </w:rPr>
        <w:t>157,732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40" w:space="720"/>
            <w:col w:w="2180"/>
          </w:cols>
          <w:pgMar w:left="320" w:top="902" w:right="33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Capital and Reserves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General Meeting (AGM) held on July 12, 2023, 97.35% of Karooooo’s shareholders passed a resolution authorizing the repurchase of up to 10% of the company’s shares. The board of directors (Board) is duly authorized to implement this share buyback program in accordance with the requirements outlined in the resolution.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ordinary shares by the company may be made by way of market purchases on the Nasdaq and/or the JSE. At our next AGM, we expect to seek approval for the renewal of our share repurchase program on the same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Karooooo repurchased 57,806 shares of its common stock in February 2024 and May 2024, at an average purchase price of USD24.84 per share. We subsequently cancelled 51,106 shares on May 25, 2024. The remaining 6,700 shares were cancelled on June 18,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May 31, 2024, Karooooo had 30,900,000 ordinary shares in issue, with 30,893,300 shares outstanding, and paid-up share capital of USD504,520,625 plus SGD1,000.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ZAR3.6 billion other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ZAR12 million of other capital reserve on the balance sheet relates to the cancellation of Karooooo’s treasury shares and ZAR11.4 million of other capital reserve relates to the repurchase and cancellation of Karooooo Logistics’s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Overview for Cartrack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 Africa</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16% to 1,549,951 at May 31, 2024 (May 31, 2023: 1,339,905), with subscription revenue growth of 15% and ARR growth of 17%.</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 economic environment is improving in this region. Further, we are confident that our move to our newly built central offices in September 2024 will support strong organic growth in the region as it will allow us to grow our headcount.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the largest and fastest growing enterprise mobility SaaS provider on the African continent.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 Middle East and United States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23% to 238,174 at May 31, 2024 (May 31, 2023: 193,557). This translates to 19% growth in subscription revenue (21% on a constant currency basis, a non-IFRS measure).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second largest contributor to group revenue, Southeast Asia continues to present the most compelling growth opportunity for the group in the medium to long term.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office in the United States yields key insights that contribute to Cartrack’s competitiveness.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Europe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Cartrack’s number of subscribers in this region increased 17% to 173,588 at May 31, 2024 (May 31, 2023: 148,927). This translates to 19% growth in subscription revenue (15% on a constant currency basis, a non-IFRS measure).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building a leading mobility and connected-vehicle platform to give our customers easier access to valuable insights. Demonstrating Karooooo’s standing as a platform of choice, leading OEMs have partnered with us to give their customers access to our platform, seamlessly integrating their connected vehicle data. We are poised to leverage our extensive offerings to further develop the connected-vehicle ecosystem, and expect these partnerships to contribute to our results in the medium term. In addition, we are experiencing encouraging demand for our proprietary compliance technology in the region as customers seek to be compliant with new legislation.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Africa (excluding South Africa)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Cartrack’s number of subscribers in this region increased 14% to 85,729 at May 31, 2024 (May 31, 2023: 75,063).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region remains a positive cash generator and is strategic to Karooooo’s South African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in the First Quarter of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2024, the Board approved a resolution for Karooooo Logistics (Pty) Ltd to repurchase its ordinary shares at a purchase price of ZAR15.2 million in accordance with the Companies Act of South Africa and to cancel the repurchased shares. As a result, the group’s effective shareholding in Karooooo Logistics (Pty) Ltd is now 74.8%.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after the First Quarter of 2025</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2024, The Standard Bank of South Africa Limited extended a loan of ZAR 250 million to Purple Rain Properties No.444 Proprietary Limited (the owner of the regional South Africa head office under construction) at the South Africa Prime Interest Rate less 1.5%. The loan will mature on 21 December 2025 and these funds were used to settle an inter company loan from Cartrack Pty Ltd.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recognizes the importance of investment in achieving growth at scale, and endeavors to avoid swings in dividend profile.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Karooooo aims to reinvest retained earnings to the extent that it aligns with the group’s required return on incrementally reinvested capital, return on equity, and short- to medium-term growth strategy.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review and amend the dividend policy from time to time.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Dividend Declaration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Considering the consistent strong earnings, healthy balance sheet and free cash flow of the Company and in accordance with the dividend policy set out above, an interim dividend of USD1.08 per ordinary share, pertaining to the first quarter of Karooooo’s 2025 financial year, will be paid on Aug 12, 2024, to JSE shareholders on record as at the close of business on Thursday, August 8, 2024 and on Aug 14, 2024 to Nasdaq shareholders on record as at the close of business on August 8, 2024. Although Karooooo’s reporting currency is ZAR, its statutory filings in Singapore are reported in USD, as a result of which dividends are declared in USD. The details with respect to the dividends declared for holders of our ordinary shares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60" w:type="dxa"/>
            <w:vAlign w:val="bottom"/>
          </w:tcPr>
          <w:p>
            <w:pPr>
              <w:spacing w:after="0"/>
              <w:rPr>
                <w:sz w:val="21"/>
                <w:szCs w:val="21"/>
                <w:color w:val="auto"/>
              </w:rPr>
            </w:pP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NASDAQ</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JSE</w:t>
            </w:r>
          </w:p>
        </w:tc>
      </w:tr>
      <w:tr>
        <w:trPr>
          <w:trHeight w:val="216"/>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Declaration date</w:t>
            </w: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Thursday, July 18, 2024</w:t>
            </w:r>
          </w:p>
        </w:tc>
        <w:tc>
          <w:tcPr>
            <w:tcW w:w="18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Friday, July 19, 2024</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Finalization announcement, date of currency conversion and confirmation of record date</w:t>
            </w:r>
          </w:p>
        </w:tc>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Monday, July 29, 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Monday, July 29, 2024</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Last date to trade cum dividend</w:t>
            </w:r>
          </w:p>
        </w:tc>
        <w:tc>
          <w:tcPr>
            <w:tcW w:w="23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Tuesday, August 6, 2024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Monday, August 5, 2024</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Shares commence trading Ex-dividend</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Thursday, August 8, 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Tuesday, August 6, 2024</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3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Thursday, August 8, 2024</w:t>
            </w:r>
          </w:p>
        </w:tc>
        <w:tc>
          <w:tcPr>
            <w:tcW w:w="1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Thursday, August 8, 2024</w:t>
            </w: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Dividend payment date</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Wednesday, August 14, 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Monday, August 12, 2024</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registered on the South African section of the share register will not be allowed to dematerialize or rematerialize their shareholdings between Tuesday, August 6, 2024 and Thursday, August 8, 2024, both dates inclusive, and transfers between the NASDAQ and South African register will not be permitted between Monday, July 29, 2024 and Thursday August 8, 2024, both days inclusive.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tax considerations applicable to South African shareholders will be included in the currency conversion and confirmation of record date announcement which is expected to be published on Monday, July 29,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Corruption, Bribery and Whistleblowing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provide a contact email and hotline for whistleblowing and reporters are assured of confidentiality.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Karooooo management will host a Zoom webinar on </w:t>
      </w:r>
      <w:r>
        <w:rPr>
          <w:rFonts w:ascii="Times New Roman" w:cs="Times New Roman" w:eastAsia="Times New Roman" w:hAnsi="Times New Roman"/>
          <w:sz w:val="18"/>
          <w:szCs w:val="18"/>
          <w:b w:val="1"/>
          <w:bCs w:val="1"/>
          <w:color w:val="auto"/>
        </w:rPr>
        <w:t>Friday, July 19, 2024</w:t>
      </w:r>
      <w:r>
        <w:rPr>
          <w:rFonts w:ascii="Times New Roman" w:cs="Times New Roman" w:eastAsia="Times New Roman" w:hAnsi="Times New Roman"/>
          <w:sz w:val="18"/>
          <w:szCs w:val="18"/>
          <w:color w:val="auto"/>
        </w:rPr>
        <w:t xml:space="preserve"> at 08:00 a.m. Eastern Time (02:00 p.m. South African time; 08:00 p.m.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Singaporean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are invited to join the Zoom at: https://us02web.zoom.us/j/82089929893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Webinar ID: </w:t>
      </w:r>
      <w:r>
        <w:rPr>
          <w:rFonts w:ascii="Times New Roman" w:cs="Times New Roman" w:eastAsia="Times New Roman" w:hAnsi="Times New Roman"/>
          <w:sz w:val="18"/>
          <w:szCs w:val="18"/>
          <w:b w:val="1"/>
          <w:bCs w:val="1"/>
          <w:color w:val="auto"/>
        </w:rPr>
        <w:t>820 8992 9893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(New York) Toll-free: +1 646 558 8656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will be available at www.karooooo.com approximately three hours after the conclusion of the live event.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IFRS Accounting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Karooooo is a provider of a leading operational IoT SaaS cloud that maximizes the value of operations and workflow data by providing insightful real-time data analytics to thousands of enterprise customers by digitally transforming their operations. The Cartrack (wholly owned by Karooooo) SaaS platform provides customers with differentiated insights and data analytics to optimize their business operations. Cartrack assists customers to sustainably improve workflows, manage field workers, increase efficiency, decrease costs, improve safety, monitor environmental impact, assist with regulatory compliance and manage risk.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there are over 2,100,000 connected vehicles and equipment on the Cartrack cloud platform.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900"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p>
      <w:pPr>
        <w:spacing w:after="0" w:line="207" w:lineRule="exact"/>
        <w:rPr>
          <w:sz w:val="20"/>
          <w:szCs w:val="20"/>
          <w:color w:val="auto"/>
        </w:rPr>
      </w:pPr>
    </w:p>
    <w:p>
      <w:pPr>
        <w:sectPr>
          <w:pgSz w:w="11900" w:h="16838" w:orient="portrait"/>
          <w:cols w:equalWidth="0" w:num="2">
            <w:col w:w="2900" w:space="720"/>
            <w:col w:w="7620"/>
          </w:cols>
          <w:pgMar w:left="320" w:top="900" w:right="339" w:bottom="1440" w:gutter="0" w:footer="0" w:header="0"/>
          <w:type w:val="continuous"/>
        </w:sectPr>
      </w:pP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           </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4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4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1,081,825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996,787</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(334,416)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(370,248)</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747,409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(449,344)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(404,493)</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Sales and marketing</w:t>
            </w:r>
          </w:p>
        </w:tc>
        <w:tc>
          <w:tcPr>
            <w:tcW w:w="43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(140,248)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(124,705)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5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(221,494)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(198,263)</w:t>
            </w:r>
          </w:p>
        </w:tc>
        <w:tc>
          <w:tcPr>
            <w:tcW w:w="0" w:type="dxa"/>
            <w:vAlign w:val="bottom"/>
          </w:tcPr>
          <w:p>
            <w:pPr>
              <w:spacing w:after="0"/>
              <w:rPr>
                <w:sz w:val="1"/>
                <w:szCs w:val="1"/>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(57,609)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(49,651)</w:t>
            </w:r>
          </w:p>
        </w:tc>
        <w:tc>
          <w:tcPr>
            <w:tcW w:w="0" w:type="dxa"/>
            <w:vAlign w:val="bottom"/>
          </w:tcPr>
          <w:p>
            <w:pPr>
              <w:spacing w:after="0"/>
              <w:rPr>
                <w:sz w:val="1"/>
                <w:szCs w:val="1"/>
                <w:color w:val="auto"/>
              </w:rPr>
            </w:pPr>
          </w:p>
        </w:tc>
      </w:tr>
      <w:tr>
        <w:trPr>
          <w:trHeight w:val="24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credit losses on financial assets</w:t>
            </w:r>
          </w:p>
        </w:tc>
        <w:tc>
          <w:tcPr>
            <w:tcW w:w="5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(29,993)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(31,874)</w:t>
            </w:r>
          </w:p>
        </w:tc>
        <w:tc>
          <w:tcPr>
            <w:tcW w:w="0" w:type="dxa"/>
            <w:vAlign w:val="bottom"/>
          </w:tcPr>
          <w:p>
            <w:pPr>
              <w:spacing w:after="0"/>
              <w:rPr>
                <w:sz w:val="1"/>
                <w:szCs w:val="1"/>
                <w:color w:val="auto"/>
              </w:rPr>
            </w:pPr>
          </w:p>
        </w:tc>
      </w:tr>
      <w:tr>
        <w:trPr>
          <w:trHeight w:val="203"/>
        </w:trPr>
        <w:tc>
          <w:tcPr>
            <w:tcW w:w="43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Operating profit</w:t>
            </w:r>
          </w:p>
        </w:tc>
        <w:tc>
          <w:tcPr>
            <w:tcW w:w="43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299,747</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224,374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5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5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(5,634)</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before taxation</w:t>
            </w:r>
          </w:p>
        </w:tc>
        <w:tc>
          <w:tcPr>
            <w:tcW w:w="4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305,326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43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(80,043)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(71,131)</w:t>
            </w:r>
          </w:p>
        </w:tc>
        <w:tc>
          <w:tcPr>
            <w:tcW w:w="0" w:type="dxa"/>
            <w:vAlign w:val="bottom"/>
          </w:tcPr>
          <w:p>
            <w:pPr>
              <w:spacing w:after="0"/>
              <w:rPr>
                <w:sz w:val="1"/>
                <w:szCs w:val="1"/>
                <w:color w:val="auto"/>
              </w:rPr>
            </w:pPr>
          </w:p>
        </w:tc>
      </w:tr>
      <w:tr>
        <w:trPr>
          <w:trHeight w:val="27"/>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4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vMerge w:val="continue"/>
            <w:shd w:val="clear" w:color="auto" w:fill="CCEEFF"/>
          </w:tcPr>
          <w:p>
            <w:pPr>
              <w:spacing w:after="0"/>
              <w:rPr>
                <w:sz w:val="21"/>
                <w:szCs w:val="21"/>
                <w:color w:val="auto"/>
              </w:rPr>
            </w:pPr>
          </w:p>
        </w:tc>
        <w:tc>
          <w:tcPr>
            <w:tcW w:w="4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225,283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w:t>
            </w:r>
          </w:p>
        </w:tc>
        <w:tc>
          <w:tcPr>
            <w:tcW w:w="4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parent</w:t>
            </w:r>
          </w:p>
        </w:tc>
        <w:tc>
          <w:tcPr>
            <w:tcW w:w="5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221,584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157,481</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4,466</w:t>
            </w:r>
          </w:p>
        </w:tc>
        <w:tc>
          <w:tcPr>
            <w:tcW w:w="0" w:type="dxa"/>
            <w:vAlign w:val="bottom"/>
          </w:tcPr>
          <w:p>
            <w:pPr>
              <w:spacing w:after="0"/>
              <w:rPr>
                <w:sz w:val="1"/>
                <w:szCs w:val="1"/>
                <w:color w:val="auto"/>
              </w:rPr>
            </w:pPr>
          </w:p>
        </w:tc>
      </w:tr>
      <w:tr>
        <w:trPr>
          <w:trHeight w:val="27"/>
        </w:trPr>
        <w:tc>
          <w:tcPr>
            <w:tcW w:w="43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4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225,283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4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per share (ZAR)</w:t>
            </w:r>
          </w:p>
        </w:tc>
        <w:tc>
          <w:tcPr>
            <w:tcW w:w="5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655"/>
        </w:trPr>
        <w:tc>
          <w:tcPr>
            <w:tcW w:w="434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Pr>
          <w:p>
            <w:pPr>
              <w:spacing w:after="0"/>
              <w:rPr>
                <w:sz w:val="20"/>
                <w:szCs w:val="20"/>
                <w:color w:val="auto"/>
              </w:rPr>
            </w:pPr>
          </w:p>
        </w:tc>
        <w:tc>
          <w:tcPr>
            <w:tcW w:w="1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3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Property, plant and equipment </w:t>
            </w:r>
            <w:r>
              <w:rPr>
                <w:rFonts w:ascii="Times New Roman" w:cs="Times New Roman" w:eastAsia="Times New Roman" w:hAnsi="Times New Roman"/>
                <w:sz w:val="29"/>
                <w:szCs w:val="29"/>
                <w:color w:val="auto"/>
                <w:vertAlign w:val="superscript"/>
              </w:rPr>
              <w:t>4</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2,127,250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2,032,794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1,726,940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Capitalized commission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398,017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374,521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308,808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78,355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83,123</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89,218</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221,616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227,380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to related parties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28,200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25,800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Long-term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17,059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18,831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23,057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financial asset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89,464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81,903</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60,156</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2,959,961</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2,846,752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2,464,582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98,023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receivables and prepayments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595,847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985,398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8,668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10,282</w:t>
            </w: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996,054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459,527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1,137,444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1,605,483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1,460,221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4,565,444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4,306,973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4,153,027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7,131,059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7,142,853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7,142,853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(3,461)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Other capital reserve</w:t>
            </w:r>
            <w:r>
              <w:rPr>
                <w:rFonts w:ascii="Times New Roman" w:cs="Times New Roman" w:eastAsia="Times New Roman" w:hAnsi="Times New Roman"/>
                <w:sz w:val="29"/>
                <w:szCs w:val="29"/>
                <w:color w:val="auto"/>
                <w:vertAlign w:val="superscript"/>
              </w:rPr>
              <w:t>1, 3</w:t>
            </w:r>
          </w:p>
        </w:tc>
        <w:tc>
          <w:tcPr>
            <w:tcW w:w="13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(3,605,990)</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(3,582,568)</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(3,582,568)</w:t>
            </w:r>
          </w:p>
        </w:tc>
        <w:tc>
          <w:tcPr>
            <w:tcW w:w="0" w:type="dxa"/>
            <w:vAlign w:val="bottom"/>
          </w:tcPr>
          <w:p>
            <w:pPr>
              <w:spacing w:after="0"/>
              <w:rPr>
                <w:sz w:val="1"/>
                <w:szCs w:val="1"/>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Common control reserve</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(2,709,236)</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(2,709,236)</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(2,709,236)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278,709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330,812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333,321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2,025,066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1,803,482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1,222,774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equity holders of parent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3,116,147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2,961,527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2,407,144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39,762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40,935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38,592</w:t>
            </w: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3,155,909</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3,002,462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2,445,736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39,809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41,645</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46,612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124,165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131,285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101,733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121,784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121,302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116,009</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68,551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69,840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51,954</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354,309</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364,072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316,308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6,559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10,258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465,729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446,284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922,727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Loans from related parties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61,458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63,055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324,555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325,848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279,087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46,496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23,362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148,270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73,375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warranties</w:t>
            </w:r>
          </w:p>
        </w:tc>
        <w:tc>
          <w:tcPr>
            <w:tcW w:w="1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1,055,226</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940,439</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1,390,983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1,409,535</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1,304,511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1,707,291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3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4,565,444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4,306,973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4,153,027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40" w:hanging="332"/>
        <w:spacing w:after="0" w:line="267" w:lineRule="auto"/>
        <w:tabs>
          <w:tab w:leader="none" w:pos="34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028" w:gutter="0" w:footer="0" w:header="0"/>
        </w:sectPr>
      </w:pPr>
    </w:p>
    <w:bookmarkStart w:id="14" w:name="page15"/>
    <w:bookmarkEnd w:id="14"/>
    <w:p>
      <w:pPr>
        <w:jc w:val="both"/>
        <w:ind w:left="340" w:hanging="332"/>
        <w:spacing w:after="0" w:line="261" w:lineRule="auto"/>
        <w:tabs>
          <w:tab w:leader="none" w:pos="3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79" w:lineRule="exact"/>
        <w:rPr>
          <w:rFonts w:ascii="Times New Roman" w:cs="Times New Roman" w:eastAsia="Times New Roman" w:hAnsi="Times New Roman"/>
          <w:sz w:val="18"/>
          <w:szCs w:val="18"/>
          <w:i w:val="1"/>
          <w:iCs w:val="1"/>
          <w:color w:val="auto"/>
        </w:rPr>
      </w:pPr>
    </w:p>
    <w:p>
      <w:pPr>
        <w:ind w:left="340" w:hanging="332"/>
        <w:spacing w:after="0" w:line="284" w:lineRule="auto"/>
        <w:tabs>
          <w:tab w:leader="none" w:pos="3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other capital reserves are ZAR12 million relates to the cancellation of Karooooo’s treasury shares and ZAR11.4 million of other capital reserve relates to the repurchase and cancellation of Karooooo Logistics’s ordinary shares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property, plant and equipment 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February 29,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w:t>
            </w:r>
          </w:p>
        </w:tc>
      </w:tr>
      <w:tr>
        <w:trPr>
          <w:trHeight w:val="245"/>
        </w:trPr>
        <w:tc>
          <w:tcPr>
            <w:tcW w:w="4560" w:type="dxa"/>
            <w:vAlign w:val="bottom"/>
          </w:tcPr>
          <w:p>
            <w:pPr>
              <w:spacing w:after="0"/>
              <w:rPr>
                <w:sz w:val="21"/>
                <w:szCs w:val="21"/>
                <w:color w:val="auto"/>
              </w:rPr>
            </w:pPr>
          </w:p>
        </w:tc>
        <w:tc>
          <w:tcPr>
            <w:tcW w:w="3440" w:type="dxa"/>
            <w:vAlign w:val="bottom"/>
            <w:gridSpan w:val="2"/>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6"/>
        </w:trPr>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140" w:type="dxa"/>
            <w:vAlign w:val="bottom"/>
            <w:tcBorders>
              <w:top w:val="single" w:sz="8" w:color="auto"/>
            </w:tcBorders>
          </w:tcPr>
          <w:p>
            <w:pPr>
              <w:spacing w:after="0"/>
              <w:rPr>
                <w:sz w:val="18"/>
                <w:szCs w:val="18"/>
                <w:color w:val="auto"/>
              </w:rPr>
            </w:pPr>
          </w:p>
        </w:tc>
      </w:tr>
      <w:tr>
        <w:trPr>
          <w:trHeight w:val="216"/>
        </w:trPr>
        <w:tc>
          <w:tcPr>
            <w:tcW w:w="45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Capitalized telematics devices – Work in progress</w:t>
            </w:r>
          </w:p>
        </w:tc>
        <w:tc>
          <w:tcPr>
            <w:tcW w:w="3440" w:type="dxa"/>
            <w:vAlign w:val="bottom"/>
            <w:gridSpan w:val="2"/>
            <w:shd w:val="clear" w:color="auto" w:fill="CCECFF"/>
          </w:tcPr>
          <w:p>
            <w:pPr>
              <w:jc w:val="right"/>
              <w:ind w:right="50"/>
              <w:spacing w:after="0"/>
              <w:rPr>
                <w:sz w:val="20"/>
                <w:szCs w:val="20"/>
                <w:color w:val="auto"/>
              </w:rPr>
            </w:pPr>
            <w:r>
              <w:rPr>
                <w:rFonts w:ascii="Times New Roman" w:cs="Times New Roman" w:eastAsia="Times New Roman" w:hAnsi="Times New Roman"/>
                <w:sz w:val="18"/>
                <w:szCs w:val="18"/>
                <w:color w:val="auto"/>
              </w:rPr>
              <w:t>141,662</w:t>
            </w:r>
          </w:p>
        </w:tc>
        <w:tc>
          <w:tcPr>
            <w:tcW w:w="2100" w:type="dxa"/>
            <w:vAlign w:val="bottom"/>
            <w:shd w:val="clear" w:color="auto" w:fill="CCECFF"/>
          </w:tcPr>
          <w:p>
            <w:pPr>
              <w:jc w:val="right"/>
              <w:ind w:right="170"/>
              <w:spacing w:after="0"/>
              <w:rPr>
                <w:sz w:val="20"/>
                <w:szCs w:val="20"/>
                <w:color w:val="auto"/>
              </w:rPr>
            </w:pPr>
            <w:r>
              <w:rPr>
                <w:rFonts w:ascii="Times New Roman" w:cs="Times New Roman" w:eastAsia="Times New Roman" w:hAnsi="Times New Roman"/>
                <w:sz w:val="18"/>
                <w:szCs w:val="18"/>
                <w:color w:val="auto"/>
              </w:rPr>
              <w:t>130,511</w:t>
            </w: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170,416</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telematic devices – Uninstalled</w:t>
            </w:r>
          </w:p>
        </w:tc>
        <w:tc>
          <w:tcPr>
            <w:tcW w:w="3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209,359</w:t>
            </w:r>
          </w:p>
        </w:tc>
        <w:tc>
          <w:tcPr>
            <w:tcW w:w="2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215,539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152,490</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telematic devices – Installed</w:t>
            </w:r>
          </w:p>
        </w:tc>
        <w:tc>
          <w:tcPr>
            <w:tcW w:w="34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1,069,575</w:t>
            </w:r>
          </w:p>
        </w:tc>
        <w:tc>
          <w:tcPr>
            <w:tcW w:w="21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1,032,250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926,229</w:t>
            </w:r>
          </w:p>
        </w:tc>
      </w:t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of South African Central Office</w:t>
            </w:r>
          </w:p>
        </w:tc>
        <w:tc>
          <w:tcPr>
            <w:tcW w:w="3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304,084</w:t>
            </w:r>
          </w:p>
        </w:tc>
        <w:tc>
          <w:tcPr>
            <w:tcW w:w="2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266,870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108,966</w:t>
            </w:r>
          </w:p>
        </w:tc>
      </w:tr>
      <w:tr>
        <w:trPr>
          <w:trHeight w:val="637"/>
        </w:trPr>
        <w:tc>
          <w:tcPr>
            <w:tcW w:w="45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12</w:t>
            </w:r>
          </w:p>
        </w:tc>
        <w:tc>
          <w:tcPr>
            <w:tcW w:w="15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2" w:right="339" w:bottom="1440" w:gutter="0" w:footer="0" w:header="0"/>
        </w:sectPr>
      </w:pPr>
    </w:p>
    <w:bookmarkStart w:id="15" w:name="page16"/>
    <w:bookmarkEnd w:id="15"/>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CASH FLOWS</w:t>
      </w:r>
    </w:p>
    <w:p>
      <w:pPr>
        <w:spacing w:after="0" w:line="21"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utilized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flows utilized by financing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movements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as at the beginning of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Translation differences on cash and cash equivalents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2460" w:type="dxa"/>
            <w:vAlign w:val="bottom"/>
            <w:gridSpan w:val="3"/>
          </w:tcPr>
          <w:p>
            <w:pPr>
              <w:jc w:val="right"/>
              <w:ind w:right="43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60" w:type="dxa"/>
            <w:vAlign w:val="bottom"/>
            <w:gridSpan w:val="2"/>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836,233</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340,211</w:t>
            </w:r>
          </w:p>
        </w:tc>
      </w:tr>
      <w:tr>
        <w:trPr>
          <w:trHeight w:val="216"/>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(279,359)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(197,314)</w:t>
            </w:r>
          </w:p>
        </w:tc>
      </w:t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(38,098)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(18,329)</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518,776</w:t>
            </w:r>
          </w:p>
        </w:tc>
        <w:tc>
          <w:tcPr>
            <w:tcW w:w="220" w:type="dxa"/>
            <w:vAlign w:val="bottom"/>
          </w:tcPr>
          <w:p>
            <w:pPr>
              <w:spacing w:after="0"/>
              <w:rPr>
                <w:sz w:val="17"/>
                <w:szCs w:val="17"/>
                <w:color w:val="auto"/>
              </w:rPr>
            </w:pPr>
          </w:p>
        </w:tc>
        <w:tc>
          <w:tcPr>
            <w:tcW w:w="1140" w:type="dxa"/>
            <w:vAlign w:val="bottom"/>
            <w:tcBorders>
              <w:top w:val="single" w:sz="8" w:color="auto"/>
            </w:tcBorders>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124,568</w:t>
            </w:r>
          </w:p>
        </w:tc>
        <w:tc>
          <w:tcPr>
            <w:tcW w:w="40" w:type="dxa"/>
            <w:vAlign w:val="bottom"/>
          </w:tcPr>
          <w:p>
            <w:pPr>
              <w:spacing w:after="0"/>
              <w:rPr>
                <w:sz w:val="17"/>
                <w:szCs w:val="17"/>
                <w:color w:val="auto"/>
              </w:rPr>
            </w:pPr>
          </w:p>
        </w:tc>
      </w:tr>
      <w:tr>
        <w:trPr>
          <w:trHeight w:val="216"/>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436,165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965,750</w:t>
            </w:r>
          </w:p>
        </w:tc>
        <w:tc>
          <w:tcPr>
            <w:tcW w:w="40" w:type="dxa"/>
            <w:vAlign w:val="bottom"/>
          </w:tcPr>
          <w:p>
            <w:pPr>
              <w:spacing w:after="0"/>
              <w:rPr>
                <w:sz w:val="18"/>
                <w:szCs w:val="18"/>
                <w:color w:val="auto"/>
              </w:rPr>
            </w:pPr>
          </w:p>
        </w:tc>
      </w:tr>
      <w:tr>
        <w:trPr>
          <w:trHeight w:val="248"/>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(5,383)</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47,126</w:t>
            </w:r>
          </w:p>
        </w:tc>
      </w:tr>
      <w:tr>
        <w:trPr>
          <w:trHeight w:val="27"/>
        </w:trPr>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949,558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1,137,444</w:t>
            </w:r>
          </w:p>
        </w:tc>
        <w:tc>
          <w:tcPr>
            <w:tcW w:w="4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8280" w:space="400"/>
            <w:col w:w="2520"/>
          </w:cols>
          <w:pgMar w:left="320" w:top="900" w:right="379" w:bottom="1440" w:gutter="0" w:footer="0" w:header="0"/>
        </w:sectPr>
      </w:pPr>
    </w:p>
    <w:bookmarkStart w:id="16" w:name="page17"/>
    <w:bookmarkEnd w:id="16"/>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7"/>
          <w:szCs w:val="17"/>
          <w:b w:val="1"/>
          <w:bCs w:val="1"/>
          <w:color w:val="auto"/>
        </w:rPr>
        <w:t>RECONCILIATION OF FREE CASH FLOW (A NON-IFRS MEASURE)</w:t>
      </w:r>
    </w:p>
    <w:p>
      <w:pPr>
        <w:spacing w:after="0" w:line="21" w:lineRule="exact"/>
        <w:rPr>
          <w:sz w:val="20"/>
          <w:szCs w:val="20"/>
          <w:color w:val="auto"/>
        </w:rPr>
      </w:pPr>
    </w:p>
    <w:p>
      <w:pPr>
        <w:jc w:val="center"/>
        <w:ind w:left="27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purchase of property, plant and equipment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Free Cash Flow </w:t>
      </w:r>
      <w:r>
        <w:rPr>
          <w:rFonts w:ascii="Times New Roman" w:cs="Times New Roman" w:eastAsia="Times New Roman" w:hAnsi="Times New Roman"/>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5715</wp:posOffset>
            </wp:positionV>
            <wp:extent cx="156019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(Rand Thousands)</w:t>
      </w:r>
    </w:p>
    <w:p>
      <w:pPr>
        <w:spacing w:after="0" w:line="31" w:lineRule="exact"/>
        <w:rPr>
          <w:sz w:val="20"/>
          <w:szCs w:val="20"/>
          <w:color w:val="auto"/>
        </w:rPr>
      </w:pPr>
    </w:p>
    <w:p>
      <w:pPr>
        <w:ind w:left="160"/>
        <w:spacing w:after="0"/>
        <w:tabs>
          <w:tab w:leader="none" w:pos="1480" w:val="left"/>
        </w:tabs>
        <w:rPr>
          <w:sz w:val="20"/>
          <w:szCs w:val="20"/>
          <w:color w:val="auto"/>
        </w:rPr>
      </w:pPr>
      <w:r>
        <w:rPr>
          <w:rFonts w:ascii="Times New Roman" w:cs="Times New Roman" w:eastAsia="Times New Roman" w:hAnsi="Times New Roman"/>
          <w:sz w:val="18"/>
          <w:szCs w:val="18"/>
          <w:color w:val="auto"/>
        </w:rPr>
        <w:t>836,233</w:t>
      </w:r>
      <w:r>
        <w:rPr>
          <w:sz w:val="20"/>
          <w:szCs w:val="20"/>
          <w:color w:val="auto"/>
        </w:rPr>
        <w:tab/>
      </w:r>
      <w:r>
        <w:rPr>
          <w:rFonts w:ascii="Times New Roman" w:cs="Times New Roman" w:eastAsia="Times New Roman" w:hAnsi="Times New Roman"/>
          <w:sz w:val="18"/>
          <w:szCs w:val="18"/>
          <w:color w:val="auto"/>
        </w:rPr>
        <w:t>340,211</w:t>
      </w:r>
    </w:p>
    <w:p>
      <w:pPr>
        <w:spacing w:after="0" w:line="9" w:lineRule="exact"/>
        <w:rPr>
          <w:sz w:val="20"/>
          <w:szCs w:val="20"/>
          <w:color w:val="auto"/>
        </w:rPr>
      </w:pPr>
    </w:p>
    <w:p>
      <w:pPr>
        <w:ind w:left="100"/>
        <w:spacing w:after="0"/>
        <w:tabs>
          <w:tab w:leader="none" w:pos="1400" w:val="left"/>
        </w:tabs>
        <w:rPr>
          <w:sz w:val="20"/>
          <w:szCs w:val="20"/>
          <w:color w:val="auto"/>
        </w:rPr>
      </w:pPr>
      <w:r>
        <w:rPr>
          <w:rFonts w:ascii="Times New Roman" w:cs="Times New Roman" w:eastAsia="Times New Roman" w:hAnsi="Times New Roman"/>
          <w:sz w:val="18"/>
          <w:szCs w:val="18"/>
          <w:color w:val="auto"/>
        </w:rPr>
        <w:t>(267,271)</w:t>
      </w:r>
      <w:r>
        <w:rPr>
          <w:sz w:val="20"/>
          <w:szCs w:val="20"/>
          <w:color w:val="auto"/>
        </w:rPr>
        <w:tab/>
      </w:r>
      <w:r>
        <w:rPr>
          <w:rFonts w:ascii="Times New Roman" w:cs="Times New Roman" w:eastAsia="Times New Roman" w:hAnsi="Times New Roman"/>
          <w:sz w:val="18"/>
          <w:szCs w:val="18"/>
          <w:color w:val="auto"/>
        </w:rPr>
        <w:t>(182,479)</w:t>
      </w:r>
    </w:p>
    <w:p>
      <w:pPr>
        <w:spacing w:after="0" w:line="58"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568,962</w:t>
      </w:r>
      <w:r>
        <w:rPr>
          <w:sz w:val="20"/>
          <w:szCs w:val="20"/>
          <w:color w:val="auto"/>
        </w:rPr>
        <w:tab/>
      </w:r>
      <w:r>
        <w:rPr>
          <w:rFonts w:ascii="Times New Roman" w:cs="Times New Roman" w:eastAsia="Times New Roman" w:hAnsi="Times New Roman"/>
          <w:sz w:val="18"/>
          <w:szCs w:val="18"/>
          <w:color w:val="auto"/>
        </w:rPr>
        <w:t>157,732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43180</wp:posOffset>
            </wp:positionV>
            <wp:extent cx="156019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2">
            <w:col w:w="8480" w:space="580"/>
            <w:col w:w="2140"/>
          </w:cols>
          <w:pgMar w:left="320" w:top="900" w:right="37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248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225,283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161,947</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Taxation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80,043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71,131</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3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 assets</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166,990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161,750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 non-IFRS measure)</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600" w:type="dxa"/>
            <w:vAlign w:val="bottom"/>
            <w:vMerge w:val="continue"/>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466,737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386,124</w:t>
            </w:r>
          </w:p>
        </w:tc>
        <w:tc>
          <w:tcPr>
            <w:tcW w:w="0" w:type="dxa"/>
            <w:vAlign w:val="bottom"/>
          </w:tcPr>
          <w:p>
            <w:pPr>
              <w:spacing w:after="0"/>
              <w:rPr>
                <w:sz w:val="1"/>
                <w:szCs w:val="1"/>
                <w:color w:val="auto"/>
              </w:rPr>
            </w:pPr>
          </w:p>
        </w:tc>
      </w:tr>
      <w:tr>
        <w:trPr>
          <w:trHeight w:val="21"/>
        </w:trPr>
        <w:tc>
          <w:tcPr>
            <w:tcW w:w="860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margin</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8"/>
        </w:trPr>
        <w:tc>
          <w:tcPr>
            <w:tcW w:w="8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 non-IFRS measure)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633"/>
        </w:trPr>
        <w:tc>
          <w:tcPr>
            <w:tcW w:w="860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6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(Rand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 attributable to ordinary shareholders</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221,584</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157,481</w:t>
            </w:r>
          </w:p>
        </w:tc>
      </w:tr>
      <w:tr>
        <w:trPr>
          <w:trHeight w:val="216"/>
        </w:trPr>
        <w:tc>
          <w:tcPr>
            <w:tcW w:w="8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ordinary shares outstanding at period end (000’s) on which the per share figures have</w:t>
            </w: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been calculated</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30,899</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30,951</w:t>
            </w:r>
          </w:p>
        </w:tc>
      </w:tr>
      <w:tr>
        <w:trPr>
          <w:trHeight w:val="216"/>
        </w:trPr>
        <w:tc>
          <w:tcPr>
            <w:tcW w:w="86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earnings per share</w:t>
            </w:r>
          </w:p>
        </w:tc>
        <w:tc>
          <w:tcPr>
            <w:tcW w:w="1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7.17</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CONSTANT CURRENCY (A NON-IFRS MEASURE)</w:t>
            </w: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May 31, 2024</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constant currency information has been determined by adjusting the current financial reporting period results to the results reported for the three months ended May 31, 2023, using the average of the monthly exchange rates applicable to that period. The measurement has been performed for each of the group’s operating currencies.</w:t>
      </w:r>
    </w:p>
    <w:p>
      <w:pPr>
        <w:sectPr>
          <w:pgSz w:w="11900" w:h="16838" w:orient="portrait"/>
          <w:cols w:equalWidth="0" w:num="1">
            <w:col w:w="11240"/>
          </w:cols>
          <w:pgMar w:left="320" w:top="900"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revenue on a constant currency basis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as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impact of other currencies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on a constant currency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May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Y-o-Y</w:t>
            </w:r>
          </w:p>
        </w:tc>
        <w:tc>
          <w:tcPr>
            <w:tcW w:w="140" w:type="dxa"/>
            <w:vAlign w:val="bottom"/>
            <w:gridSpan w:val="3"/>
          </w:tcPr>
          <w:p>
            <w:pPr>
              <w:spacing w:after="0"/>
              <w:rPr>
                <w:sz w:val="17"/>
                <w:szCs w:val="17"/>
                <w:color w:val="auto"/>
              </w:rPr>
            </w:pPr>
          </w:p>
        </w:tc>
      </w:tr>
      <w:tr>
        <w:trPr>
          <w:trHeight w:val="245"/>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963,768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836,397</w:t>
            </w: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964,532</w:t>
            </w:r>
          </w:p>
        </w:tc>
        <w:tc>
          <w:tcPr>
            <w:tcW w:w="2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836,397</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2"/>
        </w:trPr>
        <w:tc>
          <w:tcPr>
            <w:tcW w:w="28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9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Y-o-Y</w:t>
            </w:r>
          </w:p>
        </w:tc>
        <w:tc>
          <w:tcPr>
            <w:tcW w:w="140" w:type="dxa"/>
            <w:vAlign w:val="bottom"/>
            <w:gridSpan w:val="3"/>
          </w:tcPr>
          <w:p>
            <w:pPr>
              <w:spacing w:after="0"/>
              <w:rPr>
                <w:sz w:val="16"/>
                <w:szCs w:val="16"/>
                <w:color w:val="auto"/>
              </w:rPr>
            </w:pPr>
          </w:p>
        </w:tc>
      </w:tr>
      <w:tr>
        <w:trPr>
          <w:trHeight w:val="245"/>
        </w:trPr>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8"/>
        </w:trPr>
        <w:tc>
          <w:tcPr>
            <w:tcW w:w="2440" w:type="dxa"/>
            <w:vAlign w:val="bottom"/>
            <w:gridSpan w:val="3"/>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(Rand Thousands)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1,081,825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996,787</w:t>
            </w: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1,082,598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996,787</w:t>
            </w: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-2125345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-1833880</wp:posOffset>
            </wp:positionV>
            <wp:extent cx="71323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-496570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-205105</wp:posOffset>
            </wp:positionV>
            <wp:extent cx="7132320" cy="179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Earnings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(a non-IFRS measure) is defined as, earnings per share defined by IFRS excluding the impact of non-recurring operational expenses, if 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Margin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Annualized Recurring Revenue (SaaS ARR)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Revenue per Subscriber per month (ARPU)</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 xml:space="preserve">Cartrack Holdings </w:t>
      </w:r>
      <w:r>
        <w:rPr>
          <w:rFonts w:ascii="Times New Roman" w:cs="Times New Roman" w:eastAsia="Times New Roman" w:hAnsi="Times New Roman"/>
          <w:sz w:val="18"/>
          <w:szCs w:val="18"/>
          <w:color w:val="auto"/>
        </w:rPr>
        <w:t>(“Cartrack”)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earnings per share in accordance with IFRS.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 and Adjusted Free Cash Flow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of 40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 of revenue growth and operating margin for a period of 12-months sum to greater than 40.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 economics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are non-IFRS financial measures that are used as reference of Cartrack’s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Lifetime value (LTV of a Customer) of customer relationships to customer acquisition costs (CAC)</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Lifetime value (LTV of a Subscriber), cost of acquiring a subscriber (CAS) and </w:t>
      </w:r>
      <w:r>
        <w:rPr>
          <w:rFonts w:ascii="Times New Roman" w:cs="Times New Roman" w:eastAsia="Times New Roman" w:hAnsi="Times New Roman"/>
          <w:sz w:val="18"/>
          <w:szCs w:val="18"/>
          <w:color w:val="auto"/>
        </w:rPr>
        <w:t>cost of servicing a subscriber (CSS)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our latest Annual Report on Form 20-F filed with the U.S. Securities and Exchange Commission.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31" w:lineRule="auto"/>
        <w:rPr>
          <w:sz w:val="20"/>
          <w:szCs w:val="20"/>
          <w:color w:val="auto"/>
        </w:rPr>
      </w:pPr>
      <w:r>
        <w:rPr>
          <w:rFonts w:ascii="Times New Roman" w:cs="Times New Roman" w:eastAsia="Times New Roman" w:hAnsi="Times New Roman"/>
          <w:sz w:val="18"/>
          <w:szCs w:val="18"/>
          <w:color w:val="auto"/>
        </w:rPr>
        <w:t>our business operations. Solely for convenience, trademarks and trade names referred to in this announcement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2024-07-18T15:55:58Z</dcterms:created>
  <dcterms:modified xsi:type="dcterms:W3CDTF">2024-07-18T15:55:58Z</dcterms:modified>
</cp:coreProperties>
</file>