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ind w:left="0" w:right="0" w:hanging="0"/>
        <w:jc w:val="left"/>
        <w:rPr>
          <w:bdr w:val="single" w:sz="16" w:space="1" w:color="000000"/>
        </w:rPr>
      </w:pPr>
      <w:bookmarkStart w:id="0" w:name="ea0290541-6k_karooooo.htm"/>
      <w:bookmarkStart w:id="1" w:name="ksea02905416k_karooooo"/>
      <w:bookmarkEnd w:id="0"/>
      <w:bookmarkEnd w:id="1"/>
      <w:r>
        <w:rPr>
          <w:bdr w:val="single" w:sz="16"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UNITED STATES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SECURITIES AND EXCHANGE COMMISSION</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Washington, D.C. 20549</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FORM 6-K</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REPORT OF FOREIGN PRIVATE ISSUER PURSUANT TO RULE 13a-16 OR 15d-16 UNDER THE</w:t>
        <w:br/>
        <w:t>SECURITIES EXCHANGE ACT OF 1934</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month of May, 2026</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Commission File Number: 001-40300</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KAROOOOO LTD.</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(Exact name of registrant as specified in its charter)</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 Harbourfront Avenue</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Keppel Bay Tower #14-07</w:t>
        <w:br/>
        <w:t>Singapore 098632</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+65 6255 4151</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(Address of principal executive office)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files or will file annual reports under cover of Form 20-F or Form 40-F:</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Form 20-F  ☒           Form 40-F  ☐</w:t>
      </w:r>
    </w:p>
    <w:p>
      <w:pPr>
        <w:pStyle w:val="TextBody"/>
        <w:bidi w:val="0"/>
        <w:spacing w:before="0" w:after="0"/>
        <w:ind w:left="0" w:right="0" w:hanging="0"/>
        <w:jc w:val="center"/>
        <w:rPr>
          <w:caps w:val="false"/>
          <w:smallCaps w:val="false"/>
        </w:rPr>
      </w:pPr>
      <w:r>
        <w:rPr>
          <w:caps w:val="false"/>
          <w:smallCaps w:val="false"/>
        </w:rPr>
        <w:t> </w:t>
      </w:r>
    </w:p>
    <w:p>
      <w:pPr>
        <w:pStyle w:val="TextBody"/>
        <w:bidi w:val="0"/>
        <w:jc w:val="left"/>
        <w:rPr>
          <w:bdr w:val="single" w:sz="8" w:space="1" w:color="000000"/>
        </w:rPr>
      </w:pPr>
      <w:r>
        <w:rPr>
          <w:bdr w:val="single" w:sz="8"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the registrant has duly caused this report to be signed on its behalf by the undersigned, thereunto duly authorized.</w:t>
      </w:r>
    </w:p>
    <w:p>
      <w:pPr>
        <w:pStyle w:val="TextBody"/>
        <w:bidi w:val="0"/>
        <w:spacing w:before="0" w:after="0"/>
        <w:ind w:left="0" w:right="0" w:firstLine="360"/>
        <w:jc w:val="left"/>
        <w:rPr>
          <w:caps w:val="false"/>
          <w:smallCaps w:val="false"/>
        </w:rPr>
      </w:pPr>
      <w:r>
        <w:rPr>
          <w:caps w:val="false"/>
          <w:smallCaps w:val="false"/>
        </w:rPr>
        <w:t> </w:t>
      </w:r>
    </w:p>
    <w:tbl>
      <w:tblPr>
        <w:tblW w:w="2970" w:type="dxa"/>
        <w:jc w:val="left"/>
        <w:tblInd w:w="0" w:type="dxa"/>
        <w:tblLayout w:type="fixed"/>
        <w:tblCellMar>
          <w:top w:w="0" w:type="dxa"/>
          <w:left w:w="0" w:type="dxa"/>
          <w:bottom w:w="0" w:type="dxa"/>
          <w:right w:w="0" w:type="dxa"/>
        </w:tblCellMar>
      </w:tblPr>
      <w:tblGrid>
        <w:gridCol w:w="75"/>
        <w:gridCol w:w="320"/>
        <w:gridCol w:w="590"/>
        <w:gridCol w:w="1985"/>
      </w:tblGrid>
      <w:tr>
        <w:trPr/>
        <w:tc>
          <w:tcPr>
            <w:tcW w:w="75" w:type="dxa"/>
            <w:tcBorders/>
            <w:vAlign w:val="center"/>
          </w:tcPr>
          <w:p>
            <w:pPr>
              <w:pStyle w:val="TableContents"/>
              <w:bidi w:val="0"/>
              <w:spacing w:before="0" w:after="283"/>
              <w:jc w:val="left"/>
              <w:rPr/>
            </w:pPr>
            <w:r>
              <w:rPr/>
              <w:t> </w:t>
            </w:r>
          </w:p>
        </w:tc>
        <w:tc>
          <w:tcPr>
            <w:tcW w:w="2895" w:type="dxa"/>
            <w:gridSpan w:val="3"/>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Karooooo Ltd.</w:t>
            </w:r>
          </w:p>
        </w:tc>
      </w:tr>
      <w:tr>
        <w:trPr/>
        <w:tc>
          <w:tcPr>
            <w:tcW w:w="75" w:type="dxa"/>
            <w:tcBorders/>
            <w:vAlign w:val="center"/>
          </w:tcPr>
          <w:p>
            <w:pPr>
              <w:pStyle w:val="TableContents"/>
              <w:bidi w:val="0"/>
              <w:spacing w:before="0" w:after="283"/>
              <w:jc w:val="left"/>
              <w:rPr/>
            </w:pPr>
            <w:r>
              <w:rPr/>
              <w:t> </w:t>
            </w:r>
          </w:p>
        </w:tc>
        <w:tc>
          <w:tcPr>
            <w:tcW w:w="2895" w:type="dxa"/>
            <w:gridSpan w:val="3"/>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2575" w:type="dxa"/>
            <w:gridSpan w:val="2"/>
            <w:tcBorders>
              <w:bottom w:val="single" w:sz="12" w:space="0" w:color="000000"/>
            </w:tcBorders>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 Isaias (Zak) Jose Calisto</w:t>
            </w:r>
          </w:p>
        </w:tc>
      </w:tr>
      <w:tr>
        <w:trPr/>
        <w:tc>
          <w:tcPr>
            <w:tcW w:w="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Name: </w:t>
            </w:r>
          </w:p>
        </w:tc>
        <w:tc>
          <w:tcPr>
            <w:tcW w:w="198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Isaias (Zak) Jose Calisto</w:t>
            </w:r>
          </w:p>
        </w:tc>
      </w:tr>
      <w:tr>
        <w:trPr/>
        <w:tc>
          <w:tcPr>
            <w:tcW w:w="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Title:</w:t>
            </w:r>
          </w:p>
        </w:tc>
        <w:tc>
          <w:tcPr>
            <w:tcW w:w="198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Chief Executive Officer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 May 13, 2026</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INDEX</w:t>
      </w:r>
    </w:p>
    <w:p>
      <w:pPr>
        <w:pStyle w:val="TextBody"/>
        <w:bidi w:val="0"/>
        <w:spacing w:before="0" w:after="0"/>
        <w:ind w:left="0" w:right="0" w:hanging="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995"/>
        <w:gridCol w:w="60"/>
        <w:gridCol w:w="9150"/>
      </w:tblGrid>
      <w:tr>
        <w:trPr/>
        <w:tc>
          <w:tcPr>
            <w:tcW w:w="995" w:type="dxa"/>
            <w:tcBorders>
              <w:bottom w:val="single" w:sz="12" w:space="0" w:color="000000"/>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Exhibit No.</w:t>
            </w:r>
          </w:p>
        </w:tc>
        <w:tc>
          <w:tcPr>
            <w:tcW w:w="60" w:type="dxa"/>
            <w:tcBorders/>
            <w:tcMar>
              <w:bottom w:w="0" w:type="dxa"/>
            </w:tcMar>
            <w:vAlign w:val="center"/>
          </w:tcPr>
          <w:p>
            <w:pPr>
              <w:pStyle w:val="TableContents"/>
              <w:bidi w:val="0"/>
              <w:spacing w:before="0" w:after="283"/>
              <w:jc w:val="left"/>
              <w:rPr/>
            </w:pPr>
            <w:r>
              <w:rPr/>
              <w:t> </w:t>
            </w:r>
          </w:p>
        </w:tc>
        <w:tc>
          <w:tcPr>
            <w:tcW w:w="9150" w:type="dxa"/>
            <w:tcBorders>
              <w:bottom w:val="single" w:sz="12"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Description</w:t>
            </w:r>
          </w:p>
        </w:tc>
      </w:tr>
      <w:tr>
        <w:trPr/>
        <w:tc>
          <w:tcPr>
            <w:tcW w:w="995"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99.1</w:t>
            </w:r>
          </w:p>
        </w:tc>
        <w:tc>
          <w:tcPr>
            <w:tcW w:w="60" w:type="dxa"/>
            <w:tcBorders/>
            <w:shd w:fill="CCEEFF" w:val="clear"/>
            <w:tcMar>
              <w:bottom w:w="0" w:type="dxa"/>
            </w:tcMar>
            <w:vAlign w:val="center"/>
          </w:tcPr>
          <w:p>
            <w:pPr>
              <w:pStyle w:val="TableContents"/>
              <w:bidi w:val="0"/>
              <w:spacing w:before="0" w:after="283"/>
              <w:jc w:val="left"/>
              <w:rPr/>
            </w:pPr>
            <w:r>
              <w:rPr/>
              <w:t> </w:t>
            </w:r>
          </w:p>
        </w:tc>
        <w:tc>
          <w:tcPr>
            <w:tcW w:w="9150" w:type="dxa"/>
            <w:tcBorders/>
            <w:shd w:fill="CCEEFF" w:val="clear"/>
            <w:tcMar>
              <w:bottom w:w="0" w:type="dxa"/>
            </w:tcMar>
            <w:vAlign w:val="center"/>
          </w:tcPr>
          <w:p>
            <w:pPr>
              <w:pStyle w:val="TableContents"/>
              <w:bidi w:val="0"/>
              <w:spacing w:before="0" w:after="283"/>
              <w:jc w:val="both"/>
              <w:rPr/>
            </w:pPr>
            <w:hyperlink w:anchor="ea029054101ex99-1.htm">
              <w:r>
                <w:rPr>
                  <w:rStyle w:val="InternetLink"/>
                  <w:rFonts w:ascii="Times New Roman;Times;Serif" w:hAnsi="Times New Roman;Times;Serif"/>
                  <w:sz w:val="20"/>
                </w:rPr>
                <w:t>Press release dated May 13, 2026 - Karooooo Ltd. Announces Fourth Quarter and full year FY 2026 Unaudited Financial Results</w:t>
              </w:r>
            </w:hyperlink>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w:t>
      </w:r>
    </w:p>
    <w:p>
      <w:pPr>
        <w:pStyle w:val="TextBody"/>
        <w:bidi w:val="0"/>
        <w:spacing w:before="0" w:after="0"/>
        <w:ind w:left="0" w:right="0" w:hanging="0"/>
        <w:jc w:val="right"/>
        <w:rPr>
          <w:rFonts w:ascii="Times New Roman;Times;Serif" w:hAnsi="Times New Roman;Times;Serif"/>
          <w:b/>
          <w:i w:val="false"/>
          <w:caps w:val="false"/>
          <w:smallCaps w:val="false"/>
          <w:sz w:val="20"/>
        </w:rPr>
      </w:pPr>
      <w:bookmarkStart w:id="2" w:name="ea029054101ex99-1.htm"/>
      <w:bookmarkStart w:id="3" w:name="ksea029054101ex991"/>
      <w:bookmarkEnd w:id="2"/>
      <w:bookmarkEnd w:id="3"/>
      <w:r>
        <w:rPr>
          <w:rFonts w:ascii="Times New Roman;Times;Serif" w:hAnsi="Times New Roman;Times;Serif"/>
          <w:b/>
          <w:i w:val="false"/>
          <w:caps w:val="false"/>
          <w:smallCaps w:val="false"/>
          <w:sz w:val="20"/>
        </w:rPr>
        <w:t>Exhibit 99.1</w:t>
      </w:r>
      <w:r>
        <w:br w:type="page"/>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drawing>
          <wp:inline distT="0" distB="0" distL="0" distR="0">
            <wp:extent cx="1257300" cy="6096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257300" cy="609600"/>
                    </a:xfrm>
                    <a:prstGeom prst="rect">
                      <a:avLst/>
                    </a:prstGeom>
                  </pic:spPr>
                </pic:pic>
              </a:graphicData>
            </a:graphic>
          </wp:inline>
        </w:drawing>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t xml:space="preserve">● </w:t>
      </w:r>
      <w:r>
        <w:rPr>
          <w:rFonts w:ascii="Times New Roman;Times;Serif" w:hAnsi="Times New Roman;Times;Serif"/>
          <w:b w:val="false"/>
          <w:i w:val="false"/>
          <w:caps w:val="false"/>
          <w:smallCaps w:val="false"/>
          <w:sz w:val="20"/>
        </w:rPr>
        <w:t>Delivered record Subscription Revenue, Operating Income and Adjusted EPS in line with FY 2026 outlook</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t xml:space="preserve">● </w:t>
      </w:r>
      <w:r>
        <w:rPr>
          <w:rFonts w:ascii="Times New Roman;Times;Serif" w:hAnsi="Times New Roman;Times;Serif"/>
          <w:b w:val="false"/>
          <w:i w:val="false"/>
          <w:caps w:val="false"/>
          <w:smallCaps w:val="false"/>
          <w:sz w:val="20"/>
        </w:rPr>
        <w:t>Q4 Cartrack South Africa Subscription Revenue growth accelerated to 22% Y/Y</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t xml:space="preserve">● </w:t>
      </w:r>
      <w:r>
        <w:rPr>
          <w:rFonts w:ascii="Times New Roman;Times;Serif" w:hAnsi="Times New Roman;Times;Serif"/>
          <w:b w:val="false"/>
          <w:i w:val="false"/>
          <w:caps w:val="false"/>
          <w:smallCaps w:val="false"/>
          <w:sz w:val="20"/>
        </w:rPr>
        <w:t>Q4 Cartrack SaaS ARR increased 18% Y/Y reaching ZAR5,179 million and 38% in USD equivalent</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t xml:space="preserve">● </w:t>
      </w:r>
      <w:r>
        <w:rPr>
          <w:rFonts w:ascii="Times New Roman;Times;Serif" w:hAnsi="Times New Roman;Times;Serif"/>
          <w:b w:val="false"/>
          <w:i w:val="false"/>
          <w:caps w:val="false"/>
          <w:smallCaps w:val="false"/>
          <w:sz w:val="20"/>
        </w:rPr>
        <w:t>FY 2026 Adjusted EPS increased 3% Y/Y to ZAR32.55 and 20% to USD2.05 in USD equivalent</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t xml:space="preserve">● </w:t>
      </w:r>
      <w:r>
        <w:rPr>
          <w:rFonts w:ascii="Times New Roman;Times;Serif" w:hAnsi="Times New Roman;Times;Serif"/>
          <w:b w:val="false"/>
          <w:i w:val="false"/>
          <w:caps w:val="false"/>
          <w:smallCaps w:val="false"/>
          <w:sz w:val="20"/>
        </w:rPr>
        <w:t>FY 2026 Adjusted Free Cash Flow increased 90% Y/Y to ZAR809 million</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t xml:space="preserve">● </w:t>
      </w:r>
      <w:r>
        <w:rPr>
          <w:rFonts w:ascii="Times New Roman;Times;Serif" w:hAnsi="Times New Roman;Times;Serif"/>
          <w:b w:val="false"/>
          <w:i w:val="false"/>
          <w:caps w:val="false"/>
          <w:smallCaps w:val="false"/>
          <w:sz w:val="20"/>
        </w:rPr>
        <w:t>FY 2027 outlook: Cartrack Subscription Revenue growth to accelerate, with EPS growth of 21% Y/Y at midpoint</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t xml:space="preserve">● </w:t>
      </w:r>
      <w:r>
        <w:rPr>
          <w:rFonts w:ascii="Times New Roman;Times;Serif" w:hAnsi="Times New Roman;Times;Serif"/>
          <w:b w:val="false"/>
          <w:i w:val="false"/>
          <w:caps w:val="false"/>
          <w:smallCaps w:val="false"/>
          <w:sz w:val="20"/>
        </w:rPr>
        <w:t>Declared a USD1.50 dividend per share payable in July 2026, an increase of 20% Y/Y</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SINGAPORE (May 13, 2026) - Karooooo Limited (“Karooooo”) reported record results for the fourth quarter (“Q4 2026”) and year ended February 28, 2026 (“FY 2026”). Karooooo owns 100% of Cartrack and 81% of Karooooo Logistics, (collectively, “the group”).</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FY 2026 was another year of strong execution. Despite the stronger ZAR, Cartrack accelerated subscription revenue growth to 19%, up from 15% in the prior year. Our ARR increased 18% to ZAR5,179 million and 38% to USD325 million.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Importantly, Cartrack subscription revenue growth in South Africa accelerated meaningfully, and we ended the year with South Africa ARR growing at 23%,” said Zak Calisto, Group CEO of Karooooo.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During the year, we continued to invest in our distribution network to support accelerated growth and are seeing good early-stage results. Our continued development and product initiatives further strengthened our differentiated value proposition with an enhanced platform, further AI-powered video capabilities and we commercially launched Cartrack-Tag. In FY 2027, we aim to accelerate subscription revenue growth once again while delivering strong EPS growth. Despite providing a contracting gross profit margin outlook for FY 2027, our mid-point outlook for EPS growth in FY 2027 is 21% when compared to our FY 2026 EPS excluding the secondary offering costs.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envisage a slow-down in hiring in FY 2027 while we drive sales force efficiency and AI adoption.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enter FY 2027 with operating strength and remain confident in our ability to drive durable, profitable growth across our geographies. We continue to see that our strong owner-oriented culture, vertically-integrated business model, continued innovation, and financial discipline drive our successful customer-centric execution.”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Fourth Quarter 2026 Financial Overview (Unaudited)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Highlights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(Comparisons are relative to Q4 2025, unless otherwise stated.)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SCALE</w:t>
      </w:r>
    </w:p>
    <w:p>
      <w:pPr>
        <w:pStyle w:val="TextBody"/>
        <w:bidi w:val="0"/>
        <w:spacing w:before="0" w:after="0"/>
        <w:ind w:left="0" w:right="0" w:hanging="0"/>
        <w:jc w:val="both"/>
        <w:rPr>
          <w:caps w:val="false"/>
          <w:smallCaps w:val="false"/>
        </w:rPr>
      </w:pPr>
      <w:r>
        <w:rPr>
          <w:caps w:val="false"/>
          <w:smallCaps w:val="false"/>
        </w:rPr>
        <w:t> </w:t>
      </w:r>
    </w:p>
    <w:tbl>
      <w:tblPr>
        <w:tblW w:w="6175" w:type="dxa"/>
        <w:jc w:val="left"/>
        <w:tblInd w:w="0" w:type="dxa"/>
        <w:tblLayout w:type="fixed"/>
        <w:tblCellMar>
          <w:top w:w="0" w:type="dxa"/>
          <w:left w:w="0" w:type="dxa"/>
          <w:bottom w:w="0" w:type="dxa"/>
          <w:right w:w="0" w:type="dxa"/>
        </w:tblCellMar>
      </w:tblPr>
      <w:tblGrid>
        <w:gridCol w:w="75"/>
        <w:gridCol w:w="170"/>
        <w:gridCol w:w="593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593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b/>
                <w:sz w:val="20"/>
              </w:rPr>
              <w:t>Cartrack subscribers</w:t>
            </w:r>
            <w:r>
              <w:rPr>
                <w:rFonts w:ascii="Times New Roman;Times;Serif" w:hAnsi="Times New Roman;Times;Serif"/>
                <w:sz w:val="20"/>
              </w:rPr>
              <w:t xml:space="preserve"> increased 16% to 2,662,222 (Q4 2025: 2,302,236)</w:t>
            </w:r>
          </w:p>
        </w:tc>
      </w:tr>
    </w:tbl>
    <w:p>
      <w:pPr>
        <w:pStyle w:val="TextBody"/>
        <w:bidi w:val="0"/>
        <w:spacing w:before="0" w:after="0"/>
        <w:ind w:left="0" w:right="0" w:hanging="0"/>
        <w:jc w:val="both"/>
        <w:rPr>
          <w:caps w:val="false"/>
          <w:smallCaps w:val="false"/>
        </w:rPr>
      </w:pPr>
      <w:r>
        <w:rPr>
          <w:caps w:val="false"/>
          <w:smallCaps w:val="false"/>
        </w:rPr>
        <w:t> </w:t>
      </w:r>
    </w:p>
    <w:tbl>
      <w:tblPr>
        <w:tblW w:w="8800" w:type="dxa"/>
        <w:jc w:val="left"/>
        <w:tblInd w:w="0" w:type="dxa"/>
        <w:tblLayout w:type="fixed"/>
        <w:tblCellMar>
          <w:top w:w="0" w:type="dxa"/>
          <w:left w:w="0" w:type="dxa"/>
          <w:bottom w:w="0" w:type="dxa"/>
          <w:right w:w="0" w:type="dxa"/>
        </w:tblCellMar>
      </w:tblPr>
      <w:tblGrid>
        <w:gridCol w:w="75"/>
        <w:gridCol w:w="170"/>
        <w:gridCol w:w="855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855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b/>
                <w:sz w:val="20"/>
              </w:rPr>
              <w:t>Net Cartrack subscriber additions</w:t>
            </w:r>
            <w:r>
              <w:rPr>
                <w:rFonts w:ascii="Times New Roman;Times;Serif" w:hAnsi="Times New Roman;Times;Serif"/>
                <w:sz w:val="20"/>
              </w:rPr>
              <w:t xml:space="preserve"> increased 19% to a fourth quarter record of 93,755 (Q4 2025: 79,009)</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GROWTH</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b/>
                <w:sz w:val="20"/>
              </w:rPr>
              <w:t>Karooooo’s subscription revenue</w:t>
            </w:r>
            <w:r>
              <w:rPr>
                <w:rFonts w:ascii="Times New Roman;Times;Serif" w:hAnsi="Times New Roman;Times;Serif"/>
                <w:sz w:val="20"/>
              </w:rPr>
              <w:t xml:space="preserve"> increased 18% to ZAR1,281 million (Q4 2025: ZAR1,086 million)</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pPr>
            <w:r>
              <w:rPr>
                <w:b/>
              </w:rPr>
              <w:t>Cartrack’s subscription revenue</w:t>
            </w:r>
            <w:r>
              <w:rPr/>
              <w:t xml:space="preserve"> increased 18% to ZAR1,278 million (Q4 2025: ZAR1,084 million)</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left"/>
              <w:rPr/>
            </w:pPr>
            <w:r>
              <w:rPr>
                <w:b/>
              </w:rPr>
              <w:t>Cartrack’s SaaS annualized recurring revenue</w:t>
            </w:r>
            <w:r>
              <w:rPr/>
              <w:t xml:space="preserve"> (“ARR”) increased 18% to ZAR5,179 million (Q4 2025: ZAR4,384 million)</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left"/>
              <w:rPr/>
            </w:pPr>
            <w:r>
              <w:rPr>
                <w:b/>
              </w:rPr>
              <w:t>Karooooo Logistics’s B2B delivery-as-a-service (“DaaS”) revenue</w:t>
            </w:r>
            <w:r>
              <w:rPr/>
              <w:t xml:space="preserve"> increased 32% to ZAR145 million (Q4 2025: ZAR110 million)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Presented in the U.S. Dollar Equivalent</w:t>
      </w:r>
      <w:r>
        <w:rPr>
          <w:rFonts w:ascii="Times New Roman;Times;Serif" w:hAnsi="Times New Roman;Times;Serif"/>
          <w:b/>
          <w:i/>
          <w:caps w:val="false"/>
          <w:smallCaps w:val="false"/>
          <w:position w:val="7"/>
          <w:sz w:val="16"/>
          <w:sz w:val="20"/>
        </w:rPr>
        <w:t>1</w:t>
      </w:r>
    </w:p>
    <w:p>
      <w:pPr>
        <w:pStyle w:val="TextBody"/>
        <w:bidi w:val="0"/>
        <w:spacing w:before="0" w:after="0"/>
        <w:ind w:left="0" w:right="0" w:hanging="0"/>
        <w:jc w:val="left"/>
        <w:rPr>
          <w:caps w:val="false"/>
          <w:smallCaps w:val="false"/>
        </w:rPr>
      </w:pPr>
      <w:r>
        <w:rPr>
          <w:caps w:val="false"/>
          <w:smallCaps w:val="false"/>
        </w:rPr>
        <w:t> </w:t>
      </w:r>
    </w:p>
    <w:tbl>
      <w:tblPr>
        <w:tblW w:w="5890" w:type="dxa"/>
        <w:jc w:val="left"/>
        <w:tblInd w:w="0" w:type="dxa"/>
        <w:tblLayout w:type="fixed"/>
        <w:tblCellMar>
          <w:top w:w="0" w:type="dxa"/>
          <w:left w:w="0" w:type="dxa"/>
          <w:bottom w:w="0" w:type="dxa"/>
          <w:right w:w="0" w:type="dxa"/>
        </w:tblCellMar>
      </w:tblPr>
      <w:tblGrid>
        <w:gridCol w:w="75"/>
        <w:gridCol w:w="170"/>
        <w:gridCol w:w="564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56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b/>
                <w:sz w:val="20"/>
              </w:rPr>
              <w:t>Karooooo’s subscription revenue</w:t>
            </w:r>
            <w:r>
              <w:rPr>
                <w:rFonts w:ascii="Times New Roman;Times;Serif" w:hAnsi="Times New Roman;Times;Serif"/>
                <w:sz w:val="20"/>
              </w:rPr>
              <w:t xml:space="preserve"> increased 38% to USD81 million. </w:t>
            </w:r>
          </w:p>
        </w:tc>
      </w:tr>
    </w:tbl>
    <w:p>
      <w:pPr>
        <w:pStyle w:val="TextBody"/>
        <w:bidi w:val="0"/>
        <w:spacing w:before="0" w:after="0"/>
        <w:ind w:left="0" w:right="0" w:hanging="0"/>
        <w:jc w:val="left"/>
        <w:rPr>
          <w:caps w:val="false"/>
          <w:smallCaps w:val="false"/>
        </w:rPr>
      </w:pPr>
      <w:r>
        <w:rPr>
          <w:caps w:val="false"/>
          <w:smallCaps w:val="false"/>
        </w:rPr>
        <w:t> </w:t>
      </w:r>
    </w:p>
    <w:tbl>
      <w:tblPr>
        <w:tblW w:w="6940" w:type="dxa"/>
        <w:jc w:val="left"/>
        <w:tblInd w:w="0" w:type="dxa"/>
        <w:tblLayout w:type="fixed"/>
        <w:tblCellMar>
          <w:top w:w="0" w:type="dxa"/>
          <w:left w:w="0" w:type="dxa"/>
          <w:bottom w:w="0" w:type="dxa"/>
          <w:right w:w="0" w:type="dxa"/>
        </w:tblCellMar>
      </w:tblPr>
      <w:tblGrid>
        <w:gridCol w:w="75"/>
        <w:gridCol w:w="170"/>
        <w:gridCol w:w="669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6695" w:type="dxa"/>
            <w:tcBorders/>
            <w:vAlign w:val="center"/>
          </w:tcPr>
          <w:p>
            <w:pPr>
              <w:pStyle w:val="TableContents"/>
              <w:bidi w:val="0"/>
              <w:spacing w:before="0" w:after="283"/>
              <w:jc w:val="left"/>
              <w:rPr/>
            </w:pPr>
            <w:r>
              <w:rPr>
                <w:b/>
              </w:rPr>
              <w:t>Cartrack’s subscription revenue</w:t>
            </w:r>
            <w:r>
              <w:rPr/>
              <w:t xml:space="preserve"> increased 38% to USD80 million.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669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6695" w:type="dxa"/>
            <w:tcBorders/>
            <w:vAlign w:val="center"/>
          </w:tcPr>
          <w:p>
            <w:pPr>
              <w:pStyle w:val="TableContents"/>
              <w:bidi w:val="0"/>
              <w:spacing w:before="0" w:after="283"/>
              <w:jc w:val="left"/>
              <w:rPr/>
            </w:pPr>
            <w:r>
              <w:rPr>
                <w:b/>
              </w:rPr>
              <w:t>Cartrack’s SaaS ARR</w:t>
            </w:r>
            <w:r>
              <w:rPr/>
              <w:t xml:space="preserve"> increased 38% to USD325 million.</w:t>
            </w:r>
          </w:p>
        </w:tc>
      </w:tr>
    </w:tbl>
    <w:p>
      <w:pPr>
        <w:pStyle w:val="TextBody"/>
        <w:bidi w:val="0"/>
        <w:spacing w:before="0" w:after="0"/>
        <w:ind w:left="0" w:right="0" w:hanging="0"/>
        <w:jc w:val="left"/>
        <w:rPr>
          <w:caps w:val="false"/>
          <w:smallCaps w:val="false"/>
        </w:rPr>
      </w:pPr>
      <w:r>
        <w:rPr>
          <w:caps w:val="false"/>
          <w:smallCaps w:val="false"/>
        </w:rPr>
        <w:t> </w:t>
      </w:r>
    </w:p>
    <w:tbl>
      <w:tblPr>
        <w:tblW w:w="5935" w:type="dxa"/>
        <w:jc w:val="left"/>
        <w:tblInd w:w="0" w:type="dxa"/>
        <w:tblLayout w:type="fixed"/>
        <w:tblCellMar>
          <w:top w:w="0" w:type="dxa"/>
          <w:left w:w="0" w:type="dxa"/>
          <w:bottom w:w="0" w:type="dxa"/>
          <w:right w:w="0" w:type="dxa"/>
        </w:tblCellMar>
      </w:tblPr>
      <w:tblGrid>
        <w:gridCol w:w="75"/>
        <w:gridCol w:w="170"/>
        <w:gridCol w:w="569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5690" w:type="dxa"/>
            <w:tcBorders/>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Karooooo Logistics’s DaaS</w:t>
            </w:r>
            <w:r>
              <w:rPr>
                <w:rFonts w:ascii="Times New Roman;Times;Serif" w:hAnsi="Times New Roman;Times;Serif"/>
                <w:b w:val="false"/>
                <w:i w:val="false"/>
                <w:caps w:val="false"/>
                <w:smallCaps w:val="false"/>
                <w:sz w:val="20"/>
              </w:rPr>
              <w:t xml:space="preserve"> revenue increased 54% to USD9 million.</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PROFITABILITY</w:t>
      </w:r>
    </w:p>
    <w:p>
      <w:pPr>
        <w:pStyle w:val="TextBody"/>
        <w:bidi w:val="0"/>
        <w:spacing w:before="0" w:after="0"/>
        <w:ind w:left="0" w:right="0" w:hanging="0"/>
        <w:jc w:val="both"/>
        <w:rPr>
          <w:caps w:val="false"/>
          <w:smallCaps w:val="false"/>
        </w:rPr>
      </w:pPr>
      <w:r>
        <w:rPr>
          <w:caps w:val="false"/>
          <w:smallCaps w:val="false"/>
        </w:rPr>
        <w:t> </w:t>
      </w:r>
    </w:p>
    <w:tbl>
      <w:tblPr>
        <w:tblW w:w="7915" w:type="dxa"/>
        <w:jc w:val="left"/>
        <w:tblInd w:w="0" w:type="dxa"/>
        <w:tblLayout w:type="fixed"/>
        <w:tblCellMar>
          <w:top w:w="0" w:type="dxa"/>
          <w:left w:w="0" w:type="dxa"/>
          <w:bottom w:w="0" w:type="dxa"/>
          <w:right w:w="0" w:type="dxa"/>
        </w:tblCellMar>
      </w:tblPr>
      <w:tblGrid>
        <w:gridCol w:w="75"/>
        <w:gridCol w:w="170"/>
        <w:gridCol w:w="767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767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b/>
                <w:sz w:val="20"/>
              </w:rPr>
              <w:t>Karooooo’s operating profit</w:t>
            </w:r>
            <w:r>
              <w:rPr>
                <w:rFonts w:ascii="Times New Roman;Times;Serif" w:hAnsi="Times New Roman;Times;Serif"/>
                <w:sz w:val="20"/>
              </w:rPr>
              <w:t xml:space="preserve"> decreased 12% to ZAR338 million (Q4 2025: ZAR385 million).</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7670"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7670" w:type="dxa"/>
            <w:tcBorders/>
            <w:vAlign w:val="center"/>
          </w:tcPr>
          <w:p>
            <w:pPr>
              <w:pStyle w:val="TableContents"/>
              <w:bidi w:val="0"/>
              <w:spacing w:before="0" w:after="283"/>
              <w:jc w:val="left"/>
              <w:rPr>
                <w:sz w:val="20"/>
              </w:rPr>
            </w:pPr>
            <w:r>
              <w:rPr>
                <w:b/>
                <w:sz w:val="20"/>
              </w:rPr>
              <w:t>Cartrack’s operating profit</w:t>
            </w:r>
            <w:r>
              <w:rPr>
                <w:sz w:val="20"/>
              </w:rPr>
              <w:t xml:space="preserve"> decreased 14% to ZAR324 million (Q4 2025: ZAR377 million).</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7670"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7670" w:type="dxa"/>
            <w:tcBorders/>
            <w:vAlign w:val="center"/>
          </w:tcPr>
          <w:p>
            <w:pPr>
              <w:pStyle w:val="TableContents"/>
              <w:bidi w:val="0"/>
              <w:spacing w:before="0" w:after="283"/>
              <w:jc w:val="left"/>
              <w:rPr>
                <w:sz w:val="20"/>
              </w:rPr>
            </w:pPr>
            <w:r>
              <w:rPr>
                <w:b/>
                <w:sz w:val="20"/>
              </w:rPr>
              <w:t>Cartrack’s operating profit margin</w:t>
            </w:r>
            <w:r>
              <w:rPr>
                <w:sz w:val="20"/>
              </w:rPr>
              <w:t xml:space="preserve"> was 25% (Q4 2025: 34%).</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7670"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7670" w:type="dxa"/>
            <w:tcBorders/>
            <w:vAlign w:val="center"/>
          </w:tcPr>
          <w:p>
            <w:pPr>
              <w:pStyle w:val="TableContents"/>
              <w:bidi w:val="0"/>
              <w:spacing w:before="0" w:after="283"/>
              <w:jc w:val="left"/>
              <w:rPr>
                <w:sz w:val="20"/>
              </w:rPr>
            </w:pPr>
            <w:r>
              <w:rPr>
                <w:b/>
                <w:sz w:val="20"/>
              </w:rPr>
              <w:t>Karooooo’s earnings per share</w:t>
            </w:r>
            <w:r>
              <w:rPr>
                <w:sz w:val="20"/>
              </w:rPr>
              <w:t xml:space="preserve"> decreased 11% to ZAR7.19 (Q4 2025: ZAR8.11).</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7670"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7670" w:type="dxa"/>
            <w:tcBorders/>
            <w:vAlign w:val="center"/>
          </w:tcPr>
          <w:p>
            <w:pPr>
              <w:pStyle w:val="TableContents"/>
              <w:bidi w:val="0"/>
              <w:spacing w:before="0" w:after="283"/>
              <w:jc w:val="left"/>
              <w:rPr>
                <w:sz w:val="20"/>
              </w:rPr>
            </w:pPr>
            <w:r>
              <w:rPr>
                <w:b/>
                <w:sz w:val="20"/>
              </w:rPr>
              <w:t>Karooooo’s adjusted earnings per share</w:t>
            </w:r>
            <w:r>
              <w:rPr>
                <w:sz w:val="20"/>
              </w:rPr>
              <w:t xml:space="preserve"> decreased 24% to ZAR7.18 (Q4 2025: ZAR9.48).</w:t>
            </w:r>
          </w:p>
        </w:tc>
      </w:tr>
    </w:tbl>
    <w:p>
      <w:pPr>
        <w:pStyle w:val="TextBody"/>
        <w:bidi w:val="0"/>
        <w:spacing w:before="0" w:after="283"/>
        <w:jc w:val="left"/>
        <w:rPr/>
      </w:pPr>
      <w:r>
        <w:rPr/>
        <w:t> </w:t>
      </w:r>
    </w:p>
    <w:p>
      <w:pPr>
        <w:pStyle w:val="TextBody"/>
        <w:bidi w:val="0"/>
        <w:spacing w:before="0" w:after="0"/>
        <w:ind w:left="72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Presented in the U.S. Dollar Equivalent</w:t>
      </w:r>
      <w:r>
        <w:rPr>
          <w:rFonts w:ascii="Times New Roman;Times;Serif" w:hAnsi="Times New Roman;Times;Serif"/>
          <w:b/>
          <w:i/>
          <w:caps w:val="false"/>
          <w:smallCaps w:val="false"/>
          <w:position w:val="7"/>
          <w:sz w:val="16"/>
          <w:sz w:val="20"/>
        </w:rPr>
        <w:t xml:space="preserve">1 </w:t>
      </w:r>
    </w:p>
    <w:p>
      <w:pPr>
        <w:pStyle w:val="TextBody"/>
        <w:bidi w:val="0"/>
        <w:spacing w:before="0" w:after="0"/>
        <w:ind w:left="0" w:right="0" w:hanging="0"/>
        <w:jc w:val="left"/>
        <w:rPr>
          <w:caps w:val="false"/>
          <w:smallCaps w:val="false"/>
        </w:rPr>
      </w:pPr>
      <w:r>
        <w:rPr>
          <w:caps w:val="false"/>
          <w:smallCaps w:val="false"/>
        </w:rPr>
        <w:t> </w:t>
      </w:r>
    </w:p>
    <w:tbl>
      <w:tblPr>
        <w:tblW w:w="6025" w:type="dxa"/>
        <w:jc w:val="left"/>
        <w:tblInd w:w="0" w:type="dxa"/>
        <w:tblLayout w:type="fixed"/>
        <w:tblCellMar>
          <w:top w:w="0" w:type="dxa"/>
          <w:left w:w="0" w:type="dxa"/>
          <w:bottom w:w="0" w:type="dxa"/>
          <w:right w:w="0" w:type="dxa"/>
        </w:tblCellMar>
      </w:tblPr>
      <w:tblGrid>
        <w:gridCol w:w="75"/>
        <w:gridCol w:w="170"/>
        <w:gridCol w:w="578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5780"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Karooooo’s earnings per share increased 4% to USD0.45.</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5780"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5780"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Karooooo’s adjusted earnings per share decreased 11% to USD0.45.</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10"/>
        <w:gridCol w:w="1002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rFonts w:ascii="Times New Roman;Times;Serif" w:hAnsi="Times New Roman;Times;Serif"/>
                <w:i/>
                <w:position w:val="7"/>
                <w:sz w:val="16"/>
                <w:sz w:val="20"/>
              </w:rPr>
            </w:pPr>
            <w:r>
              <w:rPr>
                <w:rFonts w:ascii="Times New Roman;Times;Serif" w:hAnsi="Times New Roman;Times;Serif"/>
                <w:i/>
                <w:position w:val="7"/>
                <w:sz w:val="16"/>
                <w:sz w:val="20"/>
              </w:rPr>
              <w:t>1</w:t>
            </w:r>
          </w:p>
        </w:tc>
        <w:tc>
          <w:tcPr>
            <w:tcW w:w="10020" w:type="dxa"/>
            <w:tcBorders/>
            <w:vAlign w:val="center"/>
          </w:tcPr>
          <w:p>
            <w:pPr>
              <w:pStyle w:val="TableContents"/>
              <w:bidi w:val="0"/>
              <w:spacing w:before="0" w:after="283"/>
              <w:jc w:val="both"/>
              <w:rPr>
                <w:rFonts w:ascii="Times New Roman;Times;Serif" w:hAnsi="Times New Roman;Times;Serif"/>
                <w:i/>
                <w:sz w:val="20"/>
              </w:rPr>
            </w:pPr>
            <w:r>
              <w:rPr>
                <w:rFonts w:ascii="Times New Roman;Times;Serif" w:hAnsi="Times New Roman;Times;Serif"/>
                <w:i/>
                <w:sz w:val="20"/>
              </w:rPr>
              <w:t>For convenience purposes only, amounts in South African rand as of February 28, 2026 have been translated to U.S. dollars using an exchange rate of ZAR 15.9167 to U.S.$1.00 (February 28, 2025: ZAR 18.6012), as set forth in the H.10 statistical release of the Board of Governors of the Federal Reserve System.  These translations should not be considered representations that any such amounts have been, could have been or could be converted at that or any other exchange rate.</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Fourth Quarter 2026 Financial Overview</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Supplemental Financial Information and Business Metrics</w:t>
      </w:r>
    </w:p>
    <w:p>
      <w:pPr>
        <w:pStyle w:val="TextBody"/>
        <w:bidi w:val="0"/>
        <w:spacing w:before="0" w:after="0"/>
        <w:ind w:left="0" w:right="0" w:hanging="0"/>
        <w:jc w:val="both"/>
        <w:rPr>
          <w:caps w:val="false"/>
          <w:smallCaps w:val="false"/>
        </w:rPr>
      </w:pPr>
      <w:r>
        <w:rPr>
          <w:caps w:val="false"/>
          <w:smallCaps w:val="false"/>
        </w:rPr>
        <w:t> </w:t>
      </w:r>
    </w:p>
    <w:tbl>
      <w:tblPr>
        <w:tblW w:w="11765" w:type="dxa"/>
        <w:jc w:val="left"/>
        <w:tblInd w:w="0" w:type="dxa"/>
        <w:tblLayout w:type="fixed"/>
        <w:tblCellMar>
          <w:top w:w="0" w:type="dxa"/>
          <w:left w:w="0" w:type="dxa"/>
          <w:bottom w:w="0" w:type="dxa"/>
          <w:right w:w="0" w:type="dxa"/>
        </w:tblCellMar>
      </w:tblPr>
      <w:tblGrid>
        <w:gridCol w:w="1220"/>
        <w:gridCol w:w="60"/>
        <w:gridCol w:w="60"/>
        <w:gridCol w:w="980"/>
        <w:gridCol w:w="260"/>
        <w:gridCol w:w="60"/>
        <w:gridCol w:w="60"/>
        <w:gridCol w:w="980"/>
        <w:gridCol w:w="260"/>
        <w:gridCol w:w="60"/>
        <w:gridCol w:w="98"/>
        <w:gridCol w:w="552"/>
        <w:gridCol w:w="260"/>
        <w:gridCol w:w="60"/>
        <w:gridCol w:w="60"/>
        <w:gridCol w:w="800"/>
        <w:gridCol w:w="260"/>
        <w:gridCol w:w="60"/>
        <w:gridCol w:w="60"/>
        <w:gridCol w:w="800"/>
        <w:gridCol w:w="260"/>
        <w:gridCol w:w="60"/>
        <w:gridCol w:w="121"/>
        <w:gridCol w:w="529"/>
        <w:gridCol w:w="260"/>
        <w:gridCol w:w="60"/>
        <w:gridCol w:w="60"/>
        <w:gridCol w:w="980"/>
        <w:gridCol w:w="260"/>
        <w:gridCol w:w="60"/>
        <w:gridCol w:w="60"/>
        <w:gridCol w:w="980"/>
        <w:gridCol w:w="260"/>
        <w:gridCol w:w="60"/>
        <w:gridCol w:w="98"/>
        <w:gridCol w:w="552"/>
        <w:gridCol w:w="95"/>
      </w:tblGrid>
      <w:tr>
        <w:trPr/>
        <w:tc>
          <w:tcPr>
            <w:tcW w:w="12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390" w:type="dxa"/>
            <w:gridSpan w:val="34"/>
            <w:tcBorders/>
            <w:vAlign w:val="center"/>
          </w:tcPr>
          <w:p>
            <w:pPr>
              <w:pStyle w:val="TableContents"/>
              <w:bidi w:val="0"/>
              <w:spacing w:before="0" w:after="283"/>
              <w:jc w:val="center"/>
              <w:rPr>
                <w:b/>
              </w:rPr>
            </w:pPr>
            <w:r>
              <w:rPr>
                <w:b/>
              </w:rPr>
              <w:t>Three Months Ended February 28,</w:t>
            </w:r>
          </w:p>
        </w:tc>
        <w:tc>
          <w:tcPr>
            <w:tcW w:w="95" w:type="dxa"/>
            <w:tcBorders/>
            <w:vAlign w:val="center"/>
          </w:tcPr>
          <w:p>
            <w:pPr>
              <w:pStyle w:val="TableContents"/>
              <w:bidi w:val="0"/>
              <w:spacing w:before="0" w:after="283"/>
              <w:jc w:val="left"/>
              <w:rPr/>
            </w:pPr>
            <w:r>
              <w:rPr/>
              <w:t> </w:t>
            </w:r>
          </w:p>
        </w:tc>
      </w:tr>
      <w:tr>
        <w:trPr/>
        <w:tc>
          <w:tcPr>
            <w:tcW w:w="12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370" w:type="dxa"/>
            <w:gridSpan w:val="10"/>
            <w:tcBorders>
              <w:bottom w:val="single" w:sz="12" w:space="0" w:color="000000"/>
            </w:tcBorders>
            <w:tcMar>
              <w:bottom w:w="28" w:type="dxa"/>
            </w:tcMar>
            <w:vAlign w:val="center"/>
          </w:tcPr>
          <w:p>
            <w:pPr>
              <w:pStyle w:val="TableContents"/>
              <w:bidi w:val="0"/>
              <w:spacing w:before="0" w:after="283"/>
              <w:jc w:val="center"/>
              <w:rPr>
                <w:b/>
              </w:rPr>
            </w:pPr>
            <w:r>
              <w:rPr>
                <w:b/>
              </w:rPr>
              <w:t>Cartrack</w:t>
            </w:r>
          </w:p>
        </w:tc>
        <w:tc>
          <w:tcPr>
            <w:tcW w:w="2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010" w:type="dxa"/>
            <w:gridSpan w:val="10"/>
            <w:tcBorders>
              <w:bottom w:val="single" w:sz="12" w:space="0" w:color="000000"/>
            </w:tcBorders>
            <w:tcMar>
              <w:bottom w:w="28" w:type="dxa"/>
            </w:tcMar>
            <w:vAlign w:val="center"/>
          </w:tcPr>
          <w:p>
            <w:pPr>
              <w:pStyle w:val="TableContents"/>
              <w:bidi w:val="0"/>
              <w:spacing w:before="0" w:after="283"/>
              <w:jc w:val="center"/>
              <w:rPr>
                <w:b/>
              </w:rPr>
            </w:pPr>
            <w:r>
              <w:rPr>
                <w:b/>
              </w:rPr>
              <w:t>Karooooo Logistics</w:t>
            </w:r>
          </w:p>
        </w:tc>
        <w:tc>
          <w:tcPr>
            <w:tcW w:w="2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370" w:type="dxa"/>
            <w:gridSpan w:val="10"/>
            <w:tcBorders>
              <w:bottom w:val="single" w:sz="12" w:space="0" w:color="000000"/>
            </w:tcBorders>
            <w:tcMar>
              <w:bottom w:w="28" w:type="dxa"/>
            </w:tcMar>
            <w:vAlign w:val="center"/>
          </w:tcPr>
          <w:p>
            <w:pPr>
              <w:pStyle w:val="TableContents"/>
              <w:bidi w:val="0"/>
              <w:spacing w:before="0" w:after="283"/>
              <w:jc w:val="center"/>
              <w:rPr>
                <w:b/>
              </w:rPr>
            </w:pPr>
            <w:r>
              <w:rPr>
                <w:b/>
              </w:rPr>
              <w:t>Karooooo Consolidated</w:t>
            </w:r>
          </w:p>
        </w:tc>
        <w:tc>
          <w:tcPr>
            <w:tcW w:w="95" w:type="dxa"/>
            <w:tcBorders/>
            <w:vAlign w:val="center"/>
          </w:tcPr>
          <w:p>
            <w:pPr>
              <w:pStyle w:val="TableContents"/>
              <w:bidi w:val="0"/>
              <w:spacing w:before="0" w:after="283"/>
              <w:ind w:left="0" w:right="0" w:hanging="180"/>
              <w:jc w:val="left"/>
              <w:rPr/>
            </w:pPr>
            <w:r>
              <w:rPr/>
              <w:t> </w:t>
            </w:r>
          </w:p>
        </w:tc>
      </w:tr>
      <w:tr>
        <w:trPr/>
        <w:tc>
          <w:tcPr>
            <w:tcW w:w="1220" w:type="dxa"/>
            <w:tcBorders>
              <w:bottom w:val="single" w:sz="12" w:space="0" w:color="000000"/>
            </w:tcBorders>
            <w:tcMar>
              <w:bottom w:w="28" w:type="dxa"/>
            </w:tcMar>
            <w:vAlign w:val="center"/>
          </w:tcPr>
          <w:p>
            <w:pPr>
              <w:pStyle w:val="TableContents"/>
              <w:bidi w:val="0"/>
              <w:spacing w:before="0" w:after="283"/>
              <w:jc w:val="left"/>
              <w:rPr>
                <w:b/>
              </w:rPr>
            </w:pPr>
            <w:r>
              <w:rPr>
                <w:b/>
              </w:rPr>
              <w:t>Figures in Rand Thousands</w:t>
            </w:r>
          </w:p>
        </w:tc>
        <w:tc>
          <w:tcPr>
            <w:tcW w:w="60" w:type="dxa"/>
            <w:tcBorders/>
            <w:vAlign w:val="center"/>
          </w:tcPr>
          <w:p>
            <w:pPr>
              <w:pStyle w:val="TableContents"/>
              <w:bidi w:val="0"/>
              <w:spacing w:before="0" w:after="283"/>
              <w:jc w:val="left"/>
              <w:rPr/>
            </w:pPr>
            <w:r>
              <w:rPr/>
              <w:t> </w:t>
            </w:r>
          </w:p>
        </w:tc>
        <w:tc>
          <w:tcPr>
            <w:tcW w:w="104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2026</w:t>
            </w:r>
          </w:p>
        </w:tc>
        <w:tc>
          <w:tcPr>
            <w:tcW w:w="2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4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2025</w:t>
            </w:r>
          </w:p>
        </w:tc>
        <w:tc>
          <w:tcPr>
            <w:tcW w:w="2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5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Y-o-Y</w:t>
              <w:br/>
              <w:t>%</w:t>
            </w:r>
          </w:p>
        </w:tc>
        <w:tc>
          <w:tcPr>
            <w:tcW w:w="2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6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2026</w:t>
            </w:r>
          </w:p>
        </w:tc>
        <w:tc>
          <w:tcPr>
            <w:tcW w:w="2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6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2025</w:t>
            </w:r>
          </w:p>
        </w:tc>
        <w:tc>
          <w:tcPr>
            <w:tcW w:w="2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5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Y-o-Y</w:t>
              <w:br/>
              <w:t>%</w:t>
            </w:r>
          </w:p>
        </w:tc>
        <w:tc>
          <w:tcPr>
            <w:tcW w:w="2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4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2026</w:t>
            </w:r>
          </w:p>
        </w:tc>
        <w:tc>
          <w:tcPr>
            <w:tcW w:w="2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4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2025</w:t>
            </w:r>
          </w:p>
        </w:tc>
        <w:tc>
          <w:tcPr>
            <w:tcW w:w="2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5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Y-o-Y</w:t>
              <w:br/>
              <w:t>%</w:t>
            </w:r>
          </w:p>
        </w:tc>
        <w:tc>
          <w:tcPr>
            <w:tcW w:w="95" w:type="dxa"/>
            <w:tcBorders/>
            <w:vAlign w:val="center"/>
          </w:tcPr>
          <w:p>
            <w:pPr>
              <w:pStyle w:val="TableContents"/>
              <w:bidi w:val="0"/>
              <w:spacing w:before="0" w:after="283"/>
              <w:ind w:left="0" w:right="0" w:hanging="180"/>
              <w:jc w:val="left"/>
              <w:rPr/>
            </w:pPr>
            <w:r>
              <w:rPr/>
              <w:t> </w:t>
            </w:r>
          </w:p>
        </w:tc>
      </w:tr>
      <w:tr>
        <w:trPr/>
        <w:tc>
          <w:tcPr>
            <w:tcW w:w="1220" w:type="dxa"/>
            <w:tcBorders/>
            <w:shd w:fill="CCEEFF" w:val="clear"/>
            <w:vAlign w:val="center"/>
          </w:tcPr>
          <w:p>
            <w:pPr>
              <w:pStyle w:val="TableContents"/>
              <w:bidi w:val="0"/>
              <w:spacing w:before="0" w:after="283"/>
              <w:jc w:val="left"/>
              <w:rPr/>
            </w:pPr>
            <w:r>
              <w:rPr/>
              <w:t>Subscription revenue</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1,277,715</w:t>
            </w:r>
          </w:p>
        </w:tc>
        <w:tc>
          <w:tcPr>
            <w:tcW w:w="2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1,083,604</w:t>
            </w:r>
          </w:p>
        </w:tc>
        <w:tc>
          <w:tcPr>
            <w:tcW w:w="2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 w:type="dxa"/>
            <w:tcBorders/>
            <w:shd w:fill="CCEEFF" w:val="clear"/>
            <w:vAlign w:val="center"/>
          </w:tcPr>
          <w:p>
            <w:pPr>
              <w:pStyle w:val="TableContents"/>
              <w:bidi w:val="0"/>
              <w:spacing w:before="0" w:after="283"/>
              <w:jc w:val="left"/>
              <w:rPr/>
            </w:pPr>
            <w:r>
              <w:rPr/>
              <w:t> </w:t>
            </w:r>
          </w:p>
        </w:tc>
        <w:tc>
          <w:tcPr>
            <w:tcW w:w="552" w:type="dxa"/>
            <w:tcBorders/>
            <w:shd w:fill="CCEEFF" w:val="clear"/>
            <w:vAlign w:val="center"/>
          </w:tcPr>
          <w:p>
            <w:pPr>
              <w:pStyle w:val="TableContents"/>
              <w:bidi w:val="0"/>
              <w:spacing w:before="0" w:after="283"/>
              <w:jc w:val="right"/>
              <w:rPr/>
            </w:pPr>
            <w:r>
              <w:rPr/>
              <w:t>18</w:t>
            </w:r>
          </w:p>
        </w:tc>
        <w:tc>
          <w:tcPr>
            <w:tcW w:w="260"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3,591</w:t>
            </w:r>
          </w:p>
        </w:tc>
        <w:tc>
          <w:tcPr>
            <w:tcW w:w="2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2,878</w:t>
            </w:r>
          </w:p>
        </w:tc>
        <w:tc>
          <w:tcPr>
            <w:tcW w:w="2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1" w:type="dxa"/>
            <w:tcBorders/>
            <w:shd w:fill="CCEEFF" w:val="clear"/>
            <w:vAlign w:val="center"/>
          </w:tcPr>
          <w:p>
            <w:pPr>
              <w:pStyle w:val="TableContents"/>
              <w:bidi w:val="0"/>
              <w:spacing w:before="0" w:after="283"/>
              <w:jc w:val="left"/>
              <w:rPr/>
            </w:pPr>
            <w:r>
              <w:rPr/>
              <w:t> </w:t>
            </w:r>
          </w:p>
        </w:tc>
        <w:tc>
          <w:tcPr>
            <w:tcW w:w="529" w:type="dxa"/>
            <w:tcBorders/>
            <w:shd w:fill="CCEEFF" w:val="clear"/>
            <w:vAlign w:val="center"/>
          </w:tcPr>
          <w:p>
            <w:pPr>
              <w:pStyle w:val="TableContents"/>
              <w:bidi w:val="0"/>
              <w:spacing w:before="0" w:after="283"/>
              <w:jc w:val="right"/>
              <w:rPr/>
            </w:pPr>
            <w:r>
              <w:rPr/>
              <w:t>25</w:t>
            </w:r>
          </w:p>
        </w:tc>
        <w:tc>
          <w:tcPr>
            <w:tcW w:w="260"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1,281,306</w:t>
            </w:r>
          </w:p>
        </w:tc>
        <w:tc>
          <w:tcPr>
            <w:tcW w:w="2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1,086,482</w:t>
            </w:r>
          </w:p>
        </w:tc>
        <w:tc>
          <w:tcPr>
            <w:tcW w:w="2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 w:type="dxa"/>
            <w:tcBorders/>
            <w:shd w:fill="CCEEFF" w:val="clear"/>
            <w:vAlign w:val="center"/>
          </w:tcPr>
          <w:p>
            <w:pPr>
              <w:pStyle w:val="TableContents"/>
              <w:bidi w:val="0"/>
              <w:spacing w:before="0" w:after="283"/>
              <w:jc w:val="left"/>
              <w:rPr/>
            </w:pPr>
            <w:r>
              <w:rPr/>
              <w:t> </w:t>
            </w:r>
          </w:p>
        </w:tc>
        <w:tc>
          <w:tcPr>
            <w:tcW w:w="552" w:type="dxa"/>
            <w:tcBorders/>
            <w:shd w:fill="CCEEFF" w:val="clear"/>
            <w:vAlign w:val="center"/>
          </w:tcPr>
          <w:p>
            <w:pPr>
              <w:pStyle w:val="TableContents"/>
              <w:bidi w:val="0"/>
              <w:spacing w:before="0" w:after="283"/>
              <w:jc w:val="right"/>
              <w:rPr/>
            </w:pPr>
            <w:r>
              <w:rPr/>
              <w:t>18</w:t>
            </w:r>
          </w:p>
        </w:tc>
        <w:tc>
          <w:tcPr>
            <w:tcW w:w="95" w:type="dxa"/>
            <w:tcBorders/>
            <w:shd w:fill="CCEEFF" w:val="clear"/>
            <w:vAlign w:val="center"/>
          </w:tcPr>
          <w:p>
            <w:pPr>
              <w:pStyle w:val="TableContents"/>
              <w:bidi w:val="0"/>
              <w:spacing w:before="0" w:after="283"/>
              <w:ind w:left="0" w:right="0" w:hanging="180"/>
              <w:jc w:val="left"/>
              <w:rPr/>
            </w:pPr>
            <w:r>
              <w:rPr/>
              <w:t>%</w:t>
            </w:r>
          </w:p>
        </w:tc>
      </w:tr>
      <w:tr>
        <w:trPr/>
        <w:tc>
          <w:tcPr>
            <w:tcW w:w="122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Other revenue</w:t>
            </w:r>
            <w:r>
              <w:rPr>
                <w:rFonts w:ascii="Times New Roman;Times;Serif" w:hAnsi="Times New Roman;Times;Serif"/>
                <w:position w:val="7"/>
                <w:sz w:val="16"/>
                <w:sz w:val="20"/>
              </w:rPr>
              <w:t>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25,857</w:t>
            </w:r>
          </w:p>
        </w:tc>
        <w:tc>
          <w:tcPr>
            <w:tcW w:w="2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25,987</w:t>
            </w:r>
          </w:p>
        </w:tc>
        <w:tc>
          <w:tcPr>
            <w:tcW w:w="2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 w:type="dxa"/>
            <w:tcBorders/>
            <w:shd w:fill="FFFFFF" w:val="clear"/>
            <w:vAlign w:val="center"/>
          </w:tcPr>
          <w:p>
            <w:pPr>
              <w:pStyle w:val="TableContents"/>
              <w:bidi w:val="0"/>
              <w:spacing w:before="0" w:after="283"/>
              <w:jc w:val="left"/>
              <w:rPr/>
            </w:pPr>
            <w:r>
              <w:rPr/>
              <w:t> </w:t>
            </w:r>
          </w:p>
        </w:tc>
        <w:tc>
          <w:tcPr>
            <w:tcW w:w="552" w:type="dxa"/>
            <w:tcBorders/>
            <w:shd w:fill="FFFFFF" w:val="clear"/>
            <w:vAlign w:val="center"/>
          </w:tcPr>
          <w:p>
            <w:pPr>
              <w:pStyle w:val="TableContents"/>
              <w:bidi w:val="0"/>
              <w:spacing w:before="0" w:after="283"/>
              <w:jc w:val="right"/>
              <w:rPr/>
            </w:pPr>
            <w:r>
              <w:rPr/>
              <w:t>(1</w:t>
            </w:r>
          </w:p>
        </w:tc>
        <w:tc>
          <w:tcPr>
            <w:tcW w:w="260"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b/>
              </w:rPr>
            </w:pPr>
            <w:r>
              <w:rPr>
                <w:b/>
              </w:rPr>
              <w:t>-</w:t>
            </w:r>
          </w:p>
        </w:tc>
        <w:tc>
          <w:tcPr>
            <w:tcW w:w="2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b/>
              </w:rPr>
            </w:pPr>
            <w:r>
              <w:rPr>
                <w:b/>
              </w:rPr>
              <w:t>-</w:t>
            </w:r>
          </w:p>
        </w:tc>
        <w:tc>
          <w:tcPr>
            <w:tcW w:w="2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1" w:type="dxa"/>
            <w:tcBorders/>
            <w:shd w:fill="FFFFFF" w:val="clear"/>
            <w:vAlign w:val="center"/>
          </w:tcPr>
          <w:p>
            <w:pPr>
              <w:pStyle w:val="TableContents"/>
              <w:bidi w:val="0"/>
              <w:spacing w:before="0" w:after="283"/>
              <w:jc w:val="left"/>
              <w:rPr/>
            </w:pPr>
            <w:r>
              <w:rPr/>
              <w:t> </w:t>
            </w:r>
          </w:p>
        </w:tc>
        <w:tc>
          <w:tcPr>
            <w:tcW w:w="529" w:type="dxa"/>
            <w:tcBorders/>
            <w:shd w:fill="FFFFFF" w:val="clear"/>
            <w:vAlign w:val="center"/>
          </w:tcPr>
          <w:p>
            <w:pPr>
              <w:pStyle w:val="TableContents"/>
              <w:bidi w:val="0"/>
              <w:spacing w:before="0" w:after="283"/>
              <w:jc w:val="right"/>
              <w:rPr>
                <w:b/>
              </w:rPr>
            </w:pPr>
            <w:r>
              <w:rPr>
                <w:b/>
              </w:rPr>
              <w:t>-</w:t>
            </w:r>
          </w:p>
        </w:tc>
        <w:tc>
          <w:tcPr>
            <w:tcW w:w="2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25,857</w:t>
            </w:r>
          </w:p>
        </w:tc>
        <w:tc>
          <w:tcPr>
            <w:tcW w:w="2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25,987</w:t>
            </w:r>
          </w:p>
        </w:tc>
        <w:tc>
          <w:tcPr>
            <w:tcW w:w="2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 w:type="dxa"/>
            <w:tcBorders/>
            <w:shd w:fill="FFFFFF" w:val="clear"/>
            <w:vAlign w:val="center"/>
          </w:tcPr>
          <w:p>
            <w:pPr>
              <w:pStyle w:val="TableContents"/>
              <w:bidi w:val="0"/>
              <w:spacing w:before="0" w:after="283"/>
              <w:jc w:val="left"/>
              <w:rPr/>
            </w:pPr>
            <w:r>
              <w:rPr/>
              <w:t> </w:t>
            </w:r>
          </w:p>
        </w:tc>
        <w:tc>
          <w:tcPr>
            <w:tcW w:w="552" w:type="dxa"/>
            <w:tcBorders/>
            <w:shd w:fill="FFFFFF" w:val="clear"/>
            <w:vAlign w:val="center"/>
          </w:tcPr>
          <w:p>
            <w:pPr>
              <w:pStyle w:val="TableContents"/>
              <w:bidi w:val="0"/>
              <w:spacing w:before="0" w:after="283"/>
              <w:jc w:val="right"/>
              <w:rPr/>
            </w:pPr>
            <w:r>
              <w:rPr/>
              <w:t>(1</w:t>
            </w:r>
          </w:p>
        </w:tc>
        <w:tc>
          <w:tcPr>
            <w:tcW w:w="95" w:type="dxa"/>
            <w:tcBorders/>
            <w:shd w:fill="FFFFFF" w:val="clear"/>
            <w:vAlign w:val="center"/>
          </w:tcPr>
          <w:p>
            <w:pPr>
              <w:pStyle w:val="TableContents"/>
              <w:bidi w:val="0"/>
              <w:spacing w:before="0" w:after="283"/>
              <w:ind w:left="0" w:right="0" w:hanging="180"/>
              <w:jc w:val="left"/>
              <w:rPr/>
            </w:pPr>
            <w:r>
              <w:rPr/>
              <w:t>)%</w:t>
            </w:r>
          </w:p>
        </w:tc>
      </w:tr>
      <w:tr>
        <w:trPr/>
        <w:tc>
          <w:tcPr>
            <w:tcW w:w="1220" w:type="dxa"/>
            <w:tcBorders/>
            <w:shd w:fill="CCEEFF" w:val="clear"/>
            <w:vAlign w:val="center"/>
          </w:tcPr>
          <w:p>
            <w:pPr>
              <w:pStyle w:val="TableContents"/>
              <w:bidi w:val="0"/>
              <w:spacing w:before="0" w:after="283"/>
              <w:jc w:val="left"/>
              <w:rPr/>
            </w:pPr>
            <w:r>
              <w:rPr/>
              <w:t>Delivery service</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2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2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552"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2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00" w:type="dxa"/>
            <w:tcBorders>
              <w:bottom w:val="single" w:sz="12" w:space="0" w:color="000000"/>
            </w:tcBorders>
            <w:shd w:fill="CCEEFF" w:val="clear"/>
            <w:tcMar>
              <w:bottom w:w="28" w:type="dxa"/>
            </w:tcMar>
            <w:vAlign w:val="center"/>
          </w:tcPr>
          <w:p>
            <w:pPr>
              <w:pStyle w:val="TableContents"/>
              <w:bidi w:val="0"/>
              <w:spacing w:before="0" w:after="283"/>
              <w:jc w:val="right"/>
              <w:rPr/>
            </w:pPr>
            <w:r>
              <w:rPr/>
              <w:t>141,216</w:t>
            </w:r>
          </w:p>
        </w:tc>
        <w:tc>
          <w:tcPr>
            <w:tcW w:w="2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00" w:type="dxa"/>
            <w:tcBorders>
              <w:bottom w:val="single" w:sz="12" w:space="0" w:color="000000"/>
            </w:tcBorders>
            <w:shd w:fill="CCEEFF" w:val="clear"/>
            <w:tcMar>
              <w:bottom w:w="28" w:type="dxa"/>
            </w:tcMar>
            <w:vAlign w:val="center"/>
          </w:tcPr>
          <w:p>
            <w:pPr>
              <w:pStyle w:val="TableContents"/>
              <w:bidi w:val="0"/>
              <w:spacing w:before="0" w:after="283"/>
              <w:jc w:val="right"/>
              <w:rPr/>
            </w:pPr>
            <w:r>
              <w:rPr/>
              <w:t>107,054</w:t>
            </w:r>
          </w:p>
        </w:tc>
        <w:tc>
          <w:tcPr>
            <w:tcW w:w="2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1"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529" w:type="dxa"/>
            <w:tcBorders>
              <w:bottom w:val="single" w:sz="12" w:space="0" w:color="000000"/>
            </w:tcBorders>
            <w:shd w:fill="CCEEFF" w:val="clear"/>
            <w:tcMar>
              <w:bottom w:w="28" w:type="dxa"/>
            </w:tcMar>
            <w:vAlign w:val="center"/>
          </w:tcPr>
          <w:p>
            <w:pPr>
              <w:pStyle w:val="TableContents"/>
              <w:bidi w:val="0"/>
              <w:spacing w:before="0" w:after="283"/>
              <w:jc w:val="right"/>
              <w:rPr/>
            </w:pPr>
            <w:r>
              <w:rPr/>
              <w:t>32</w:t>
            </w:r>
          </w:p>
        </w:tc>
        <w:tc>
          <w:tcPr>
            <w:tcW w:w="260"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single" w:sz="12" w:space="0" w:color="000000"/>
            </w:tcBorders>
            <w:shd w:fill="CCEEFF" w:val="clear"/>
            <w:tcMar>
              <w:bottom w:w="28" w:type="dxa"/>
            </w:tcMar>
            <w:vAlign w:val="center"/>
          </w:tcPr>
          <w:p>
            <w:pPr>
              <w:pStyle w:val="TableContents"/>
              <w:bidi w:val="0"/>
              <w:spacing w:before="0" w:after="283"/>
              <w:jc w:val="right"/>
              <w:rPr/>
            </w:pPr>
            <w:r>
              <w:rPr/>
              <w:t>141,216</w:t>
            </w:r>
          </w:p>
        </w:tc>
        <w:tc>
          <w:tcPr>
            <w:tcW w:w="2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single" w:sz="12" w:space="0" w:color="000000"/>
            </w:tcBorders>
            <w:shd w:fill="CCEEFF" w:val="clear"/>
            <w:tcMar>
              <w:bottom w:w="28" w:type="dxa"/>
            </w:tcMar>
            <w:vAlign w:val="center"/>
          </w:tcPr>
          <w:p>
            <w:pPr>
              <w:pStyle w:val="TableContents"/>
              <w:bidi w:val="0"/>
              <w:spacing w:before="0" w:after="283"/>
              <w:jc w:val="right"/>
              <w:rPr/>
            </w:pPr>
            <w:r>
              <w:rPr/>
              <w:t>107,054</w:t>
            </w:r>
          </w:p>
        </w:tc>
        <w:tc>
          <w:tcPr>
            <w:tcW w:w="2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552" w:type="dxa"/>
            <w:tcBorders>
              <w:bottom w:val="single" w:sz="12" w:space="0" w:color="000000"/>
            </w:tcBorders>
            <w:shd w:fill="CCEEFF" w:val="clear"/>
            <w:tcMar>
              <w:bottom w:w="28" w:type="dxa"/>
            </w:tcMar>
            <w:vAlign w:val="center"/>
          </w:tcPr>
          <w:p>
            <w:pPr>
              <w:pStyle w:val="TableContents"/>
              <w:bidi w:val="0"/>
              <w:spacing w:before="0" w:after="283"/>
              <w:jc w:val="right"/>
              <w:rPr/>
            </w:pPr>
            <w:r>
              <w:rPr/>
              <w:t>32</w:t>
            </w:r>
          </w:p>
        </w:tc>
        <w:tc>
          <w:tcPr>
            <w:tcW w:w="95" w:type="dxa"/>
            <w:tcBorders/>
            <w:shd w:fill="CCEEFF" w:val="clear"/>
            <w:vAlign w:val="center"/>
          </w:tcPr>
          <w:p>
            <w:pPr>
              <w:pStyle w:val="TableContents"/>
              <w:bidi w:val="0"/>
              <w:spacing w:before="0" w:after="283"/>
              <w:ind w:left="0" w:right="0" w:hanging="180"/>
              <w:jc w:val="left"/>
              <w:rPr/>
            </w:pPr>
            <w:r>
              <w:rPr/>
              <w:t>%</w:t>
            </w:r>
          </w:p>
        </w:tc>
      </w:tr>
      <w:tr>
        <w:trPr/>
        <w:tc>
          <w:tcPr>
            <w:tcW w:w="1220" w:type="dxa"/>
            <w:tcBorders/>
            <w:shd w:fill="FFFFFF" w:val="clear"/>
            <w:vAlign w:val="center"/>
          </w:tcPr>
          <w:p>
            <w:pPr>
              <w:pStyle w:val="TableContents"/>
              <w:bidi w:val="0"/>
              <w:spacing w:before="0" w:after="283"/>
              <w:jc w:val="left"/>
              <w:rPr>
                <w:b/>
              </w:rPr>
            </w:pPr>
            <w:r>
              <w:rPr>
                <w:b/>
              </w:rPr>
              <w:t>Revenue</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10" w:space="0" w:color="000000"/>
            </w:tcBorders>
            <w:shd w:fill="FFFFFF" w:val="clear"/>
            <w:tcMar>
              <w:bottom w:w="28" w:type="dxa"/>
            </w:tcMar>
            <w:vAlign w:val="center"/>
          </w:tcPr>
          <w:p>
            <w:pPr>
              <w:pStyle w:val="TableContents"/>
              <w:bidi w:val="0"/>
              <w:spacing w:before="0" w:after="283"/>
              <w:jc w:val="left"/>
              <w:rPr/>
            </w:pPr>
            <w:r>
              <w:rPr/>
              <w:t> </w:t>
            </w:r>
          </w:p>
        </w:tc>
        <w:tc>
          <w:tcPr>
            <w:tcW w:w="980" w:type="dxa"/>
            <w:tcBorders>
              <w:bottom w:val="double" w:sz="10" w:space="0" w:color="000000"/>
            </w:tcBorders>
            <w:shd w:fill="FFFFFF" w:val="clear"/>
            <w:tcMar>
              <w:bottom w:w="28" w:type="dxa"/>
            </w:tcMar>
            <w:vAlign w:val="center"/>
          </w:tcPr>
          <w:p>
            <w:pPr>
              <w:pStyle w:val="TableContents"/>
              <w:bidi w:val="0"/>
              <w:spacing w:before="0" w:after="283"/>
              <w:jc w:val="right"/>
              <w:rPr>
                <w:b/>
              </w:rPr>
            </w:pPr>
            <w:r>
              <w:rPr>
                <w:b/>
              </w:rPr>
              <w:t>1,303,572</w:t>
            </w:r>
          </w:p>
        </w:tc>
        <w:tc>
          <w:tcPr>
            <w:tcW w:w="2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10" w:space="0" w:color="000000"/>
            </w:tcBorders>
            <w:shd w:fill="FFFFFF" w:val="clear"/>
            <w:tcMar>
              <w:bottom w:w="28" w:type="dxa"/>
            </w:tcMar>
            <w:vAlign w:val="center"/>
          </w:tcPr>
          <w:p>
            <w:pPr>
              <w:pStyle w:val="TableContents"/>
              <w:bidi w:val="0"/>
              <w:spacing w:before="0" w:after="283"/>
              <w:jc w:val="left"/>
              <w:rPr/>
            </w:pPr>
            <w:r>
              <w:rPr/>
              <w:t> </w:t>
            </w:r>
          </w:p>
        </w:tc>
        <w:tc>
          <w:tcPr>
            <w:tcW w:w="980" w:type="dxa"/>
            <w:tcBorders>
              <w:bottom w:val="double" w:sz="10" w:space="0" w:color="000000"/>
            </w:tcBorders>
            <w:shd w:fill="FFFFFF" w:val="clear"/>
            <w:tcMar>
              <w:bottom w:w="28" w:type="dxa"/>
            </w:tcMar>
            <w:vAlign w:val="center"/>
          </w:tcPr>
          <w:p>
            <w:pPr>
              <w:pStyle w:val="TableContents"/>
              <w:bidi w:val="0"/>
              <w:spacing w:before="0" w:after="283"/>
              <w:jc w:val="right"/>
              <w:rPr>
                <w:b/>
              </w:rPr>
            </w:pPr>
            <w:r>
              <w:rPr>
                <w:b/>
              </w:rPr>
              <w:t>1,109,591</w:t>
            </w:r>
          </w:p>
        </w:tc>
        <w:tc>
          <w:tcPr>
            <w:tcW w:w="2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 w:type="dxa"/>
            <w:tcBorders>
              <w:bottom w:val="double" w:sz="10" w:space="0" w:color="000000"/>
            </w:tcBorders>
            <w:shd w:fill="FFFFFF" w:val="clear"/>
            <w:tcMar>
              <w:bottom w:w="28" w:type="dxa"/>
            </w:tcMar>
            <w:vAlign w:val="center"/>
          </w:tcPr>
          <w:p>
            <w:pPr>
              <w:pStyle w:val="TableContents"/>
              <w:bidi w:val="0"/>
              <w:spacing w:before="0" w:after="283"/>
              <w:jc w:val="left"/>
              <w:rPr/>
            </w:pPr>
            <w:r>
              <w:rPr/>
              <w:t> </w:t>
            </w:r>
          </w:p>
        </w:tc>
        <w:tc>
          <w:tcPr>
            <w:tcW w:w="552" w:type="dxa"/>
            <w:tcBorders>
              <w:bottom w:val="double" w:sz="10" w:space="0" w:color="000000"/>
            </w:tcBorders>
            <w:shd w:fill="FFFFFF" w:val="clear"/>
            <w:tcMar>
              <w:bottom w:w="28" w:type="dxa"/>
            </w:tcMar>
            <w:vAlign w:val="center"/>
          </w:tcPr>
          <w:p>
            <w:pPr>
              <w:pStyle w:val="TableContents"/>
              <w:bidi w:val="0"/>
              <w:spacing w:before="0" w:after="283"/>
              <w:jc w:val="right"/>
              <w:rPr>
                <w:b/>
              </w:rPr>
            </w:pPr>
            <w:r>
              <w:rPr>
                <w:b/>
              </w:rPr>
              <w:t>17</w:t>
            </w:r>
          </w:p>
        </w:tc>
        <w:tc>
          <w:tcPr>
            <w:tcW w:w="260" w:type="dxa"/>
            <w:tcBorders/>
            <w:shd w:fill="FFFFFF" w:val="clear"/>
            <w:vAlign w:val="center"/>
          </w:tcPr>
          <w:p>
            <w:pPr>
              <w:pStyle w:val="TableContents"/>
              <w:bidi w:val="0"/>
              <w:spacing w:before="0" w:after="283"/>
              <w:jc w:val="left"/>
              <w:rPr>
                <w:b/>
              </w:rPr>
            </w:pPr>
            <w:r>
              <w:rPr>
                <w:b/>
              </w:rPr>
              <w:t>%</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10" w:space="0" w:color="000000"/>
            </w:tcBorders>
            <w:shd w:fill="FFFFFF" w:val="clear"/>
            <w:tcMar>
              <w:bottom w:w="28" w:type="dxa"/>
            </w:tcMar>
            <w:vAlign w:val="center"/>
          </w:tcPr>
          <w:p>
            <w:pPr>
              <w:pStyle w:val="TableContents"/>
              <w:bidi w:val="0"/>
              <w:spacing w:before="0" w:after="283"/>
              <w:jc w:val="left"/>
              <w:rPr/>
            </w:pPr>
            <w:r>
              <w:rPr/>
              <w:t> </w:t>
            </w:r>
          </w:p>
        </w:tc>
        <w:tc>
          <w:tcPr>
            <w:tcW w:w="800" w:type="dxa"/>
            <w:tcBorders>
              <w:bottom w:val="double" w:sz="10" w:space="0" w:color="000000"/>
            </w:tcBorders>
            <w:shd w:fill="FFFFFF" w:val="clear"/>
            <w:tcMar>
              <w:bottom w:w="28" w:type="dxa"/>
            </w:tcMar>
            <w:vAlign w:val="center"/>
          </w:tcPr>
          <w:p>
            <w:pPr>
              <w:pStyle w:val="TableContents"/>
              <w:bidi w:val="0"/>
              <w:spacing w:before="0" w:after="283"/>
              <w:jc w:val="right"/>
              <w:rPr>
                <w:b/>
              </w:rPr>
            </w:pPr>
            <w:r>
              <w:rPr>
                <w:b/>
              </w:rPr>
              <w:t>144,807</w:t>
            </w:r>
          </w:p>
        </w:tc>
        <w:tc>
          <w:tcPr>
            <w:tcW w:w="2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10" w:space="0" w:color="000000"/>
            </w:tcBorders>
            <w:shd w:fill="FFFFFF" w:val="clear"/>
            <w:tcMar>
              <w:bottom w:w="28" w:type="dxa"/>
            </w:tcMar>
            <w:vAlign w:val="center"/>
          </w:tcPr>
          <w:p>
            <w:pPr>
              <w:pStyle w:val="TableContents"/>
              <w:bidi w:val="0"/>
              <w:spacing w:before="0" w:after="283"/>
              <w:jc w:val="left"/>
              <w:rPr/>
            </w:pPr>
            <w:r>
              <w:rPr/>
              <w:t> </w:t>
            </w:r>
          </w:p>
        </w:tc>
        <w:tc>
          <w:tcPr>
            <w:tcW w:w="800" w:type="dxa"/>
            <w:tcBorders>
              <w:bottom w:val="double" w:sz="10" w:space="0" w:color="000000"/>
            </w:tcBorders>
            <w:shd w:fill="FFFFFF" w:val="clear"/>
            <w:tcMar>
              <w:bottom w:w="28" w:type="dxa"/>
            </w:tcMar>
            <w:vAlign w:val="center"/>
          </w:tcPr>
          <w:p>
            <w:pPr>
              <w:pStyle w:val="TableContents"/>
              <w:bidi w:val="0"/>
              <w:spacing w:before="0" w:after="283"/>
              <w:jc w:val="right"/>
              <w:rPr>
                <w:b/>
              </w:rPr>
            </w:pPr>
            <w:r>
              <w:rPr>
                <w:b/>
              </w:rPr>
              <w:t>109,932</w:t>
            </w:r>
          </w:p>
        </w:tc>
        <w:tc>
          <w:tcPr>
            <w:tcW w:w="2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1" w:type="dxa"/>
            <w:tcBorders>
              <w:bottom w:val="double" w:sz="10" w:space="0" w:color="000000"/>
            </w:tcBorders>
            <w:shd w:fill="FFFFFF" w:val="clear"/>
            <w:tcMar>
              <w:bottom w:w="28" w:type="dxa"/>
            </w:tcMar>
            <w:vAlign w:val="center"/>
          </w:tcPr>
          <w:p>
            <w:pPr>
              <w:pStyle w:val="TableContents"/>
              <w:bidi w:val="0"/>
              <w:spacing w:before="0" w:after="283"/>
              <w:jc w:val="left"/>
              <w:rPr/>
            </w:pPr>
            <w:r>
              <w:rPr/>
              <w:t> </w:t>
            </w:r>
          </w:p>
        </w:tc>
        <w:tc>
          <w:tcPr>
            <w:tcW w:w="529" w:type="dxa"/>
            <w:tcBorders>
              <w:bottom w:val="double" w:sz="10" w:space="0" w:color="000000"/>
            </w:tcBorders>
            <w:shd w:fill="FFFFFF" w:val="clear"/>
            <w:tcMar>
              <w:bottom w:w="28" w:type="dxa"/>
            </w:tcMar>
            <w:vAlign w:val="center"/>
          </w:tcPr>
          <w:p>
            <w:pPr>
              <w:pStyle w:val="TableContents"/>
              <w:bidi w:val="0"/>
              <w:spacing w:before="0" w:after="283"/>
              <w:jc w:val="right"/>
              <w:rPr>
                <w:b/>
              </w:rPr>
            </w:pPr>
            <w:r>
              <w:rPr>
                <w:b/>
              </w:rPr>
              <w:t>32</w:t>
            </w:r>
          </w:p>
        </w:tc>
        <w:tc>
          <w:tcPr>
            <w:tcW w:w="260" w:type="dxa"/>
            <w:tcBorders/>
            <w:shd w:fill="FFFFFF" w:val="clear"/>
            <w:vAlign w:val="center"/>
          </w:tcPr>
          <w:p>
            <w:pPr>
              <w:pStyle w:val="TableContents"/>
              <w:bidi w:val="0"/>
              <w:spacing w:before="0" w:after="283"/>
              <w:jc w:val="left"/>
              <w:rPr>
                <w:b/>
              </w:rPr>
            </w:pPr>
            <w:r>
              <w:rPr>
                <w:b/>
              </w:rPr>
              <w:t>%</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10" w:space="0" w:color="000000"/>
            </w:tcBorders>
            <w:shd w:fill="FFFFFF" w:val="clear"/>
            <w:tcMar>
              <w:bottom w:w="28" w:type="dxa"/>
            </w:tcMar>
            <w:vAlign w:val="center"/>
          </w:tcPr>
          <w:p>
            <w:pPr>
              <w:pStyle w:val="TableContents"/>
              <w:bidi w:val="0"/>
              <w:spacing w:before="0" w:after="283"/>
              <w:jc w:val="left"/>
              <w:rPr/>
            </w:pPr>
            <w:r>
              <w:rPr/>
              <w:t> </w:t>
            </w:r>
          </w:p>
        </w:tc>
        <w:tc>
          <w:tcPr>
            <w:tcW w:w="980" w:type="dxa"/>
            <w:tcBorders>
              <w:bottom w:val="double" w:sz="10" w:space="0" w:color="000000"/>
            </w:tcBorders>
            <w:shd w:fill="FFFFFF" w:val="clear"/>
            <w:tcMar>
              <w:bottom w:w="28" w:type="dxa"/>
            </w:tcMar>
            <w:vAlign w:val="center"/>
          </w:tcPr>
          <w:p>
            <w:pPr>
              <w:pStyle w:val="TableContents"/>
              <w:bidi w:val="0"/>
              <w:spacing w:before="0" w:after="283"/>
              <w:jc w:val="right"/>
              <w:rPr>
                <w:b/>
              </w:rPr>
            </w:pPr>
            <w:r>
              <w:rPr>
                <w:b/>
              </w:rPr>
              <w:t>1,448,379</w:t>
            </w:r>
          </w:p>
        </w:tc>
        <w:tc>
          <w:tcPr>
            <w:tcW w:w="2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10" w:space="0" w:color="000000"/>
            </w:tcBorders>
            <w:shd w:fill="FFFFFF" w:val="clear"/>
            <w:tcMar>
              <w:bottom w:w="28" w:type="dxa"/>
            </w:tcMar>
            <w:vAlign w:val="center"/>
          </w:tcPr>
          <w:p>
            <w:pPr>
              <w:pStyle w:val="TableContents"/>
              <w:bidi w:val="0"/>
              <w:spacing w:before="0" w:after="283"/>
              <w:jc w:val="left"/>
              <w:rPr/>
            </w:pPr>
            <w:r>
              <w:rPr/>
              <w:t> </w:t>
            </w:r>
          </w:p>
        </w:tc>
        <w:tc>
          <w:tcPr>
            <w:tcW w:w="980" w:type="dxa"/>
            <w:tcBorders>
              <w:bottom w:val="double" w:sz="10" w:space="0" w:color="000000"/>
            </w:tcBorders>
            <w:shd w:fill="FFFFFF" w:val="clear"/>
            <w:tcMar>
              <w:bottom w:w="28" w:type="dxa"/>
            </w:tcMar>
            <w:vAlign w:val="center"/>
          </w:tcPr>
          <w:p>
            <w:pPr>
              <w:pStyle w:val="TableContents"/>
              <w:bidi w:val="0"/>
              <w:spacing w:before="0" w:after="283"/>
              <w:jc w:val="right"/>
              <w:rPr>
                <w:b/>
              </w:rPr>
            </w:pPr>
            <w:r>
              <w:rPr>
                <w:b/>
              </w:rPr>
              <w:t>1,219,523</w:t>
            </w:r>
          </w:p>
        </w:tc>
        <w:tc>
          <w:tcPr>
            <w:tcW w:w="2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 w:type="dxa"/>
            <w:tcBorders>
              <w:bottom w:val="double" w:sz="10" w:space="0" w:color="000000"/>
            </w:tcBorders>
            <w:shd w:fill="FFFFFF" w:val="clear"/>
            <w:tcMar>
              <w:bottom w:w="28" w:type="dxa"/>
            </w:tcMar>
            <w:vAlign w:val="center"/>
          </w:tcPr>
          <w:p>
            <w:pPr>
              <w:pStyle w:val="TableContents"/>
              <w:bidi w:val="0"/>
              <w:spacing w:before="0" w:after="283"/>
              <w:jc w:val="left"/>
              <w:rPr/>
            </w:pPr>
            <w:r>
              <w:rPr/>
              <w:t> </w:t>
            </w:r>
          </w:p>
        </w:tc>
        <w:tc>
          <w:tcPr>
            <w:tcW w:w="552" w:type="dxa"/>
            <w:tcBorders>
              <w:bottom w:val="double" w:sz="10" w:space="0" w:color="000000"/>
            </w:tcBorders>
            <w:shd w:fill="FFFFFF" w:val="clear"/>
            <w:tcMar>
              <w:bottom w:w="28" w:type="dxa"/>
            </w:tcMar>
            <w:vAlign w:val="center"/>
          </w:tcPr>
          <w:p>
            <w:pPr>
              <w:pStyle w:val="TableContents"/>
              <w:bidi w:val="0"/>
              <w:spacing w:before="0" w:after="283"/>
              <w:jc w:val="right"/>
              <w:rPr>
                <w:b/>
              </w:rPr>
            </w:pPr>
            <w:r>
              <w:rPr>
                <w:b/>
              </w:rPr>
              <w:t>19</w:t>
            </w:r>
          </w:p>
        </w:tc>
        <w:tc>
          <w:tcPr>
            <w:tcW w:w="95" w:type="dxa"/>
            <w:tcBorders/>
            <w:shd w:fill="FFFFFF" w:val="clear"/>
            <w:vAlign w:val="center"/>
          </w:tcPr>
          <w:p>
            <w:pPr>
              <w:pStyle w:val="TableContents"/>
              <w:bidi w:val="0"/>
              <w:spacing w:before="0" w:after="283"/>
              <w:ind w:left="0" w:right="0" w:hanging="180"/>
              <w:jc w:val="left"/>
              <w:rPr>
                <w:b/>
              </w:rPr>
            </w:pPr>
            <w:r>
              <w:rPr>
                <w:b/>
              </w:rPr>
              <w:t>%</w:t>
            </w:r>
          </w:p>
        </w:tc>
      </w:tr>
      <w:tr>
        <w:trPr/>
        <w:tc>
          <w:tcPr>
            <w:tcW w:w="1220" w:type="dxa"/>
            <w:tcBorders/>
            <w:shd w:fill="CCEEFF" w:val="clear"/>
            <w:vAlign w:val="center"/>
          </w:tcPr>
          <w:p>
            <w:pPr>
              <w:pStyle w:val="TableContents"/>
              <w:bidi w:val="0"/>
              <w:spacing w:before="0" w:after="283"/>
              <w:jc w:val="left"/>
              <w:rPr/>
            </w:pPr>
            <w:r>
              <w:rPr/>
              <w:t>Cost of Sales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(391,851</w:t>
            </w:r>
          </w:p>
        </w:tc>
        <w:tc>
          <w:tcPr>
            <w:tcW w:w="260"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(275,193</w:t>
            </w:r>
          </w:p>
        </w:tc>
        <w:tc>
          <w:tcPr>
            <w:tcW w:w="260"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98" w:type="dxa"/>
            <w:tcBorders/>
            <w:shd w:fill="CCEEFF" w:val="clear"/>
            <w:vAlign w:val="center"/>
          </w:tcPr>
          <w:p>
            <w:pPr>
              <w:pStyle w:val="TableContents"/>
              <w:bidi w:val="0"/>
              <w:spacing w:before="0" w:after="283"/>
              <w:jc w:val="left"/>
              <w:rPr/>
            </w:pPr>
            <w:r>
              <w:rPr/>
              <w:t> </w:t>
            </w:r>
          </w:p>
        </w:tc>
        <w:tc>
          <w:tcPr>
            <w:tcW w:w="552" w:type="dxa"/>
            <w:tcBorders/>
            <w:shd w:fill="CCEEFF" w:val="clear"/>
            <w:vAlign w:val="center"/>
          </w:tcPr>
          <w:p>
            <w:pPr>
              <w:pStyle w:val="TableContents"/>
              <w:bidi w:val="0"/>
              <w:spacing w:before="0" w:after="283"/>
              <w:jc w:val="right"/>
              <w:rPr/>
            </w:pPr>
            <w:r>
              <w:rPr/>
              <w:t>42</w:t>
            </w:r>
          </w:p>
        </w:tc>
        <w:tc>
          <w:tcPr>
            <w:tcW w:w="260"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(96,942</w:t>
            </w:r>
          </w:p>
        </w:tc>
        <w:tc>
          <w:tcPr>
            <w:tcW w:w="260"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(75,386</w:t>
            </w:r>
          </w:p>
        </w:tc>
        <w:tc>
          <w:tcPr>
            <w:tcW w:w="260"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21" w:type="dxa"/>
            <w:tcBorders/>
            <w:shd w:fill="CCEEFF" w:val="clear"/>
            <w:vAlign w:val="center"/>
          </w:tcPr>
          <w:p>
            <w:pPr>
              <w:pStyle w:val="TableContents"/>
              <w:bidi w:val="0"/>
              <w:spacing w:before="0" w:after="283"/>
              <w:jc w:val="left"/>
              <w:rPr/>
            </w:pPr>
            <w:r>
              <w:rPr/>
              <w:t> </w:t>
            </w:r>
          </w:p>
        </w:tc>
        <w:tc>
          <w:tcPr>
            <w:tcW w:w="529" w:type="dxa"/>
            <w:tcBorders/>
            <w:shd w:fill="CCEEFF" w:val="clear"/>
            <w:vAlign w:val="center"/>
          </w:tcPr>
          <w:p>
            <w:pPr>
              <w:pStyle w:val="TableContents"/>
              <w:bidi w:val="0"/>
              <w:spacing w:before="0" w:after="283"/>
              <w:jc w:val="right"/>
              <w:rPr/>
            </w:pPr>
            <w:r>
              <w:rPr/>
              <w:t>29</w:t>
            </w:r>
          </w:p>
        </w:tc>
        <w:tc>
          <w:tcPr>
            <w:tcW w:w="260"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(488,793</w:t>
            </w:r>
          </w:p>
        </w:tc>
        <w:tc>
          <w:tcPr>
            <w:tcW w:w="260"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(350,579</w:t>
            </w:r>
          </w:p>
        </w:tc>
        <w:tc>
          <w:tcPr>
            <w:tcW w:w="260"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98" w:type="dxa"/>
            <w:tcBorders/>
            <w:shd w:fill="CCEEFF" w:val="clear"/>
            <w:vAlign w:val="center"/>
          </w:tcPr>
          <w:p>
            <w:pPr>
              <w:pStyle w:val="TableContents"/>
              <w:bidi w:val="0"/>
              <w:spacing w:before="0" w:after="283"/>
              <w:jc w:val="left"/>
              <w:rPr/>
            </w:pPr>
            <w:r>
              <w:rPr/>
              <w:t> </w:t>
            </w:r>
          </w:p>
        </w:tc>
        <w:tc>
          <w:tcPr>
            <w:tcW w:w="552" w:type="dxa"/>
            <w:tcBorders/>
            <w:shd w:fill="CCEEFF" w:val="clear"/>
            <w:vAlign w:val="center"/>
          </w:tcPr>
          <w:p>
            <w:pPr>
              <w:pStyle w:val="TableContents"/>
              <w:bidi w:val="0"/>
              <w:spacing w:before="0" w:after="283"/>
              <w:jc w:val="right"/>
              <w:rPr/>
            </w:pPr>
            <w:r>
              <w:rPr/>
              <w:t>39</w:t>
            </w:r>
          </w:p>
        </w:tc>
        <w:tc>
          <w:tcPr>
            <w:tcW w:w="95" w:type="dxa"/>
            <w:tcBorders/>
            <w:shd w:fill="CCEEFF" w:val="clear"/>
            <w:vAlign w:val="center"/>
          </w:tcPr>
          <w:p>
            <w:pPr>
              <w:pStyle w:val="TableContents"/>
              <w:bidi w:val="0"/>
              <w:spacing w:before="0" w:after="283"/>
              <w:ind w:left="0" w:right="0" w:hanging="180"/>
              <w:jc w:val="left"/>
              <w:rPr/>
            </w:pPr>
            <w:r>
              <w:rPr/>
              <w:t>%</w:t>
            </w:r>
          </w:p>
        </w:tc>
      </w:tr>
      <w:tr>
        <w:trPr/>
        <w:tc>
          <w:tcPr>
            <w:tcW w:w="1220" w:type="dxa"/>
            <w:tcBorders/>
            <w:shd w:fill="FFFFFF" w:val="clear"/>
            <w:vAlign w:val="center"/>
          </w:tcPr>
          <w:p>
            <w:pPr>
              <w:pStyle w:val="TableContents"/>
              <w:bidi w:val="0"/>
              <w:spacing w:before="0" w:after="283"/>
              <w:jc w:val="left"/>
              <w:rPr/>
            </w:pPr>
            <w:r>
              <w:rPr/>
              <w:t>Gross Profit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911,721</w:t>
            </w:r>
          </w:p>
        </w:tc>
        <w:tc>
          <w:tcPr>
            <w:tcW w:w="2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834,398</w:t>
            </w:r>
          </w:p>
        </w:tc>
        <w:tc>
          <w:tcPr>
            <w:tcW w:w="2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 w:type="dxa"/>
            <w:tcBorders/>
            <w:shd w:fill="FFFFFF" w:val="clear"/>
            <w:vAlign w:val="center"/>
          </w:tcPr>
          <w:p>
            <w:pPr>
              <w:pStyle w:val="TableContents"/>
              <w:bidi w:val="0"/>
              <w:spacing w:before="0" w:after="283"/>
              <w:jc w:val="left"/>
              <w:rPr/>
            </w:pPr>
            <w:r>
              <w:rPr/>
              <w:t> </w:t>
            </w:r>
          </w:p>
        </w:tc>
        <w:tc>
          <w:tcPr>
            <w:tcW w:w="552" w:type="dxa"/>
            <w:tcBorders/>
            <w:shd w:fill="FFFFFF" w:val="clear"/>
            <w:vAlign w:val="center"/>
          </w:tcPr>
          <w:p>
            <w:pPr>
              <w:pStyle w:val="TableContents"/>
              <w:bidi w:val="0"/>
              <w:spacing w:before="0" w:after="283"/>
              <w:jc w:val="right"/>
              <w:rPr/>
            </w:pPr>
            <w:r>
              <w:rPr/>
              <w:t>9</w:t>
            </w:r>
          </w:p>
        </w:tc>
        <w:tc>
          <w:tcPr>
            <w:tcW w:w="260"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47,865</w:t>
            </w:r>
          </w:p>
        </w:tc>
        <w:tc>
          <w:tcPr>
            <w:tcW w:w="2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34,546</w:t>
            </w:r>
          </w:p>
        </w:tc>
        <w:tc>
          <w:tcPr>
            <w:tcW w:w="2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1" w:type="dxa"/>
            <w:tcBorders/>
            <w:shd w:fill="FFFFFF" w:val="clear"/>
            <w:vAlign w:val="center"/>
          </w:tcPr>
          <w:p>
            <w:pPr>
              <w:pStyle w:val="TableContents"/>
              <w:bidi w:val="0"/>
              <w:spacing w:before="0" w:after="283"/>
              <w:jc w:val="left"/>
              <w:rPr/>
            </w:pPr>
            <w:r>
              <w:rPr/>
              <w:t> </w:t>
            </w:r>
          </w:p>
        </w:tc>
        <w:tc>
          <w:tcPr>
            <w:tcW w:w="529" w:type="dxa"/>
            <w:tcBorders/>
            <w:shd w:fill="FFFFFF" w:val="clear"/>
            <w:vAlign w:val="center"/>
          </w:tcPr>
          <w:p>
            <w:pPr>
              <w:pStyle w:val="TableContents"/>
              <w:bidi w:val="0"/>
              <w:spacing w:before="0" w:after="283"/>
              <w:jc w:val="right"/>
              <w:rPr/>
            </w:pPr>
            <w:r>
              <w:rPr/>
              <w:t>39</w:t>
            </w:r>
          </w:p>
        </w:tc>
        <w:tc>
          <w:tcPr>
            <w:tcW w:w="260"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959,586</w:t>
            </w:r>
          </w:p>
        </w:tc>
        <w:tc>
          <w:tcPr>
            <w:tcW w:w="2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868,944</w:t>
            </w:r>
          </w:p>
        </w:tc>
        <w:tc>
          <w:tcPr>
            <w:tcW w:w="2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 w:type="dxa"/>
            <w:tcBorders/>
            <w:shd w:fill="FFFFFF" w:val="clear"/>
            <w:vAlign w:val="center"/>
          </w:tcPr>
          <w:p>
            <w:pPr>
              <w:pStyle w:val="TableContents"/>
              <w:bidi w:val="0"/>
              <w:spacing w:before="0" w:after="283"/>
              <w:jc w:val="left"/>
              <w:rPr/>
            </w:pPr>
            <w:r>
              <w:rPr/>
              <w:t> </w:t>
            </w:r>
          </w:p>
        </w:tc>
        <w:tc>
          <w:tcPr>
            <w:tcW w:w="552" w:type="dxa"/>
            <w:tcBorders/>
            <w:shd w:fill="FFFFFF" w:val="clear"/>
            <w:vAlign w:val="center"/>
          </w:tcPr>
          <w:p>
            <w:pPr>
              <w:pStyle w:val="TableContents"/>
              <w:bidi w:val="0"/>
              <w:spacing w:before="0" w:after="283"/>
              <w:jc w:val="right"/>
              <w:rPr/>
            </w:pPr>
            <w:r>
              <w:rPr/>
              <w:t>10</w:t>
            </w:r>
          </w:p>
        </w:tc>
        <w:tc>
          <w:tcPr>
            <w:tcW w:w="95" w:type="dxa"/>
            <w:tcBorders/>
            <w:shd w:fill="FFFFFF" w:val="clear"/>
            <w:vAlign w:val="center"/>
          </w:tcPr>
          <w:p>
            <w:pPr>
              <w:pStyle w:val="TableContents"/>
              <w:bidi w:val="0"/>
              <w:spacing w:before="0" w:after="283"/>
              <w:ind w:left="0" w:right="0" w:hanging="180"/>
              <w:jc w:val="left"/>
              <w:rPr/>
            </w:pPr>
            <w:r>
              <w:rPr/>
              <w:t>%</w:t>
            </w:r>
          </w:p>
        </w:tc>
      </w:tr>
      <w:tr>
        <w:trPr/>
        <w:tc>
          <w:tcPr>
            <w:tcW w:w="1220" w:type="dxa"/>
            <w:tcBorders/>
            <w:shd w:fill="CCEEFF" w:val="clear"/>
            <w:vAlign w:val="center"/>
          </w:tcPr>
          <w:p>
            <w:pPr>
              <w:pStyle w:val="TableContents"/>
              <w:bidi w:val="0"/>
              <w:spacing w:before="0" w:after="283"/>
              <w:jc w:val="left"/>
              <w:rPr/>
            </w:pPr>
            <w:r>
              <w:rPr/>
              <w:t>Gross Profit Margin</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70</w:t>
            </w:r>
          </w:p>
        </w:tc>
        <w:tc>
          <w:tcPr>
            <w:tcW w:w="260"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75</w:t>
            </w:r>
          </w:p>
        </w:tc>
        <w:tc>
          <w:tcPr>
            <w:tcW w:w="260"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98" w:type="dxa"/>
            <w:tcBorders/>
            <w:shd w:fill="CCEEFF" w:val="clear"/>
            <w:vAlign w:val="center"/>
          </w:tcPr>
          <w:p>
            <w:pPr>
              <w:pStyle w:val="TableContents"/>
              <w:bidi w:val="0"/>
              <w:spacing w:before="0" w:after="283"/>
              <w:jc w:val="left"/>
              <w:rPr/>
            </w:pPr>
            <w:r>
              <w:rPr/>
              <w:t> </w:t>
            </w:r>
          </w:p>
        </w:tc>
        <w:tc>
          <w:tcPr>
            <w:tcW w:w="552" w:type="dxa"/>
            <w:tcBorders/>
            <w:shd w:fill="CCEEFF" w:val="clear"/>
            <w:vAlign w:val="center"/>
          </w:tcPr>
          <w:p>
            <w:pPr>
              <w:pStyle w:val="TableContents"/>
              <w:bidi w:val="0"/>
              <w:spacing w:before="0" w:after="283"/>
              <w:jc w:val="right"/>
              <w:rPr/>
            </w:pPr>
            <w:r>
              <w:rPr/>
              <w:t> </w:t>
            </w:r>
          </w:p>
        </w:tc>
        <w:tc>
          <w:tcPr>
            <w:tcW w:w="2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33</w:t>
            </w:r>
          </w:p>
        </w:tc>
        <w:tc>
          <w:tcPr>
            <w:tcW w:w="260"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31</w:t>
            </w:r>
          </w:p>
        </w:tc>
        <w:tc>
          <w:tcPr>
            <w:tcW w:w="260"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21" w:type="dxa"/>
            <w:tcBorders/>
            <w:shd w:fill="CCEEFF" w:val="clear"/>
            <w:vAlign w:val="center"/>
          </w:tcPr>
          <w:p>
            <w:pPr>
              <w:pStyle w:val="TableContents"/>
              <w:bidi w:val="0"/>
              <w:spacing w:before="0" w:after="283"/>
              <w:jc w:val="left"/>
              <w:rPr/>
            </w:pPr>
            <w:r>
              <w:rPr/>
              <w:t> </w:t>
            </w:r>
          </w:p>
        </w:tc>
        <w:tc>
          <w:tcPr>
            <w:tcW w:w="529" w:type="dxa"/>
            <w:tcBorders/>
            <w:shd w:fill="CCEEFF" w:val="clear"/>
            <w:vAlign w:val="center"/>
          </w:tcPr>
          <w:p>
            <w:pPr>
              <w:pStyle w:val="TableContents"/>
              <w:bidi w:val="0"/>
              <w:spacing w:before="0" w:after="283"/>
              <w:jc w:val="right"/>
              <w:rPr/>
            </w:pPr>
            <w:r>
              <w:rPr/>
              <w:t> </w:t>
            </w:r>
          </w:p>
        </w:tc>
        <w:tc>
          <w:tcPr>
            <w:tcW w:w="2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66</w:t>
            </w:r>
          </w:p>
        </w:tc>
        <w:tc>
          <w:tcPr>
            <w:tcW w:w="260"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71</w:t>
            </w:r>
          </w:p>
        </w:tc>
        <w:tc>
          <w:tcPr>
            <w:tcW w:w="260"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98" w:type="dxa"/>
            <w:tcBorders/>
            <w:shd w:fill="CCEEFF" w:val="clear"/>
            <w:vAlign w:val="center"/>
          </w:tcPr>
          <w:p>
            <w:pPr>
              <w:pStyle w:val="TableContents"/>
              <w:bidi w:val="0"/>
              <w:spacing w:before="0" w:after="283"/>
              <w:jc w:val="left"/>
              <w:rPr/>
            </w:pPr>
            <w:r>
              <w:rPr/>
              <w:t> </w:t>
            </w:r>
          </w:p>
        </w:tc>
        <w:tc>
          <w:tcPr>
            <w:tcW w:w="552"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ind w:left="0" w:right="0" w:hanging="180"/>
              <w:jc w:val="left"/>
              <w:rPr/>
            </w:pPr>
            <w:r>
              <w:rPr/>
              <w:t> </w:t>
            </w:r>
          </w:p>
        </w:tc>
      </w:tr>
      <w:tr>
        <w:trPr/>
        <w:tc>
          <w:tcPr>
            <w:tcW w:w="1220" w:type="dxa"/>
            <w:tcBorders/>
            <w:shd w:fill="FFFFFF" w:val="clear"/>
            <w:vAlign w:val="center"/>
          </w:tcPr>
          <w:p>
            <w:pPr>
              <w:pStyle w:val="TableContents"/>
              <w:bidi w:val="0"/>
              <w:spacing w:before="0" w:after="283"/>
              <w:jc w:val="left"/>
              <w:rPr/>
            </w:pPr>
            <w:r>
              <w:rPr/>
              <w:t>Operating Profit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324,066</w:t>
            </w:r>
          </w:p>
        </w:tc>
        <w:tc>
          <w:tcPr>
            <w:tcW w:w="2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376,649</w:t>
            </w:r>
          </w:p>
        </w:tc>
        <w:tc>
          <w:tcPr>
            <w:tcW w:w="2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 w:type="dxa"/>
            <w:tcBorders/>
            <w:shd w:fill="FFFFFF" w:val="clear"/>
            <w:vAlign w:val="center"/>
          </w:tcPr>
          <w:p>
            <w:pPr>
              <w:pStyle w:val="TableContents"/>
              <w:bidi w:val="0"/>
              <w:spacing w:before="0" w:after="283"/>
              <w:jc w:val="left"/>
              <w:rPr/>
            </w:pPr>
            <w:r>
              <w:rPr/>
              <w:t> </w:t>
            </w:r>
          </w:p>
        </w:tc>
        <w:tc>
          <w:tcPr>
            <w:tcW w:w="552" w:type="dxa"/>
            <w:tcBorders/>
            <w:shd w:fill="FFFFFF" w:val="clear"/>
            <w:vAlign w:val="center"/>
          </w:tcPr>
          <w:p>
            <w:pPr>
              <w:pStyle w:val="TableContents"/>
              <w:bidi w:val="0"/>
              <w:spacing w:before="0" w:after="283"/>
              <w:jc w:val="right"/>
              <w:rPr/>
            </w:pPr>
            <w:r>
              <w:rPr/>
              <w:t>(14</w:t>
            </w:r>
          </w:p>
        </w:tc>
        <w:tc>
          <w:tcPr>
            <w:tcW w:w="260"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13,654</w:t>
            </w:r>
          </w:p>
        </w:tc>
        <w:tc>
          <w:tcPr>
            <w:tcW w:w="2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8,564</w:t>
            </w:r>
          </w:p>
        </w:tc>
        <w:tc>
          <w:tcPr>
            <w:tcW w:w="2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1" w:type="dxa"/>
            <w:tcBorders/>
            <w:shd w:fill="FFFFFF" w:val="clear"/>
            <w:vAlign w:val="center"/>
          </w:tcPr>
          <w:p>
            <w:pPr>
              <w:pStyle w:val="TableContents"/>
              <w:bidi w:val="0"/>
              <w:spacing w:before="0" w:after="283"/>
              <w:jc w:val="left"/>
              <w:rPr/>
            </w:pPr>
            <w:r>
              <w:rPr/>
              <w:t> </w:t>
            </w:r>
          </w:p>
        </w:tc>
        <w:tc>
          <w:tcPr>
            <w:tcW w:w="529" w:type="dxa"/>
            <w:tcBorders/>
            <w:shd w:fill="FFFFFF" w:val="clear"/>
            <w:vAlign w:val="center"/>
          </w:tcPr>
          <w:p>
            <w:pPr>
              <w:pStyle w:val="TableContents"/>
              <w:bidi w:val="0"/>
              <w:spacing w:before="0" w:after="283"/>
              <w:jc w:val="right"/>
              <w:rPr/>
            </w:pPr>
            <w:r>
              <w:rPr/>
              <w:t>59</w:t>
            </w:r>
          </w:p>
        </w:tc>
        <w:tc>
          <w:tcPr>
            <w:tcW w:w="260"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337,720</w:t>
            </w:r>
          </w:p>
        </w:tc>
        <w:tc>
          <w:tcPr>
            <w:tcW w:w="2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385,213</w:t>
            </w:r>
          </w:p>
        </w:tc>
        <w:tc>
          <w:tcPr>
            <w:tcW w:w="2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 w:type="dxa"/>
            <w:tcBorders/>
            <w:shd w:fill="FFFFFF" w:val="clear"/>
            <w:vAlign w:val="center"/>
          </w:tcPr>
          <w:p>
            <w:pPr>
              <w:pStyle w:val="TableContents"/>
              <w:bidi w:val="0"/>
              <w:spacing w:before="0" w:after="283"/>
              <w:jc w:val="left"/>
              <w:rPr/>
            </w:pPr>
            <w:r>
              <w:rPr/>
              <w:t> </w:t>
            </w:r>
          </w:p>
        </w:tc>
        <w:tc>
          <w:tcPr>
            <w:tcW w:w="552" w:type="dxa"/>
            <w:tcBorders/>
            <w:shd w:fill="FFFFFF" w:val="clear"/>
            <w:vAlign w:val="center"/>
          </w:tcPr>
          <w:p>
            <w:pPr>
              <w:pStyle w:val="TableContents"/>
              <w:bidi w:val="0"/>
              <w:spacing w:before="0" w:after="283"/>
              <w:jc w:val="right"/>
              <w:rPr/>
            </w:pPr>
            <w:r>
              <w:rPr/>
              <w:t>(12</w:t>
            </w:r>
          </w:p>
        </w:tc>
        <w:tc>
          <w:tcPr>
            <w:tcW w:w="95" w:type="dxa"/>
            <w:tcBorders/>
            <w:shd w:fill="FFFFFF" w:val="clear"/>
            <w:vAlign w:val="center"/>
          </w:tcPr>
          <w:p>
            <w:pPr>
              <w:pStyle w:val="TableContents"/>
              <w:bidi w:val="0"/>
              <w:spacing w:before="0" w:after="283"/>
              <w:ind w:left="0" w:right="0" w:hanging="180"/>
              <w:jc w:val="left"/>
              <w:rPr/>
            </w:pPr>
            <w:r>
              <w:rPr/>
              <w:t>)%</w:t>
            </w:r>
          </w:p>
        </w:tc>
      </w:tr>
      <w:tr>
        <w:trPr/>
        <w:tc>
          <w:tcPr>
            <w:tcW w:w="1220" w:type="dxa"/>
            <w:tcBorders/>
            <w:shd w:fill="CCEEFF" w:val="clear"/>
            <w:vAlign w:val="center"/>
          </w:tcPr>
          <w:p>
            <w:pPr>
              <w:pStyle w:val="TableContents"/>
              <w:bidi w:val="0"/>
              <w:spacing w:before="0" w:after="283"/>
              <w:jc w:val="left"/>
              <w:rPr/>
            </w:pPr>
            <w:r>
              <w:rPr/>
              <w:t>Operating Profit Margin</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25</w:t>
            </w:r>
          </w:p>
        </w:tc>
        <w:tc>
          <w:tcPr>
            <w:tcW w:w="260"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34</w:t>
            </w:r>
          </w:p>
        </w:tc>
        <w:tc>
          <w:tcPr>
            <w:tcW w:w="260"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98" w:type="dxa"/>
            <w:tcBorders/>
            <w:shd w:fill="CCEEFF" w:val="clear"/>
            <w:vAlign w:val="center"/>
          </w:tcPr>
          <w:p>
            <w:pPr>
              <w:pStyle w:val="TableContents"/>
              <w:bidi w:val="0"/>
              <w:spacing w:before="0" w:after="283"/>
              <w:jc w:val="left"/>
              <w:rPr/>
            </w:pPr>
            <w:r>
              <w:rPr/>
              <w:t> </w:t>
            </w:r>
          </w:p>
        </w:tc>
        <w:tc>
          <w:tcPr>
            <w:tcW w:w="552" w:type="dxa"/>
            <w:tcBorders/>
            <w:shd w:fill="CCEEFF" w:val="clear"/>
            <w:vAlign w:val="center"/>
          </w:tcPr>
          <w:p>
            <w:pPr>
              <w:pStyle w:val="TableContents"/>
              <w:bidi w:val="0"/>
              <w:spacing w:before="0" w:after="283"/>
              <w:jc w:val="right"/>
              <w:rPr/>
            </w:pPr>
            <w:r>
              <w:rPr/>
              <w:t> </w:t>
            </w:r>
          </w:p>
        </w:tc>
        <w:tc>
          <w:tcPr>
            <w:tcW w:w="2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9</w:t>
            </w:r>
          </w:p>
        </w:tc>
        <w:tc>
          <w:tcPr>
            <w:tcW w:w="260"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8</w:t>
            </w:r>
          </w:p>
        </w:tc>
        <w:tc>
          <w:tcPr>
            <w:tcW w:w="260"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21" w:type="dxa"/>
            <w:tcBorders/>
            <w:shd w:fill="CCEEFF" w:val="clear"/>
            <w:vAlign w:val="center"/>
          </w:tcPr>
          <w:p>
            <w:pPr>
              <w:pStyle w:val="TableContents"/>
              <w:bidi w:val="0"/>
              <w:spacing w:before="0" w:after="283"/>
              <w:jc w:val="left"/>
              <w:rPr/>
            </w:pPr>
            <w:r>
              <w:rPr/>
              <w:t> </w:t>
            </w:r>
          </w:p>
        </w:tc>
        <w:tc>
          <w:tcPr>
            <w:tcW w:w="529" w:type="dxa"/>
            <w:tcBorders/>
            <w:shd w:fill="CCEEFF" w:val="clear"/>
            <w:vAlign w:val="center"/>
          </w:tcPr>
          <w:p>
            <w:pPr>
              <w:pStyle w:val="TableContents"/>
              <w:bidi w:val="0"/>
              <w:spacing w:before="0" w:after="283"/>
              <w:jc w:val="right"/>
              <w:rPr/>
            </w:pPr>
            <w:r>
              <w:rPr/>
              <w:t> </w:t>
            </w:r>
          </w:p>
        </w:tc>
        <w:tc>
          <w:tcPr>
            <w:tcW w:w="2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23</w:t>
            </w:r>
          </w:p>
        </w:tc>
        <w:tc>
          <w:tcPr>
            <w:tcW w:w="260"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32</w:t>
            </w:r>
          </w:p>
        </w:tc>
        <w:tc>
          <w:tcPr>
            <w:tcW w:w="260"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98" w:type="dxa"/>
            <w:tcBorders/>
            <w:shd w:fill="CCEEFF" w:val="clear"/>
            <w:vAlign w:val="center"/>
          </w:tcPr>
          <w:p>
            <w:pPr>
              <w:pStyle w:val="TableContents"/>
              <w:bidi w:val="0"/>
              <w:spacing w:before="0" w:after="283"/>
              <w:jc w:val="left"/>
              <w:rPr/>
            </w:pPr>
            <w:r>
              <w:rPr/>
              <w:t> </w:t>
            </w:r>
          </w:p>
        </w:tc>
        <w:tc>
          <w:tcPr>
            <w:tcW w:w="552"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ind w:left="0" w:right="0" w:hanging="180"/>
              <w:jc w:val="left"/>
              <w:rPr/>
            </w:pPr>
            <w:r>
              <w:rPr/>
              <w:t> </w:t>
            </w:r>
          </w:p>
        </w:tc>
      </w:tr>
      <w:tr>
        <w:trPr/>
        <w:tc>
          <w:tcPr>
            <w:tcW w:w="1220" w:type="dxa"/>
            <w:tcBorders/>
            <w:shd w:fill="FFFFFF" w:val="clear"/>
            <w:vAlign w:val="center"/>
          </w:tcPr>
          <w:p>
            <w:pPr>
              <w:pStyle w:val="TableContents"/>
              <w:bidi w:val="0"/>
              <w:spacing w:before="0" w:after="283"/>
              <w:jc w:val="left"/>
              <w:rPr/>
            </w:pPr>
            <w:r>
              <w:rPr/>
              <w:t> </w:t>
            </w:r>
            <w:r>
              <w:rPr>
                <w:b/>
              </w:rPr>
              <w:t>Adjusted EBITDA (a non-IFRS measure)</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b/>
              </w:rPr>
            </w:pPr>
            <w:r>
              <w:rPr>
                <w:b/>
              </w:rPr>
              <w:t>568,745</w:t>
            </w:r>
          </w:p>
        </w:tc>
        <w:tc>
          <w:tcPr>
            <w:tcW w:w="2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b/>
              </w:rPr>
            </w:pPr>
            <w:r>
              <w:rPr>
                <w:b/>
              </w:rPr>
              <w:t>533,579</w:t>
            </w:r>
          </w:p>
        </w:tc>
        <w:tc>
          <w:tcPr>
            <w:tcW w:w="2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 w:type="dxa"/>
            <w:tcBorders/>
            <w:shd w:fill="FFFFFF" w:val="clear"/>
            <w:vAlign w:val="center"/>
          </w:tcPr>
          <w:p>
            <w:pPr>
              <w:pStyle w:val="TableContents"/>
              <w:bidi w:val="0"/>
              <w:spacing w:before="0" w:after="283"/>
              <w:jc w:val="left"/>
              <w:rPr/>
            </w:pPr>
            <w:r>
              <w:rPr/>
              <w:t> </w:t>
            </w:r>
          </w:p>
        </w:tc>
        <w:tc>
          <w:tcPr>
            <w:tcW w:w="552" w:type="dxa"/>
            <w:tcBorders/>
            <w:shd w:fill="FFFFFF" w:val="clear"/>
            <w:vAlign w:val="center"/>
          </w:tcPr>
          <w:p>
            <w:pPr>
              <w:pStyle w:val="TableContents"/>
              <w:bidi w:val="0"/>
              <w:spacing w:before="0" w:after="283"/>
              <w:jc w:val="right"/>
              <w:rPr>
                <w:b/>
              </w:rPr>
            </w:pPr>
            <w:r>
              <w:rPr>
                <w:b/>
              </w:rPr>
              <w:t>7</w:t>
            </w:r>
          </w:p>
        </w:tc>
        <w:tc>
          <w:tcPr>
            <w:tcW w:w="260" w:type="dxa"/>
            <w:tcBorders/>
            <w:shd w:fill="FFFFFF" w:val="clear"/>
            <w:vAlign w:val="center"/>
          </w:tcPr>
          <w:p>
            <w:pPr>
              <w:pStyle w:val="TableContents"/>
              <w:bidi w:val="0"/>
              <w:spacing w:before="0" w:after="283"/>
              <w:jc w:val="left"/>
              <w:rPr>
                <w:b/>
              </w:rPr>
            </w:pPr>
            <w:r>
              <w:rPr>
                <w:b/>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b/>
              </w:rPr>
            </w:pPr>
            <w:r>
              <w:rPr>
                <w:b/>
              </w:rPr>
              <w:t>14,367</w:t>
            </w:r>
          </w:p>
        </w:tc>
        <w:tc>
          <w:tcPr>
            <w:tcW w:w="2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b/>
              </w:rPr>
            </w:pPr>
            <w:r>
              <w:rPr>
                <w:b/>
              </w:rPr>
              <w:t>9,393</w:t>
            </w:r>
          </w:p>
        </w:tc>
        <w:tc>
          <w:tcPr>
            <w:tcW w:w="2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1" w:type="dxa"/>
            <w:tcBorders/>
            <w:shd w:fill="FFFFFF" w:val="clear"/>
            <w:vAlign w:val="center"/>
          </w:tcPr>
          <w:p>
            <w:pPr>
              <w:pStyle w:val="TableContents"/>
              <w:bidi w:val="0"/>
              <w:spacing w:before="0" w:after="283"/>
              <w:jc w:val="left"/>
              <w:rPr/>
            </w:pPr>
            <w:r>
              <w:rPr/>
              <w:t> </w:t>
            </w:r>
          </w:p>
        </w:tc>
        <w:tc>
          <w:tcPr>
            <w:tcW w:w="529" w:type="dxa"/>
            <w:tcBorders/>
            <w:shd w:fill="FFFFFF" w:val="clear"/>
            <w:vAlign w:val="center"/>
          </w:tcPr>
          <w:p>
            <w:pPr>
              <w:pStyle w:val="TableContents"/>
              <w:bidi w:val="0"/>
              <w:spacing w:before="0" w:after="283"/>
              <w:jc w:val="right"/>
              <w:rPr>
                <w:b/>
              </w:rPr>
            </w:pPr>
            <w:r>
              <w:rPr>
                <w:b/>
              </w:rPr>
              <w:t>53</w:t>
            </w:r>
          </w:p>
        </w:tc>
        <w:tc>
          <w:tcPr>
            <w:tcW w:w="260" w:type="dxa"/>
            <w:tcBorders/>
            <w:shd w:fill="FFFFFF" w:val="clear"/>
            <w:vAlign w:val="center"/>
          </w:tcPr>
          <w:p>
            <w:pPr>
              <w:pStyle w:val="TableContents"/>
              <w:bidi w:val="0"/>
              <w:spacing w:before="0" w:after="283"/>
              <w:jc w:val="left"/>
              <w:rPr>
                <w:b/>
              </w:rPr>
            </w:pPr>
            <w:r>
              <w:rPr>
                <w:b/>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b/>
              </w:rPr>
            </w:pPr>
            <w:r>
              <w:rPr>
                <w:b/>
              </w:rPr>
              <w:t>583,112</w:t>
            </w:r>
          </w:p>
        </w:tc>
        <w:tc>
          <w:tcPr>
            <w:tcW w:w="2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b/>
              </w:rPr>
            </w:pPr>
            <w:r>
              <w:rPr>
                <w:b/>
              </w:rPr>
              <w:t>542,972</w:t>
            </w:r>
          </w:p>
        </w:tc>
        <w:tc>
          <w:tcPr>
            <w:tcW w:w="2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 w:type="dxa"/>
            <w:tcBorders/>
            <w:shd w:fill="FFFFFF" w:val="clear"/>
            <w:vAlign w:val="center"/>
          </w:tcPr>
          <w:p>
            <w:pPr>
              <w:pStyle w:val="TableContents"/>
              <w:bidi w:val="0"/>
              <w:spacing w:before="0" w:after="283"/>
              <w:jc w:val="left"/>
              <w:rPr/>
            </w:pPr>
            <w:r>
              <w:rPr/>
              <w:t> </w:t>
            </w:r>
          </w:p>
        </w:tc>
        <w:tc>
          <w:tcPr>
            <w:tcW w:w="552" w:type="dxa"/>
            <w:tcBorders/>
            <w:shd w:fill="FFFFFF" w:val="clear"/>
            <w:vAlign w:val="center"/>
          </w:tcPr>
          <w:p>
            <w:pPr>
              <w:pStyle w:val="TableContents"/>
              <w:bidi w:val="0"/>
              <w:spacing w:before="0" w:after="283"/>
              <w:jc w:val="right"/>
              <w:rPr>
                <w:b/>
              </w:rPr>
            </w:pPr>
            <w:r>
              <w:rPr>
                <w:b/>
              </w:rPr>
              <w:t>7</w:t>
            </w:r>
          </w:p>
        </w:tc>
        <w:tc>
          <w:tcPr>
            <w:tcW w:w="95" w:type="dxa"/>
            <w:tcBorders/>
            <w:shd w:fill="FFFFFF" w:val="clear"/>
            <w:vAlign w:val="center"/>
          </w:tcPr>
          <w:p>
            <w:pPr>
              <w:pStyle w:val="TableContents"/>
              <w:bidi w:val="0"/>
              <w:spacing w:before="0" w:after="283"/>
              <w:ind w:left="0" w:right="0" w:hanging="180"/>
              <w:jc w:val="left"/>
              <w:rPr>
                <w:b/>
              </w:rPr>
            </w:pPr>
            <w:r>
              <w:rPr>
                <w:b/>
              </w:rPr>
              <w:t>%</w:t>
            </w:r>
          </w:p>
        </w:tc>
      </w:tr>
      <w:tr>
        <w:trPr/>
        <w:tc>
          <w:tcPr>
            <w:tcW w:w="1220" w:type="dxa"/>
            <w:tcBorders/>
            <w:shd w:fill="CCEEFF" w:val="clear"/>
            <w:vAlign w:val="center"/>
          </w:tcPr>
          <w:p>
            <w:pPr>
              <w:pStyle w:val="TableContents"/>
              <w:bidi w:val="0"/>
              <w:spacing w:before="0" w:after="283"/>
              <w:jc w:val="left"/>
              <w:rPr>
                <w:b/>
              </w:rPr>
            </w:pPr>
            <w:r>
              <w:rPr>
                <w:b/>
              </w:rPr>
              <w:t>Adjusted EBITDA Margin (a non-IFRS measure)</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b/>
              </w:rPr>
            </w:pPr>
            <w:r>
              <w:rPr>
                <w:b/>
              </w:rPr>
              <w:t>44</w:t>
            </w:r>
          </w:p>
        </w:tc>
        <w:tc>
          <w:tcPr>
            <w:tcW w:w="260" w:type="dxa"/>
            <w:tcBorders/>
            <w:shd w:fill="CCEEFF" w:val="clear"/>
            <w:vAlign w:val="center"/>
          </w:tcPr>
          <w:p>
            <w:pPr>
              <w:pStyle w:val="TableContents"/>
              <w:bidi w:val="0"/>
              <w:spacing w:before="0" w:after="283"/>
              <w:jc w:val="left"/>
              <w:rPr>
                <w:b/>
              </w:rPr>
            </w:pPr>
            <w:r>
              <w:rPr>
                <w:b/>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b/>
              </w:rPr>
            </w:pPr>
            <w:r>
              <w:rPr>
                <w:b/>
              </w:rPr>
              <w:t>48</w:t>
            </w:r>
          </w:p>
        </w:tc>
        <w:tc>
          <w:tcPr>
            <w:tcW w:w="260" w:type="dxa"/>
            <w:tcBorders/>
            <w:shd w:fill="CCEEFF" w:val="clear"/>
            <w:vAlign w:val="center"/>
          </w:tcPr>
          <w:p>
            <w:pPr>
              <w:pStyle w:val="TableContents"/>
              <w:bidi w:val="0"/>
              <w:spacing w:before="0" w:after="283"/>
              <w:jc w:val="left"/>
              <w:rPr>
                <w:b/>
              </w:rPr>
            </w:pPr>
            <w:r>
              <w:rPr>
                <w:b/>
              </w:rPr>
              <w:t>%</w:t>
            </w:r>
          </w:p>
        </w:tc>
        <w:tc>
          <w:tcPr>
            <w:tcW w:w="60" w:type="dxa"/>
            <w:tcBorders/>
            <w:shd w:fill="CCEEFF" w:val="clear"/>
            <w:vAlign w:val="center"/>
          </w:tcPr>
          <w:p>
            <w:pPr>
              <w:pStyle w:val="TableContents"/>
              <w:bidi w:val="0"/>
              <w:spacing w:before="0" w:after="283"/>
              <w:jc w:val="left"/>
              <w:rPr/>
            </w:pPr>
            <w:r>
              <w:rPr/>
              <w:t> </w:t>
            </w:r>
          </w:p>
        </w:tc>
        <w:tc>
          <w:tcPr>
            <w:tcW w:w="98" w:type="dxa"/>
            <w:tcBorders/>
            <w:shd w:fill="CCEEFF" w:val="clear"/>
            <w:vAlign w:val="center"/>
          </w:tcPr>
          <w:p>
            <w:pPr>
              <w:pStyle w:val="TableContents"/>
              <w:bidi w:val="0"/>
              <w:spacing w:before="0" w:after="283"/>
              <w:jc w:val="left"/>
              <w:rPr/>
            </w:pPr>
            <w:r>
              <w:rPr/>
              <w:t> </w:t>
            </w:r>
          </w:p>
        </w:tc>
        <w:tc>
          <w:tcPr>
            <w:tcW w:w="552" w:type="dxa"/>
            <w:tcBorders/>
            <w:shd w:fill="CCEEFF" w:val="clear"/>
            <w:vAlign w:val="center"/>
          </w:tcPr>
          <w:p>
            <w:pPr>
              <w:pStyle w:val="TableContents"/>
              <w:bidi w:val="0"/>
              <w:spacing w:before="0" w:after="283"/>
              <w:jc w:val="right"/>
              <w:rPr/>
            </w:pPr>
            <w:r>
              <w:rPr/>
              <w:t> </w:t>
            </w:r>
          </w:p>
        </w:tc>
        <w:tc>
          <w:tcPr>
            <w:tcW w:w="2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b/>
              </w:rPr>
            </w:pPr>
            <w:r>
              <w:rPr>
                <w:b/>
              </w:rPr>
              <w:t>10</w:t>
            </w:r>
          </w:p>
        </w:tc>
        <w:tc>
          <w:tcPr>
            <w:tcW w:w="260" w:type="dxa"/>
            <w:tcBorders/>
            <w:shd w:fill="CCEEFF" w:val="clear"/>
            <w:vAlign w:val="center"/>
          </w:tcPr>
          <w:p>
            <w:pPr>
              <w:pStyle w:val="TableContents"/>
              <w:bidi w:val="0"/>
              <w:spacing w:before="0" w:after="283"/>
              <w:jc w:val="left"/>
              <w:rPr>
                <w:b/>
              </w:rPr>
            </w:pPr>
            <w:r>
              <w:rPr>
                <w:b/>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b/>
              </w:rPr>
            </w:pPr>
            <w:r>
              <w:rPr>
                <w:b/>
              </w:rPr>
              <w:t>9</w:t>
            </w:r>
          </w:p>
        </w:tc>
        <w:tc>
          <w:tcPr>
            <w:tcW w:w="260" w:type="dxa"/>
            <w:tcBorders/>
            <w:shd w:fill="CCEEFF" w:val="clear"/>
            <w:vAlign w:val="center"/>
          </w:tcPr>
          <w:p>
            <w:pPr>
              <w:pStyle w:val="TableContents"/>
              <w:bidi w:val="0"/>
              <w:spacing w:before="0" w:after="283"/>
              <w:jc w:val="left"/>
              <w:rPr>
                <w:b/>
              </w:rPr>
            </w:pPr>
            <w:r>
              <w:rPr>
                <w:b/>
              </w:rPr>
              <w:t>%</w:t>
            </w:r>
          </w:p>
        </w:tc>
        <w:tc>
          <w:tcPr>
            <w:tcW w:w="60" w:type="dxa"/>
            <w:tcBorders/>
            <w:shd w:fill="CCEEFF" w:val="clear"/>
            <w:vAlign w:val="center"/>
          </w:tcPr>
          <w:p>
            <w:pPr>
              <w:pStyle w:val="TableContents"/>
              <w:bidi w:val="0"/>
              <w:spacing w:before="0" w:after="283"/>
              <w:jc w:val="left"/>
              <w:rPr/>
            </w:pPr>
            <w:r>
              <w:rPr/>
              <w:t> </w:t>
            </w:r>
          </w:p>
        </w:tc>
        <w:tc>
          <w:tcPr>
            <w:tcW w:w="121" w:type="dxa"/>
            <w:tcBorders/>
            <w:shd w:fill="CCEEFF" w:val="clear"/>
            <w:vAlign w:val="center"/>
          </w:tcPr>
          <w:p>
            <w:pPr>
              <w:pStyle w:val="TableContents"/>
              <w:bidi w:val="0"/>
              <w:spacing w:before="0" w:after="283"/>
              <w:jc w:val="left"/>
              <w:rPr/>
            </w:pPr>
            <w:r>
              <w:rPr/>
              <w:t> </w:t>
            </w:r>
          </w:p>
        </w:tc>
        <w:tc>
          <w:tcPr>
            <w:tcW w:w="529" w:type="dxa"/>
            <w:tcBorders/>
            <w:shd w:fill="CCEEFF" w:val="clear"/>
            <w:vAlign w:val="center"/>
          </w:tcPr>
          <w:p>
            <w:pPr>
              <w:pStyle w:val="TableContents"/>
              <w:bidi w:val="0"/>
              <w:spacing w:before="0" w:after="283"/>
              <w:jc w:val="right"/>
              <w:rPr/>
            </w:pPr>
            <w:r>
              <w:rPr/>
              <w:t> </w:t>
            </w:r>
          </w:p>
        </w:tc>
        <w:tc>
          <w:tcPr>
            <w:tcW w:w="2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b/>
              </w:rPr>
            </w:pPr>
            <w:r>
              <w:rPr>
                <w:b/>
              </w:rPr>
              <w:t>40</w:t>
            </w:r>
          </w:p>
        </w:tc>
        <w:tc>
          <w:tcPr>
            <w:tcW w:w="260" w:type="dxa"/>
            <w:tcBorders/>
            <w:shd w:fill="CCEEFF" w:val="clear"/>
            <w:vAlign w:val="center"/>
          </w:tcPr>
          <w:p>
            <w:pPr>
              <w:pStyle w:val="TableContents"/>
              <w:bidi w:val="0"/>
              <w:spacing w:before="0" w:after="283"/>
              <w:jc w:val="left"/>
              <w:rPr>
                <w:b/>
              </w:rPr>
            </w:pPr>
            <w:r>
              <w:rPr>
                <w:b/>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b/>
              </w:rPr>
            </w:pPr>
            <w:r>
              <w:rPr>
                <w:b/>
              </w:rPr>
              <w:t>45</w:t>
            </w:r>
          </w:p>
        </w:tc>
        <w:tc>
          <w:tcPr>
            <w:tcW w:w="260" w:type="dxa"/>
            <w:tcBorders/>
            <w:shd w:fill="CCEEFF" w:val="clear"/>
            <w:vAlign w:val="center"/>
          </w:tcPr>
          <w:p>
            <w:pPr>
              <w:pStyle w:val="TableContents"/>
              <w:bidi w:val="0"/>
              <w:spacing w:before="0" w:after="283"/>
              <w:jc w:val="left"/>
              <w:rPr>
                <w:b/>
              </w:rPr>
            </w:pPr>
            <w:r>
              <w:rPr>
                <w:b/>
              </w:rPr>
              <w:t>%</w:t>
            </w:r>
          </w:p>
        </w:tc>
        <w:tc>
          <w:tcPr>
            <w:tcW w:w="60" w:type="dxa"/>
            <w:tcBorders/>
            <w:shd w:fill="CCEEFF" w:val="clear"/>
            <w:vAlign w:val="center"/>
          </w:tcPr>
          <w:p>
            <w:pPr>
              <w:pStyle w:val="TableContents"/>
              <w:bidi w:val="0"/>
              <w:spacing w:before="0" w:after="283"/>
              <w:jc w:val="left"/>
              <w:rPr/>
            </w:pPr>
            <w:r>
              <w:rPr/>
              <w:t> </w:t>
            </w:r>
          </w:p>
        </w:tc>
        <w:tc>
          <w:tcPr>
            <w:tcW w:w="98" w:type="dxa"/>
            <w:tcBorders/>
            <w:shd w:fill="CCEEFF" w:val="clear"/>
            <w:vAlign w:val="center"/>
          </w:tcPr>
          <w:p>
            <w:pPr>
              <w:pStyle w:val="TableContents"/>
              <w:bidi w:val="0"/>
              <w:spacing w:before="0" w:after="283"/>
              <w:jc w:val="left"/>
              <w:rPr/>
            </w:pPr>
            <w:r>
              <w:rPr/>
              <w:t> </w:t>
            </w:r>
          </w:p>
        </w:tc>
        <w:tc>
          <w:tcPr>
            <w:tcW w:w="552"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tbl>
      <w:tblPr>
        <w:tblW w:w="7930" w:type="dxa"/>
        <w:jc w:val="left"/>
        <w:tblInd w:w="0" w:type="dxa"/>
        <w:tblLayout w:type="fixed"/>
        <w:tblCellMar>
          <w:top w:w="0" w:type="dxa"/>
          <w:left w:w="0" w:type="dxa"/>
          <w:bottom w:w="0" w:type="dxa"/>
          <w:right w:w="0" w:type="dxa"/>
        </w:tblCellMar>
      </w:tblPr>
      <w:tblGrid>
        <w:gridCol w:w="185"/>
        <w:gridCol w:w="7745"/>
      </w:tblGrid>
      <w:tr>
        <w:trPr/>
        <w:tc>
          <w:tcPr>
            <w:tcW w:w="185" w:type="dxa"/>
            <w:tcBorders/>
            <w:vAlign w:val="center"/>
          </w:tcPr>
          <w:p>
            <w:pPr>
              <w:pStyle w:val="TableContents"/>
              <w:bidi w:val="0"/>
              <w:spacing w:before="0" w:after="283"/>
              <w:jc w:val="both"/>
              <w:rPr>
                <w:rFonts w:ascii="Times New Roman;Times;Serif" w:hAnsi="Times New Roman;Times;Serif"/>
                <w:i/>
                <w:sz w:val="20"/>
              </w:rPr>
            </w:pPr>
            <w:r>
              <w:rPr>
                <w:rFonts w:ascii="Times New Roman;Times;Serif" w:hAnsi="Times New Roman;Times;Serif"/>
                <w:i/>
                <w:sz w:val="20"/>
              </w:rPr>
              <w:t>1.</w:t>
            </w:r>
          </w:p>
        </w:tc>
        <w:tc>
          <w:tcPr>
            <w:tcW w:w="774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i/>
                <w:sz w:val="20"/>
              </w:rPr>
              <w:t>Other revenue is non-subscription-based revenue. Cartrack remains focused on bundled sales.</w:t>
            </w:r>
            <w:r>
              <w:rPr>
                <w:rFonts w:ascii="Times New Roman;Times;Serif" w:hAnsi="Times New Roman;Times;Serif"/>
                <w:sz w:val="20"/>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Total Revenue and Subscription Revenue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Karooooo’s total revenue increased 19% to ZAR1,448 million (Q4 2025: ZAR 1,220 million), and subscription revenue increased 18% to ZAR1,281 million in Q4 2026 (Q4 2025: ZAR1,086 million). On a constant currency basis, a non-IFRS measure, total revenue increased 21% and subscription revenue increased 20%.</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Cartrack’s total revenue increased 17% to ZAR1,304 million (Q4 2025: ZAR1,110 million). Cartrack’s subscription revenue increased 18% to a record ZAR1,278 million in Q4 2026 (Q4 2025: ZAR1,084 million) driven primarily by the acquisition of new customers and selling Video and the Cartrack-Tag to existing customers. Subscription revenue represented 98% of Cartrack’s total revenue. On a constant currency basis, a non-IFRS measure, Cartrack’s total revenue increased 19% and subscription revenue increased 19%.</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Cartrack delivered net subscriber additions of 93,755 during the quarter (Q4 2025: 79,009), a record for the fourth quarter.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Karooooo Logistics’s total revenue increased 32% to a record ZAR145 million (Q4 2025: ZAR110 million) driven by the demand of e-commerce orders and the adoption of our service by our customers. Karooooo Logistics offers delivery-as-a-service (“DaaS”) to our large enterprise customers wishing to scale and enable their e-commerce operations through a capital light model by connecting them to an elastic fleet of third-party delivery drivers. The pace of Karooooo Logistics’s revenue growth may vary quarter to quarter as large customers invest in growing their e-commerce businesses or driving traffic to their physical stores.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Gross Profit and Cost of Sales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Karooooo’s cost of sales increased 39% to ZAR489 million (Q4 2025: ZAR351 million).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Cartrack’s gross profit margin contracted in the quarter due to the strengthening ZAR, which negatively impacted reported revenue by an estimated ZAR 27 million (when measured on a constant currency basis, a non-IFRS measure) while the majority of cost of sales is based on exchange rates in prior periods.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Cartrack’s cost of sales increased 42% to ZAR392 million (Q4 2025: ZAR275 million) primarily driven by the alignment of provision for our in-vehicle IoT devices in Q4 2026. The provision reflects the increase of in-vehicle IoT devices by 45% to ZAR1,946 million as of the financial year ended February 28, 2026. Cartrack’s gross profit margin was 70% (Q4 2025: 75%), and Cartrack’s subscription gross profit margin was 71% (Q4 2025: 76%).</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Karooooo Logistics’s cost of sales increased 29% to ZAR97 million (Q4 2025: ZAR75 million) as we continued to invest in driver acquisition and training to support future growth. Karooooo Logistics’s gross profit margin improved to 33% (Q4 2025: 31%). During the quarter, Karooooo Logistics surpassed ZAR1 billion in cumulative payments to drivers since Karooooo acquired it in 2021.</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 xml:space="preserve">Operating Expenses </w:t>
      </w:r>
    </w:p>
    <w:p>
      <w:pPr>
        <w:pStyle w:val="TextBody"/>
        <w:bidi w:val="0"/>
        <w:spacing w:before="0" w:after="0"/>
        <w:ind w:left="0" w:right="0" w:hanging="0"/>
        <w:jc w:val="both"/>
        <w:rPr>
          <w:caps w:val="false"/>
          <w:smallCaps w:val="false"/>
        </w:rPr>
      </w:pPr>
      <w:r>
        <w:rPr>
          <w:caps w:val="false"/>
          <w:smallCaps w:val="false"/>
        </w:rPr>
        <w:t> </w:t>
      </w:r>
    </w:p>
    <w:tbl>
      <w:tblPr>
        <w:tblW w:w="7337" w:type="dxa"/>
        <w:jc w:val="left"/>
        <w:tblInd w:w="0" w:type="dxa"/>
        <w:tblLayout w:type="fixed"/>
        <w:tblCellMar>
          <w:top w:w="0" w:type="dxa"/>
          <w:left w:w="0" w:type="dxa"/>
          <w:bottom w:w="0" w:type="dxa"/>
          <w:right w:w="0" w:type="dxa"/>
        </w:tblCellMar>
      </w:tblPr>
      <w:tblGrid>
        <w:gridCol w:w="3305"/>
        <w:gridCol w:w="60"/>
        <w:gridCol w:w="94"/>
        <w:gridCol w:w="1264"/>
        <w:gridCol w:w="94"/>
        <w:gridCol w:w="94"/>
        <w:gridCol w:w="94"/>
        <w:gridCol w:w="1264"/>
        <w:gridCol w:w="94"/>
        <w:gridCol w:w="94"/>
        <w:gridCol w:w="121"/>
        <w:gridCol w:w="529"/>
        <w:gridCol w:w="230"/>
      </w:tblGrid>
      <w:tr>
        <w:trPr/>
        <w:tc>
          <w:tcPr>
            <w:tcW w:w="3305"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3742" w:type="dxa"/>
            <w:gridSpan w:val="10"/>
            <w:tcBorders>
              <w:bottom w:val="single" w:sz="12" w:space="0" w:color="000000"/>
            </w:tcBorders>
            <w:tcMar>
              <w:bottom w:w="28" w:type="dxa"/>
            </w:tcMar>
            <w:vAlign w:val="center"/>
          </w:tcPr>
          <w:p>
            <w:pPr>
              <w:pStyle w:val="TableContents"/>
              <w:bidi w:val="0"/>
              <w:spacing w:before="0" w:after="283"/>
              <w:jc w:val="center"/>
              <w:rPr>
                <w:b/>
              </w:rPr>
            </w:pPr>
            <w:r>
              <w:rPr>
                <w:b/>
              </w:rPr>
              <w:t>Three Months Ended February 28,</w:t>
            </w:r>
          </w:p>
        </w:tc>
        <w:tc>
          <w:tcPr>
            <w:tcW w:w="230" w:type="dxa"/>
            <w:tcBorders/>
            <w:vAlign w:val="center"/>
          </w:tcPr>
          <w:p>
            <w:pPr>
              <w:pStyle w:val="TableContents"/>
              <w:bidi w:val="0"/>
              <w:spacing w:before="0" w:after="283"/>
              <w:jc w:val="left"/>
              <w:rPr/>
            </w:pPr>
            <w:r>
              <w:rPr/>
              <w:t> </w:t>
            </w:r>
          </w:p>
        </w:tc>
      </w:tr>
      <w:tr>
        <w:trPr/>
        <w:tc>
          <w:tcPr>
            <w:tcW w:w="3305" w:type="dxa"/>
            <w:tcBorders>
              <w:bottom w:val="single" w:sz="12" w:space="0" w:color="000000"/>
            </w:tcBorders>
            <w:tcMar>
              <w:bottom w:w="28" w:type="dxa"/>
            </w:tcMar>
            <w:vAlign w:val="center"/>
          </w:tcPr>
          <w:p>
            <w:pPr>
              <w:pStyle w:val="TableContents"/>
              <w:bidi w:val="0"/>
              <w:spacing w:before="0" w:after="283"/>
              <w:jc w:val="both"/>
              <w:rPr>
                <w:b/>
              </w:rPr>
            </w:pPr>
            <w:r>
              <w:rPr>
                <w:b/>
              </w:rPr>
              <w:t>Figures in Rand Thousands</w:t>
            </w:r>
          </w:p>
        </w:tc>
        <w:tc>
          <w:tcPr>
            <w:tcW w:w="60" w:type="dxa"/>
            <w:tcBorders/>
            <w:vAlign w:val="center"/>
          </w:tcPr>
          <w:p>
            <w:pPr>
              <w:pStyle w:val="TableContents"/>
              <w:bidi w:val="0"/>
              <w:spacing w:before="0" w:after="283"/>
              <w:jc w:val="left"/>
              <w:rPr/>
            </w:pPr>
            <w:r>
              <w:rPr/>
              <w:t> </w:t>
            </w:r>
          </w:p>
        </w:tc>
        <w:tc>
          <w:tcPr>
            <w:tcW w:w="1358"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2026</w:t>
            </w:r>
          </w:p>
        </w:tc>
        <w:tc>
          <w:tcPr>
            <w:tcW w:w="94" w:type="dxa"/>
            <w:tcBorders/>
            <w:vAlign w:val="center"/>
          </w:tcPr>
          <w:p>
            <w:pPr>
              <w:pStyle w:val="TableContents"/>
              <w:bidi w:val="0"/>
              <w:spacing w:before="0" w:after="283"/>
              <w:jc w:val="left"/>
              <w:rPr/>
            </w:pPr>
            <w:r>
              <w:rPr/>
              <w:t> </w:t>
            </w:r>
          </w:p>
        </w:tc>
        <w:tc>
          <w:tcPr>
            <w:tcW w:w="94" w:type="dxa"/>
            <w:tcBorders/>
            <w:vAlign w:val="center"/>
          </w:tcPr>
          <w:p>
            <w:pPr>
              <w:pStyle w:val="TableContents"/>
              <w:bidi w:val="0"/>
              <w:spacing w:before="0" w:after="283"/>
              <w:jc w:val="left"/>
              <w:rPr/>
            </w:pPr>
            <w:r>
              <w:rPr/>
              <w:t> </w:t>
            </w:r>
          </w:p>
        </w:tc>
        <w:tc>
          <w:tcPr>
            <w:tcW w:w="1358"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2025</w:t>
            </w:r>
          </w:p>
        </w:tc>
        <w:tc>
          <w:tcPr>
            <w:tcW w:w="94" w:type="dxa"/>
            <w:tcBorders/>
            <w:vAlign w:val="center"/>
          </w:tcPr>
          <w:p>
            <w:pPr>
              <w:pStyle w:val="TableContents"/>
              <w:bidi w:val="0"/>
              <w:spacing w:before="0" w:after="283"/>
              <w:jc w:val="left"/>
              <w:rPr/>
            </w:pPr>
            <w:r>
              <w:rPr/>
              <w:t> </w:t>
            </w:r>
          </w:p>
        </w:tc>
        <w:tc>
          <w:tcPr>
            <w:tcW w:w="94" w:type="dxa"/>
            <w:tcBorders/>
            <w:vAlign w:val="center"/>
          </w:tcPr>
          <w:p>
            <w:pPr>
              <w:pStyle w:val="TableContents"/>
              <w:bidi w:val="0"/>
              <w:spacing w:before="0" w:after="283"/>
              <w:jc w:val="left"/>
              <w:rPr/>
            </w:pPr>
            <w:r>
              <w:rPr/>
              <w:t> </w:t>
            </w:r>
          </w:p>
        </w:tc>
        <w:tc>
          <w:tcPr>
            <w:tcW w:w="65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Y-o-Y</w:t>
              <w:br/>
              <w:t>%</w:t>
            </w:r>
          </w:p>
        </w:tc>
        <w:tc>
          <w:tcPr>
            <w:tcW w:w="230" w:type="dxa"/>
            <w:tcBorders/>
            <w:vAlign w:val="center"/>
          </w:tcPr>
          <w:p>
            <w:pPr>
              <w:pStyle w:val="TableContents"/>
              <w:bidi w:val="0"/>
              <w:spacing w:before="0" w:after="283"/>
              <w:jc w:val="left"/>
              <w:rPr/>
            </w:pPr>
            <w:r>
              <w:rPr/>
              <w:t> </w:t>
            </w:r>
          </w:p>
        </w:tc>
      </w:tr>
      <w:tr>
        <w:trPr/>
        <w:tc>
          <w:tcPr>
            <w:tcW w:w="3305" w:type="dxa"/>
            <w:tcBorders/>
            <w:shd w:fill="CCEEFF" w:val="clear"/>
            <w:vAlign w:val="center"/>
          </w:tcPr>
          <w:p>
            <w:pPr>
              <w:pStyle w:val="TableContents"/>
              <w:bidi w:val="0"/>
              <w:spacing w:before="0" w:after="283"/>
              <w:jc w:val="both"/>
              <w:rPr>
                <w:b/>
              </w:rPr>
            </w:pPr>
            <w:r>
              <w:rPr>
                <w:b/>
              </w:rPr>
              <w:t>Karooooo’s Operating Expenses</w:t>
            </w:r>
          </w:p>
        </w:tc>
        <w:tc>
          <w:tcPr>
            <w:tcW w:w="60" w:type="dxa"/>
            <w:tcBorders/>
            <w:shd w:fill="CCEEFF" w:val="clear"/>
            <w:vAlign w:val="center"/>
          </w:tcPr>
          <w:p>
            <w:pPr>
              <w:pStyle w:val="TableContents"/>
              <w:bidi w:val="0"/>
              <w:spacing w:before="0" w:after="283"/>
              <w:jc w:val="left"/>
              <w:rPr/>
            </w:pPr>
            <w:r>
              <w:rPr/>
              <w:t> </w:t>
            </w:r>
          </w:p>
        </w:tc>
        <w:tc>
          <w:tcPr>
            <w:tcW w:w="94"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64" w:type="dxa"/>
            <w:tcBorders>
              <w:bottom w:val="single" w:sz="12" w:space="0" w:color="000000"/>
            </w:tcBorders>
            <w:shd w:fill="CCEEFF" w:val="clear"/>
            <w:tcMar>
              <w:bottom w:w="28" w:type="dxa"/>
            </w:tcMar>
            <w:vAlign w:val="center"/>
          </w:tcPr>
          <w:p>
            <w:pPr>
              <w:pStyle w:val="TableContents"/>
              <w:bidi w:val="0"/>
              <w:spacing w:before="0" w:after="283"/>
              <w:jc w:val="right"/>
              <w:rPr/>
            </w:pPr>
            <w:r>
              <w:rPr/>
              <w:t>623,319</w:t>
            </w:r>
          </w:p>
        </w:tc>
        <w:tc>
          <w:tcPr>
            <w:tcW w:w="94" w:type="dxa"/>
            <w:tcBorders/>
            <w:shd w:fill="CCEEFF" w:val="clear"/>
            <w:vAlign w:val="center"/>
          </w:tcPr>
          <w:p>
            <w:pPr>
              <w:pStyle w:val="TableContents"/>
              <w:bidi w:val="0"/>
              <w:spacing w:before="0" w:after="283"/>
              <w:jc w:val="left"/>
              <w:rPr/>
            </w:pPr>
            <w:r>
              <w:rPr/>
              <w:t> </w:t>
            </w:r>
          </w:p>
        </w:tc>
        <w:tc>
          <w:tcPr>
            <w:tcW w:w="94" w:type="dxa"/>
            <w:tcBorders/>
            <w:shd w:fill="CCEEFF" w:val="clear"/>
            <w:vAlign w:val="center"/>
          </w:tcPr>
          <w:p>
            <w:pPr>
              <w:pStyle w:val="TableContents"/>
              <w:bidi w:val="0"/>
              <w:spacing w:before="0" w:after="283"/>
              <w:jc w:val="left"/>
              <w:rPr/>
            </w:pPr>
            <w:r>
              <w:rPr/>
              <w:t> </w:t>
            </w:r>
          </w:p>
        </w:tc>
        <w:tc>
          <w:tcPr>
            <w:tcW w:w="94"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64" w:type="dxa"/>
            <w:tcBorders>
              <w:bottom w:val="single" w:sz="12" w:space="0" w:color="000000"/>
            </w:tcBorders>
            <w:shd w:fill="CCEEFF" w:val="clear"/>
            <w:tcMar>
              <w:bottom w:w="28" w:type="dxa"/>
            </w:tcMar>
            <w:vAlign w:val="center"/>
          </w:tcPr>
          <w:p>
            <w:pPr>
              <w:pStyle w:val="TableContents"/>
              <w:bidi w:val="0"/>
              <w:spacing w:before="0" w:after="283"/>
              <w:jc w:val="right"/>
              <w:rPr/>
            </w:pPr>
            <w:r>
              <w:rPr/>
              <w:t>484,726</w:t>
            </w:r>
          </w:p>
        </w:tc>
        <w:tc>
          <w:tcPr>
            <w:tcW w:w="94" w:type="dxa"/>
            <w:tcBorders/>
            <w:shd w:fill="CCEEFF" w:val="clear"/>
            <w:vAlign w:val="center"/>
          </w:tcPr>
          <w:p>
            <w:pPr>
              <w:pStyle w:val="TableContents"/>
              <w:bidi w:val="0"/>
              <w:spacing w:before="0" w:after="283"/>
              <w:jc w:val="left"/>
              <w:rPr/>
            </w:pPr>
            <w:r>
              <w:rPr/>
              <w:t> </w:t>
            </w:r>
          </w:p>
        </w:tc>
        <w:tc>
          <w:tcPr>
            <w:tcW w:w="94" w:type="dxa"/>
            <w:tcBorders/>
            <w:shd w:fill="CCEEFF" w:val="clear"/>
            <w:vAlign w:val="center"/>
          </w:tcPr>
          <w:p>
            <w:pPr>
              <w:pStyle w:val="TableContents"/>
              <w:bidi w:val="0"/>
              <w:spacing w:before="0" w:after="283"/>
              <w:jc w:val="left"/>
              <w:rPr/>
            </w:pPr>
            <w:r>
              <w:rPr/>
              <w:t> </w:t>
            </w:r>
          </w:p>
        </w:tc>
        <w:tc>
          <w:tcPr>
            <w:tcW w:w="121"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529" w:type="dxa"/>
            <w:tcBorders>
              <w:bottom w:val="single" w:sz="12" w:space="0" w:color="000000"/>
            </w:tcBorders>
            <w:shd w:fill="CCEEFF" w:val="clear"/>
            <w:tcMar>
              <w:bottom w:w="28" w:type="dxa"/>
            </w:tcMar>
            <w:vAlign w:val="center"/>
          </w:tcPr>
          <w:p>
            <w:pPr>
              <w:pStyle w:val="TableContents"/>
              <w:bidi w:val="0"/>
              <w:spacing w:before="0" w:after="283"/>
              <w:jc w:val="right"/>
              <w:rPr/>
            </w:pPr>
            <w:r>
              <w:rPr/>
              <w:t>29</w:t>
            </w:r>
          </w:p>
        </w:tc>
        <w:tc>
          <w:tcPr>
            <w:tcW w:w="230" w:type="dxa"/>
            <w:tcBorders/>
            <w:shd w:fill="CCEEFF" w:val="clear"/>
            <w:vAlign w:val="center"/>
          </w:tcPr>
          <w:p>
            <w:pPr>
              <w:pStyle w:val="TableContents"/>
              <w:bidi w:val="0"/>
              <w:spacing w:before="0" w:after="283"/>
              <w:jc w:val="left"/>
              <w:rPr/>
            </w:pPr>
            <w:r>
              <w:rPr/>
              <w:t>%</w:t>
            </w:r>
          </w:p>
        </w:tc>
      </w:tr>
      <w:tr>
        <w:trPr/>
        <w:tc>
          <w:tcPr>
            <w:tcW w:w="3305" w:type="dxa"/>
            <w:tcBorders/>
            <w:shd w:fill="FFFFFF" w:val="clear"/>
            <w:vAlign w:val="center"/>
          </w:tcPr>
          <w:p>
            <w:pPr>
              <w:pStyle w:val="TableContents"/>
              <w:bidi w:val="0"/>
              <w:spacing w:before="0" w:after="283"/>
              <w:jc w:val="both"/>
              <w:rPr/>
            </w:pPr>
            <w:r>
              <w:rPr/>
              <w:t>- Cartrack</w:t>
            </w:r>
          </w:p>
        </w:tc>
        <w:tc>
          <w:tcPr>
            <w:tcW w:w="60" w:type="dxa"/>
            <w:tcBorders/>
            <w:shd w:fill="FFFFFF" w:val="clear"/>
            <w:vAlign w:val="center"/>
          </w:tcPr>
          <w:p>
            <w:pPr>
              <w:pStyle w:val="TableContents"/>
              <w:bidi w:val="0"/>
              <w:spacing w:before="0" w:after="283"/>
              <w:jc w:val="left"/>
              <w:rPr/>
            </w:pPr>
            <w:r>
              <w:rPr/>
              <w:t> </w:t>
            </w:r>
          </w:p>
        </w:tc>
        <w:tc>
          <w:tcPr>
            <w:tcW w:w="94" w:type="dxa"/>
            <w:tcBorders/>
            <w:shd w:fill="FFFFFF" w:val="clear"/>
            <w:vAlign w:val="center"/>
          </w:tcPr>
          <w:p>
            <w:pPr>
              <w:pStyle w:val="TableContents"/>
              <w:bidi w:val="0"/>
              <w:spacing w:before="0" w:after="283"/>
              <w:jc w:val="left"/>
              <w:rPr/>
            </w:pPr>
            <w:r>
              <w:rPr/>
              <w:t> </w:t>
            </w:r>
          </w:p>
        </w:tc>
        <w:tc>
          <w:tcPr>
            <w:tcW w:w="1264" w:type="dxa"/>
            <w:tcBorders/>
            <w:shd w:fill="FFFFFF" w:val="clear"/>
            <w:vAlign w:val="center"/>
          </w:tcPr>
          <w:p>
            <w:pPr>
              <w:pStyle w:val="TableContents"/>
              <w:bidi w:val="0"/>
              <w:spacing w:before="0" w:after="283"/>
              <w:jc w:val="right"/>
              <w:rPr/>
            </w:pPr>
            <w:r>
              <w:rPr/>
              <w:t>589,091</w:t>
            </w:r>
          </w:p>
        </w:tc>
        <w:tc>
          <w:tcPr>
            <w:tcW w:w="94" w:type="dxa"/>
            <w:tcBorders/>
            <w:shd w:fill="FFFFFF" w:val="clear"/>
            <w:vAlign w:val="center"/>
          </w:tcPr>
          <w:p>
            <w:pPr>
              <w:pStyle w:val="TableContents"/>
              <w:bidi w:val="0"/>
              <w:spacing w:before="0" w:after="283"/>
              <w:jc w:val="left"/>
              <w:rPr/>
            </w:pPr>
            <w:r>
              <w:rPr/>
              <w:t> </w:t>
            </w:r>
          </w:p>
        </w:tc>
        <w:tc>
          <w:tcPr>
            <w:tcW w:w="94" w:type="dxa"/>
            <w:tcBorders/>
            <w:shd w:fill="FFFFFF" w:val="clear"/>
            <w:vAlign w:val="center"/>
          </w:tcPr>
          <w:p>
            <w:pPr>
              <w:pStyle w:val="TableContents"/>
              <w:bidi w:val="0"/>
              <w:spacing w:before="0" w:after="283"/>
              <w:jc w:val="left"/>
              <w:rPr/>
            </w:pPr>
            <w:r>
              <w:rPr/>
              <w:t> </w:t>
            </w:r>
          </w:p>
        </w:tc>
        <w:tc>
          <w:tcPr>
            <w:tcW w:w="94" w:type="dxa"/>
            <w:tcBorders/>
            <w:shd w:fill="FFFFFF" w:val="clear"/>
            <w:vAlign w:val="center"/>
          </w:tcPr>
          <w:p>
            <w:pPr>
              <w:pStyle w:val="TableContents"/>
              <w:bidi w:val="0"/>
              <w:spacing w:before="0" w:after="283"/>
              <w:jc w:val="left"/>
              <w:rPr/>
            </w:pPr>
            <w:r>
              <w:rPr/>
              <w:t> </w:t>
            </w:r>
          </w:p>
        </w:tc>
        <w:tc>
          <w:tcPr>
            <w:tcW w:w="1264" w:type="dxa"/>
            <w:tcBorders/>
            <w:shd w:fill="FFFFFF" w:val="clear"/>
            <w:vAlign w:val="center"/>
          </w:tcPr>
          <w:p>
            <w:pPr>
              <w:pStyle w:val="TableContents"/>
              <w:bidi w:val="0"/>
              <w:spacing w:before="0" w:after="283"/>
              <w:jc w:val="right"/>
              <w:rPr/>
            </w:pPr>
            <w:r>
              <w:rPr/>
              <w:t>458,742</w:t>
            </w:r>
          </w:p>
        </w:tc>
        <w:tc>
          <w:tcPr>
            <w:tcW w:w="94" w:type="dxa"/>
            <w:tcBorders/>
            <w:shd w:fill="FFFFFF" w:val="clear"/>
            <w:vAlign w:val="center"/>
          </w:tcPr>
          <w:p>
            <w:pPr>
              <w:pStyle w:val="TableContents"/>
              <w:bidi w:val="0"/>
              <w:spacing w:before="0" w:after="283"/>
              <w:jc w:val="left"/>
              <w:rPr/>
            </w:pPr>
            <w:r>
              <w:rPr/>
              <w:t> </w:t>
            </w:r>
          </w:p>
        </w:tc>
        <w:tc>
          <w:tcPr>
            <w:tcW w:w="94" w:type="dxa"/>
            <w:tcBorders/>
            <w:shd w:fill="FFFFFF" w:val="clear"/>
            <w:vAlign w:val="center"/>
          </w:tcPr>
          <w:p>
            <w:pPr>
              <w:pStyle w:val="TableContents"/>
              <w:bidi w:val="0"/>
              <w:spacing w:before="0" w:after="283"/>
              <w:jc w:val="left"/>
              <w:rPr/>
            </w:pPr>
            <w:r>
              <w:rPr/>
              <w:t> </w:t>
            </w:r>
          </w:p>
        </w:tc>
        <w:tc>
          <w:tcPr>
            <w:tcW w:w="121" w:type="dxa"/>
            <w:tcBorders/>
            <w:shd w:fill="FFFFFF" w:val="clear"/>
            <w:vAlign w:val="center"/>
          </w:tcPr>
          <w:p>
            <w:pPr>
              <w:pStyle w:val="TableContents"/>
              <w:bidi w:val="0"/>
              <w:spacing w:before="0" w:after="283"/>
              <w:jc w:val="left"/>
              <w:rPr/>
            </w:pPr>
            <w:r>
              <w:rPr/>
              <w:t> </w:t>
            </w:r>
          </w:p>
        </w:tc>
        <w:tc>
          <w:tcPr>
            <w:tcW w:w="529" w:type="dxa"/>
            <w:tcBorders/>
            <w:shd w:fill="FFFFFF" w:val="clear"/>
            <w:vAlign w:val="center"/>
          </w:tcPr>
          <w:p>
            <w:pPr>
              <w:pStyle w:val="TableContents"/>
              <w:bidi w:val="0"/>
              <w:spacing w:before="0" w:after="283"/>
              <w:jc w:val="right"/>
              <w:rPr/>
            </w:pPr>
            <w:r>
              <w:rPr/>
              <w:t>28</w:t>
            </w:r>
          </w:p>
        </w:tc>
        <w:tc>
          <w:tcPr>
            <w:tcW w:w="230" w:type="dxa"/>
            <w:tcBorders/>
            <w:shd w:fill="FFFFFF" w:val="clear"/>
            <w:vAlign w:val="center"/>
          </w:tcPr>
          <w:p>
            <w:pPr>
              <w:pStyle w:val="TableContents"/>
              <w:bidi w:val="0"/>
              <w:spacing w:before="0" w:after="283"/>
              <w:jc w:val="left"/>
              <w:rPr/>
            </w:pPr>
            <w:r>
              <w:rPr/>
              <w:t>%</w:t>
            </w:r>
          </w:p>
        </w:tc>
      </w:tr>
      <w:tr>
        <w:trPr/>
        <w:tc>
          <w:tcPr>
            <w:tcW w:w="3305" w:type="dxa"/>
            <w:tcBorders/>
            <w:shd w:fill="CCEEFF" w:val="clear"/>
            <w:vAlign w:val="center"/>
          </w:tcPr>
          <w:p>
            <w:pPr>
              <w:pStyle w:val="TableContents"/>
              <w:bidi w:val="0"/>
              <w:spacing w:before="0" w:after="283"/>
              <w:jc w:val="both"/>
              <w:rPr/>
            </w:pPr>
            <w:r>
              <w:rPr/>
              <w:t>- Karooooo Logistics</w:t>
            </w:r>
          </w:p>
        </w:tc>
        <w:tc>
          <w:tcPr>
            <w:tcW w:w="60" w:type="dxa"/>
            <w:tcBorders/>
            <w:shd w:fill="CCEEFF" w:val="clear"/>
            <w:vAlign w:val="center"/>
          </w:tcPr>
          <w:p>
            <w:pPr>
              <w:pStyle w:val="TableContents"/>
              <w:bidi w:val="0"/>
              <w:spacing w:before="0" w:after="283"/>
              <w:jc w:val="left"/>
              <w:rPr/>
            </w:pPr>
            <w:r>
              <w:rPr/>
              <w:t> </w:t>
            </w:r>
          </w:p>
        </w:tc>
        <w:tc>
          <w:tcPr>
            <w:tcW w:w="94"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64" w:type="dxa"/>
            <w:tcBorders>
              <w:bottom w:val="single" w:sz="12" w:space="0" w:color="000000"/>
            </w:tcBorders>
            <w:shd w:fill="CCEEFF" w:val="clear"/>
            <w:tcMar>
              <w:bottom w:w="28" w:type="dxa"/>
            </w:tcMar>
            <w:vAlign w:val="center"/>
          </w:tcPr>
          <w:p>
            <w:pPr>
              <w:pStyle w:val="TableContents"/>
              <w:bidi w:val="0"/>
              <w:spacing w:before="0" w:after="283"/>
              <w:jc w:val="right"/>
              <w:rPr/>
            </w:pPr>
            <w:r>
              <w:rPr/>
              <w:t>34,228</w:t>
            </w:r>
          </w:p>
        </w:tc>
        <w:tc>
          <w:tcPr>
            <w:tcW w:w="94" w:type="dxa"/>
            <w:tcBorders/>
            <w:shd w:fill="CCEEFF" w:val="clear"/>
            <w:vAlign w:val="center"/>
          </w:tcPr>
          <w:p>
            <w:pPr>
              <w:pStyle w:val="TableContents"/>
              <w:bidi w:val="0"/>
              <w:spacing w:before="0" w:after="283"/>
              <w:jc w:val="left"/>
              <w:rPr/>
            </w:pPr>
            <w:r>
              <w:rPr/>
              <w:t> </w:t>
            </w:r>
          </w:p>
        </w:tc>
        <w:tc>
          <w:tcPr>
            <w:tcW w:w="94" w:type="dxa"/>
            <w:tcBorders/>
            <w:shd w:fill="CCEEFF" w:val="clear"/>
            <w:vAlign w:val="center"/>
          </w:tcPr>
          <w:p>
            <w:pPr>
              <w:pStyle w:val="TableContents"/>
              <w:bidi w:val="0"/>
              <w:spacing w:before="0" w:after="283"/>
              <w:jc w:val="left"/>
              <w:rPr/>
            </w:pPr>
            <w:r>
              <w:rPr/>
              <w:t> </w:t>
            </w:r>
          </w:p>
        </w:tc>
        <w:tc>
          <w:tcPr>
            <w:tcW w:w="94"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64" w:type="dxa"/>
            <w:tcBorders>
              <w:bottom w:val="single" w:sz="12" w:space="0" w:color="000000"/>
            </w:tcBorders>
            <w:shd w:fill="CCEEFF" w:val="clear"/>
            <w:tcMar>
              <w:bottom w:w="28" w:type="dxa"/>
            </w:tcMar>
            <w:vAlign w:val="center"/>
          </w:tcPr>
          <w:p>
            <w:pPr>
              <w:pStyle w:val="TableContents"/>
              <w:bidi w:val="0"/>
              <w:spacing w:before="0" w:after="283"/>
              <w:jc w:val="right"/>
              <w:rPr/>
            </w:pPr>
            <w:r>
              <w:rPr/>
              <w:t>25,984</w:t>
            </w:r>
          </w:p>
        </w:tc>
        <w:tc>
          <w:tcPr>
            <w:tcW w:w="94" w:type="dxa"/>
            <w:tcBorders/>
            <w:shd w:fill="CCEEFF" w:val="clear"/>
            <w:vAlign w:val="center"/>
          </w:tcPr>
          <w:p>
            <w:pPr>
              <w:pStyle w:val="TableContents"/>
              <w:bidi w:val="0"/>
              <w:spacing w:before="0" w:after="283"/>
              <w:jc w:val="left"/>
              <w:rPr/>
            </w:pPr>
            <w:r>
              <w:rPr/>
              <w:t> </w:t>
            </w:r>
          </w:p>
        </w:tc>
        <w:tc>
          <w:tcPr>
            <w:tcW w:w="94" w:type="dxa"/>
            <w:tcBorders/>
            <w:shd w:fill="CCEEFF" w:val="clear"/>
            <w:vAlign w:val="center"/>
          </w:tcPr>
          <w:p>
            <w:pPr>
              <w:pStyle w:val="TableContents"/>
              <w:bidi w:val="0"/>
              <w:spacing w:before="0" w:after="283"/>
              <w:jc w:val="left"/>
              <w:rPr/>
            </w:pPr>
            <w:r>
              <w:rPr/>
              <w:t> </w:t>
            </w:r>
          </w:p>
        </w:tc>
        <w:tc>
          <w:tcPr>
            <w:tcW w:w="121"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529" w:type="dxa"/>
            <w:tcBorders>
              <w:bottom w:val="single" w:sz="12" w:space="0" w:color="000000"/>
            </w:tcBorders>
            <w:shd w:fill="CCEEFF" w:val="clear"/>
            <w:tcMar>
              <w:bottom w:w="28" w:type="dxa"/>
            </w:tcMar>
            <w:vAlign w:val="center"/>
          </w:tcPr>
          <w:p>
            <w:pPr>
              <w:pStyle w:val="TableContents"/>
              <w:bidi w:val="0"/>
              <w:spacing w:before="0" w:after="283"/>
              <w:jc w:val="right"/>
              <w:rPr/>
            </w:pPr>
            <w:r>
              <w:rPr/>
              <w:t>32</w:t>
            </w:r>
          </w:p>
        </w:tc>
        <w:tc>
          <w:tcPr>
            <w:tcW w:w="230" w:type="dxa"/>
            <w:tcBorders/>
            <w:shd w:fill="CCEEFF" w:val="clear"/>
            <w:vAlign w:val="center"/>
          </w:tcPr>
          <w:p>
            <w:pPr>
              <w:pStyle w:val="TableContents"/>
              <w:bidi w:val="0"/>
              <w:spacing w:before="0" w:after="283"/>
              <w:jc w:val="left"/>
              <w:rPr/>
            </w:pPr>
            <w:r>
              <w:rPr/>
              <w:t>%</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Karooooo’s operating expenses increased 29% to ZAR623 million (Q4 2025: ZAR485 million).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Cartrack accounted for ZAR589 million (Q4 2025: ZAR459 million) in operating expenses including investments in infrastructure and sales headcount to support territorial expansion and distribution capacity. Karooooo Logistics accounted for ZAR34 million (Q4 2025: ZAR26 million) of total operating expenses as we continued to invest strategically to scale Karooooo Logistics.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planned, Cartrack’s sales and marketing expenses increased 37% to ZAR220 million (Q4 2025: ZAR160 million). As we strive to accelerate our growth, Cartrack sales and marketing expenses reflect incremental growth-oriented investments to drive customer acquisition and the adoption of new products such as Video and the Cartrack-Tag. Under IFRS, sales and marketing expenses are expensed as incurred, even though the resulting customer relationships generate revenue over extended periods. With the average expected life cycle of our subscription contracts exceeding 60 months and strong customer retention, there is a structural timing mismatch between when sales and marketing acquisition costs are expensed and when the related revenue is realized in our reported results.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encouraged by the early returns on our strategic investment in customer acquisition, which are delivering the intended outcomes and positioning us well for continued strong growth. As these benefits materialize, we remain focused on driving improvements in new sales headcount efficiency. Our unit economics remain strong as evidenced by our customer lifetime value (LTV) to customer acquisition costs (CAC) ratio, which continues to exceed 9 times and underpins our disciplined approach to accelerated growth.</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Cartrack’s general and administration expenses increased 23% to ZAR261 million (Q4 2025: ZAR212 million), reflecting continued investment in infrastructure to support future growth. We expect these costs to increase gradually over time as we continue to expand in our current geographies.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Cartrack’s R&amp;D expenses increased 29% to ZAR71 million (Q4 2025: ZAR55 million) as we continue to invest in innovation to improve and expand the capabilities of our operational intelligence platform and internal management systems.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Cartrack provided for expected credit losses of ZAR38 million (Q4 2025: ZAR32 million). We believe our prudent risk management strategy ensures long-term financial resilience.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Cartrack’s expenses as a proportion of subscription revenue aligns with Karooooo’s long-term financial goals and reflect our continued commitment to long-term growth. </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Cartrack’s sales and marketing expenses as a percentage of Cartrack’s subscription revenue increased to 17% (Q4 2025: 15%)</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Cartrack’s general and administration expenses as a percentage of Cartrack’s subscription revenue remained at 20% (Q4 2025: 20%)</w:t>
            </w:r>
          </w:p>
        </w:tc>
      </w:tr>
    </w:tbl>
    <w:p>
      <w:pPr>
        <w:pStyle w:val="TextBody"/>
        <w:bidi w:val="0"/>
        <w:spacing w:before="0" w:after="0"/>
        <w:ind w:left="0" w:right="0" w:hanging="0"/>
        <w:jc w:val="both"/>
        <w:rPr>
          <w:caps w:val="false"/>
          <w:smallCaps w:val="false"/>
        </w:rPr>
      </w:pPr>
      <w:r>
        <w:rPr>
          <w:caps w:val="false"/>
          <w:smallCaps w:val="false"/>
        </w:rPr>
        <w:t> </w:t>
      </w:r>
    </w:p>
    <w:tbl>
      <w:tblPr>
        <w:tblW w:w="9025" w:type="dxa"/>
        <w:jc w:val="left"/>
        <w:tblInd w:w="0" w:type="dxa"/>
        <w:tblLayout w:type="fixed"/>
        <w:tblCellMar>
          <w:top w:w="0" w:type="dxa"/>
          <w:left w:w="0" w:type="dxa"/>
          <w:bottom w:w="0" w:type="dxa"/>
          <w:right w:w="0" w:type="dxa"/>
        </w:tblCellMar>
      </w:tblPr>
      <w:tblGrid>
        <w:gridCol w:w="75"/>
        <w:gridCol w:w="170"/>
        <w:gridCol w:w="878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878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Cartrack’s R&amp;D expenses as a percentage of Cartrack’s subscription revenue increased to 6% (Q4 2025: 5%)</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4</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 xml:space="preserve">Operating Profit, and Earnings per share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Karooooo’s operating profit decreased 12% to ZAR338 million (Q4 2025: ZAR385 million), and earnings per share decreased 11% to ZAR7.19 (Q4 2025: ZAR8.11) driven by growth-oriented investments and the strengthening of the ZAR.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this quarter, we aligned our provisions for in-vehicle IoT devices to reflect the accelerated growth we experienced. The strengthening of ZAR against currencies in our key markets created a headwind to reported revenues due to foreign currency translation effects. Our effective tax rate was higher for the quarter, primarily as a result of withholding taxes on dividend payments made by subsidiaries to the holding company. In U.S. Dollar equivalent, Karooooo’s earnings per share increased by 4% to USD0.45.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Cartrack’s operating profit decreased 14% to ZAR324 million (Q4 2025: ZAR377 million), and Cartrack’s operating profit margin was 25% (Q4 2025: 34%). Cartrack’s operating profit and operating profit margin incorporate the strategic investment in incremental sales capacity and customer acquisition-related expenses to support accelerated growth. Although these growth-oriented investments weigh on short-term operating profitability, we believe that pursuing accelerated growth - when executed efficiently and supported by strong unit economics - is the appropriate strategy to drive long-term shareholder value. Cartrack’s unit economics remain strong.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Karooooo Logistics’s operating profit increased 59% to a record ZAR14 million (Q4 2025: ZAR9 million), and Karooooo Logistics’s operating profit margin was 9% (Q4 2025: 8%).</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Adjusted EBITDA</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Karooooo’s Adjusted EBITDA (a non-IFRS measure) increased 7% to ZAR583 million (Q4 2025: ZAR543 million).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Cartrack’s Adjusted EBITDA (a non-IFRS measure) increased 7% to ZAR569 million (Q4 2025: ZAR534 million).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Karooooo Logistics’s Adjusted EBITDA (a non-IFRS measure) increased 53% to ZAR14 million (Q4 2025: ZAR9 million).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See “Reconciliation of Profit for the Period to Adjusted EBITDA (a non-IFRS measure)” for a reconciliation of Adjusted EBITDA to profit, its most directly comparable IFRS financial measure.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Full Year 2026 Financial Overview (Unaudited)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Highlights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(Comparisons are relative to the year ended February 28, 2025 (“FY 2025”), unless otherwise stated.)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SCALE</w:t>
      </w:r>
    </w:p>
    <w:p>
      <w:pPr>
        <w:pStyle w:val="TextBody"/>
        <w:bidi w:val="0"/>
        <w:spacing w:before="0" w:after="0"/>
        <w:ind w:left="0" w:right="0" w:hanging="0"/>
        <w:jc w:val="both"/>
        <w:rPr>
          <w:caps w:val="false"/>
          <w:smallCaps w:val="false"/>
        </w:rPr>
      </w:pPr>
      <w:r>
        <w:rPr>
          <w:caps w:val="false"/>
          <w:smallCaps w:val="false"/>
        </w:rPr>
        <w:t> </w:t>
      </w:r>
    </w:p>
    <w:tbl>
      <w:tblPr>
        <w:tblW w:w="6175" w:type="dxa"/>
        <w:jc w:val="left"/>
        <w:tblInd w:w="0" w:type="dxa"/>
        <w:tblLayout w:type="fixed"/>
        <w:tblCellMar>
          <w:top w:w="0" w:type="dxa"/>
          <w:left w:w="0" w:type="dxa"/>
          <w:bottom w:w="0" w:type="dxa"/>
          <w:right w:w="0" w:type="dxa"/>
        </w:tblCellMar>
      </w:tblPr>
      <w:tblGrid>
        <w:gridCol w:w="75"/>
        <w:gridCol w:w="170"/>
        <w:gridCol w:w="593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593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b/>
                <w:sz w:val="20"/>
              </w:rPr>
              <w:t>Cartrack subscribers</w:t>
            </w:r>
            <w:r>
              <w:rPr>
                <w:rFonts w:ascii="Times New Roman;Times;Serif" w:hAnsi="Times New Roman;Times;Serif"/>
                <w:sz w:val="20"/>
              </w:rPr>
              <w:t xml:space="preserve"> increased 16% to 2,662,222 (FY 2025: 2,302,236)</w:t>
            </w:r>
          </w:p>
        </w:tc>
      </w:tr>
    </w:tbl>
    <w:p>
      <w:pPr>
        <w:pStyle w:val="TextBody"/>
        <w:bidi w:val="0"/>
        <w:spacing w:before="0" w:after="0"/>
        <w:ind w:left="0" w:right="0" w:hanging="0"/>
        <w:jc w:val="both"/>
        <w:rPr>
          <w:caps w:val="false"/>
          <w:smallCaps w:val="false"/>
        </w:rPr>
      </w:pPr>
      <w:r>
        <w:rPr>
          <w:caps w:val="false"/>
          <w:smallCaps w:val="false"/>
        </w:rPr>
        <w:t> </w:t>
      </w:r>
    </w:p>
    <w:tbl>
      <w:tblPr>
        <w:tblW w:w="7480" w:type="dxa"/>
        <w:jc w:val="left"/>
        <w:tblInd w:w="0" w:type="dxa"/>
        <w:tblLayout w:type="fixed"/>
        <w:tblCellMar>
          <w:top w:w="0" w:type="dxa"/>
          <w:left w:w="0" w:type="dxa"/>
          <w:bottom w:w="0" w:type="dxa"/>
          <w:right w:w="0" w:type="dxa"/>
        </w:tblCellMar>
      </w:tblPr>
      <w:tblGrid>
        <w:gridCol w:w="75"/>
        <w:gridCol w:w="170"/>
        <w:gridCol w:w="723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723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b/>
                <w:sz w:val="20"/>
              </w:rPr>
              <w:t>Record net Cartrack subscriber additions</w:t>
            </w:r>
            <w:r>
              <w:rPr>
                <w:rFonts w:ascii="Times New Roman;Times;Serif" w:hAnsi="Times New Roman;Times;Serif"/>
                <w:sz w:val="20"/>
              </w:rPr>
              <w:t xml:space="preserve"> of 359,986 increased 9% (FY 2025: 330,704)</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5</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GROWTH</w:t>
      </w:r>
    </w:p>
    <w:p>
      <w:pPr>
        <w:pStyle w:val="TextBody"/>
        <w:bidi w:val="0"/>
        <w:spacing w:before="0" w:after="0"/>
        <w:ind w:left="0" w:right="0" w:hanging="0"/>
        <w:jc w:val="left"/>
        <w:rPr>
          <w:caps w:val="false"/>
          <w:smallCaps w:val="false"/>
        </w:rPr>
      </w:pPr>
      <w:r>
        <w:rPr>
          <w:caps w:val="false"/>
          <w:smallCaps w:val="false"/>
        </w:rPr>
        <w:t> </w:t>
      </w:r>
    </w:p>
    <w:tbl>
      <w:tblPr>
        <w:tblW w:w="8545" w:type="dxa"/>
        <w:jc w:val="left"/>
        <w:tblInd w:w="0" w:type="dxa"/>
        <w:tblLayout w:type="fixed"/>
        <w:tblCellMar>
          <w:top w:w="0" w:type="dxa"/>
          <w:left w:w="0" w:type="dxa"/>
          <w:bottom w:w="0" w:type="dxa"/>
          <w:right w:w="0" w:type="dxa"/>
        </w:tblCellMar>
      </w:tblPr>
      <w:tblGrid>
        <w:gridCol w:w="75"/>
        <w:gridCol w:w="170"/>
        <w:gridCol w:w="830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830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b/>
                <w:sz w:val="20"/>
              </w:rPr>
              <w:t>Karooooo’s subscription revenue</w:t>
            </w:r>
            <w:r>
              <w:rPr>
                <w:rFonts w:ascii="Times New Roman;Times;Serif" w:hAnsi="Times New Roman;Times;Serif"/>
                <w:sz w:val="20"/>
              </w:rPr>
              <w:t xml:space="preserve"> increased 19% to ZAR4,844 million (FY 2025: ZAR4,068 million)</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830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830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b/>
                <w:sz w:val="20"/>
              </w:rPr>
              <w:t>Cartrack’s subscription revenue</w:t>
            </w:r>
            <w:r>
              <w:rPr>
                <w:rFonts w:ascii="Times New Roman;Times;Serif" w:hAnsi="Times New Roman;Times;Serif"/>
                <w:sz w:val="20"/>
              </w:rPr>
              <w:t xml:space="preserve"> increased 19% to ZAR4,831 million (FY 2025: ZAR4,055 million)</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830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830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b/>
                <w:sz w:val="20"/>
              </w:rPr>
              <w:t>Karooooo Logistics’s DaaS revenue</w:t>
            </w:r>
            <w:r>
              <w:rPr>
                <w:rFonts w:ascii="Times New Roman;Times;Serif" w:hAnsi="Times New Roman;Times;Serif"/>
                <w:sz w:val="20"/>
              </w:rPr>
              <w:t xml:space="preserve"> increased 29% to ZAR540 million (FY 2025: ZAR420 million)</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Presented in the U.S. Dollar Equivalent</w:t>
      </w:r>
      <w:r>
        <w:rPr>
          <w:rFonts w:ascii="Times New Roman;Times;Serif" w:hAnsi="Times New Roman;Times;Serif"/>
          <w:b/>
          <w:i/>
          <w:caps w:val="false"/>
          <w:smallCaps w:val="false"/>
          <w:position w:val="7"/>
          <w:sz w:val="16"/>
          <w:sz w:val="20"/>
        </w:rPr>
        <w:t>1</w:t>
      </w:r>
    </w:p>
    <w:p>
      <w:pPr>
        <w:pStyle w:val="TextBody"/>
        <w:bidi w:val="0"/>
        <w:spacing w:before="0" w:after="0"/>
        <w:ind w:left="0" w:right="0" w:hanging="0"/>
        <w:jc w:val="left"/>
        <w:rPr>
          <w:caps w:val="false"/>
          <w:smallCaps w:val="false"/>
        </w:rPr>
      </w:pPr>
      <w:r>
        <w:rPr>
          <w:caps w:val="false"/>
          <w:smallCaps w:val="false"/>
        </w:rPr>
        <w:t> </w:t>
      </w:r>
    </w:p>
    <w:tbl>
      <w:tblPr>
        <w:tblW w:w="6070" w:type="dxa"/>
        <w:jc w:val="left"/>
        <w:tblInd w:w="0" w:type="dxa"/>
        <w:tblLayout w:type="fixed"/>
        <w:tblCellMar>
          <w:top w:w="0" w:type="dxa"/>
          <w:left w:w="0" w:type="dxa"/>
          <w:bottom w:w="0" w:type="dxa"/>
          <w:right w:w="0" w:type="dxa"/>
        </w:tblCellMar>
      </w:tblPr>
      <w:tblGrid>
        <w:gridCol w:w="75"/>
        <w:gridCol w:w="170"/>
        <w:gridCol w:w="5825"/>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582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Karooooo’s subscription revenue</w:t>
            </w:r>
            <w:r>
              <w:rPr>
                <w:rFonts w:ascii="Times New Roman;Times;Serif" w:hAnsi="Times New Roman;Times;Serif"/>
                <w:b w:val="false"/>
                <w:i w:val="false"/>
                <w:caps w:val="false"/>
                <w:smallCaps w:val="false"/>
                <w:sz w:val="20"/>
              </w:rPr>
              <w:t xml:space="preserve"> increased 39% to USD304 million.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582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582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Cartrack’s subscription revenue</w:t>
            </w:r>
            <w:r>
              <w:rPr>
                <w:rFonts w:ascii="Times New Roman;Times;Serif" w:hAnsi="Times New Roman;Times;Serif"/>
                <w:b w:val="false"/>
                <w:i w:val="false"/>
                <w:caps w:val="false"/>
                <w:smallCaps w:val="false"/>
                <w:sz w:val="20"/>
              </w:rPr>
              <w:t xml:space="preserve"> increased 39% to USD303 million.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582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582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Karooooo Logistics’s DaaS revenue</w:t>
            </w:r>
            <w:r>
              <w:rPr>
                <w:rFonts w:ascii="Times New Roman;Times;Serif" w:hAnsi="Times New Roman;Times;Serif"/>
                <w:b w:val="false"/>
                <w:i w:val="false"/>
                <w:caps w:val="false"/>
                <w:smallCaps w:val="false"/>
                <w:sz w:val="20"/>
              </w:rPr>
              <w:t xml:space="preserve"> increased 50% to USD34 million.</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5825" w:type="dxa"/>
            <w:tcBorders/>
            <w:vAlign w:val="center"/>
          </w:tcPr>
          <w:p>
            <w:pPr>
              <w:pStyle w:val="TableContents"/>
              <w:bidi w:val="0"/>
              <w:spacing w:before="0" w:after="283"/>
              <w:jc w:val="both"/>
              <w:rPr>
                <w:caps w:val="false"/>
                <w:smallCaps w:val="false"/>
              </w:rPr>
            </w:pPr>
            <w:r>
              <w:rPr>
                <w:caps w:val="false"/>
                <w:smallCaps w:val="false"/>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PROFITABILITY</w:t>
      </w:r>
    </w:p>
    <w:p>
      <w:pPr>
        <w:pStyle w:val="TextBody"/>
        <w:bidi w:val="0"/>
        <w:spacing w:before="0" w:after="0"/>
        <w:ind w:left="0" w:right="0" w:hanging="0"/>
        <w:jc w:val="both"/>
        <w:rPr>
          <w:caps w:val="false"/>
          <w:smallCaps w:val="false"/>
        </w:rPr>
      </w:pPr>
      <w:r>
        <w:rPr>
          <w:caps w:val="false"/>
          <w:smallCaps w:val="false"/>
        </w:rPr>
        <w:t> </w:t>
      </w:r>
    </w:p>
    <w:tbl>
      <w:tblPr>
        <w:tblW w:w="8035" w:type="dxa"/>
        <w:jc w:val="left"/>
        <w:tblInd w:w="0" w:type="dxa"/>
        <w:tblLayout w:type="fixed"/>
        <w:tblCellMar>
          <w:top w:w="0" w:type="dxa"/>
          <w:left w:w="0" w:type="dxa"/>
          <w:bottom w:w="0" w:type="dxa"/>
          <w:right w:w="0" w:type="dxa"/>
        </w:tblCellMar>
      </w:tblPr>
      <w:tblGrid>
        <w:gridCol w:w="75"/>
        <w:gridCol w:w="170"/>
        <w:gridCol w:w="779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779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Karooooo’s operating profit</w:t>
            </w:r>
            <w:r>
              <w:rPr>
                <w:rFonts w:ascii="Times New Roman;Times;Serif" w:hAnsi="Times New Roman;Times;Serif"/>
                <w:b w:val="false"/>
                <w:i w:val="false"/>
                <w:caps w:val="false"/>
                <w:smallCaps w:val="false"/>
                <w:sz w:val="20"/>
              </w:rPr>
              <w:t xml:space="preserve"> increased 8% to ZAR1,415 million (FY 2025: ZAR1,312 million)</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779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779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Cartrack’s operating profit</w:t>
            </w:r>
            <w:r>
              <w:rPr>
                <w:rFonts w:ascii="Times New Roman;Times;Serif" w:hAnsi="Times New Roman;Times;Serif"/>
                <w:b w:val="false"/>
                <w:i w:val="false"/>
                <w:caps w:val="false"/>
                <w:smallCaps w:val="false"/>
                <w:sz w:val="20"/>
              </w:rPr>
              <w:t xml:space="preserve"> increased 8% to ZAR1,370 million (FY 2025: ZAR1,273 million).</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779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779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Cartrack’s operating profit margin</w:t>
            </w:r>
            <w:r>
              <w:rPr>
                <w:rFonts w:ascii="Times New Roman;Times;Serif" w:hAnsi="Times New Roman;Times;Serif"/>
                <w:b w:val="false"/>
                <w:i w:val="false"/>
                <w:caps w:val="false"/>
                <w:smallCaps w:val="false"/>
                <w:sz w:val="20"/>
              </w:rPr>
              <w:t xml:space="preserve"> was 28% (FY 2025: 31%).</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779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779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Karooooo’s earnings per share</w:t>
            </w:r>
            <w:r>
              <w:rPr>
                <w:rFonts w:ascii="Times New Roman;Times;Serif" w:hAnsi="Times New Roman;Times;Serif"/>
                <w:b w:val="false"/>
                <w:i w:val="false"/>
                <w:caps w:val="false"/>
                <w:smallCaps w:val="false"/>
                <w:sz w:val="20"/>
              </w:rPr>
              <w:t xml:space="preserve"> increased 8% to ZAR32.17 (FY 2025: ZAR29.81).</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779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779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Karooooo’s adjusted earnings per share</w:t>
            </w:r>
            <w:r>
              <w:rPr>
                <w:rFonts w:ascii="Times New Roman;Times;Serif" w:hAnsi="Times New Roman;Times;Serif"/>
                <w:b w:val="false"/>
                <w:i w:val="false"/>
                <w:caps w:val="false"/>
                <w:smallCaps w:val="false"/>
                <w:sz w:val="20"/>
              </w:rPr>
              <w:t xml:space="preserve"> increased 3% to ZAR32.55 (FY 2025: ZAR31.67).</w:t>
            </w:r>
          </w:p>
        </w:tc>
      </w:tr>
    </w:tbl>
    <w:p>
      <w:pPr>
        <w:pStyle w:val="TextBody"/>
        <w:bidi w:val="0"/>
        <w:spacing w:before="0" w:after="283"/>
        <w:jc w:val="left"/>
        <w:rPr/>
      </w:pPr>
      <w:r>
        <w:rPr/>
        <w:t> </w:t>
      </w:r>
    </w:p>
    <w:p>
      <w:pPr>
        <w:pStyle w:val="TextBody"/>
        <w:bidi w:val="0"/>
        <w:ind w:left="720" w:right="0" w:hanging="0"/>
        <w:jc w:val="left"/>
        <w:rPr>
          <w:b/>
          <w:i/>
        </w:rPr>
      </w:pPr>
      <w:r>
        <w:rPr>
          <w:b/>
          <w:i/>
        </w:rPr>
        <w:t>Presented in the U.S. Dollar Equivalent</w:t>
      </w:r>
      <w:r>
        <w:rPr>
          <w:b/>
          <w:i/>
          <w:position w:val="8"/>
          <w:sz w:val="19"/>
        </w:rPr>
        <w:t>1</w:t>
      </w:r>
    </w:p>
    <w:p>
      <w:pPr>
        <w:pStyle w:val="TextBody"/>
        <w:bidi w:val="0"/>
        <w:spacing w:before="0" w:after="283"/>
        <w:jc w:val="left"/>
        <w:rPr/>
      </w:pPr>
      <w:r>
        <w:rPr/>
        <w:t> </w:t>
      </w:r>
    </w:p>
    <w:tbl>
      <w:tblPr>
        <w:tblW w:w="5995" w:type="dxa"/>
        <w:jc w:val="left"/>
        <w:tblInd w:w="0" w:type="dxa"/>
        <w:tblLayout w:type="fixed"/>
        <w:tblCellMar>
          <w:top w:w="0" w:type="dxa"/>
          <w:left w:w="0" w:type="dxa"/>
          <w:bottom w:w="0" w:type="dxa"/>
          <w:right w:w="0" w:type="dxa"/>
        </w:tblCellMar>
      </w:tblPr>
      <w:tblGrid>
        <w:gridCol w:w="75"/>
        <w:gridCol w:w="170"/>
        <w:gridCol w:w="575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5750"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Karooooo’s earnings per share increased 26% to USD2.02.</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575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5750"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Karooooo’s adjusted earnings per share increased 20% to USD2.05.</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25"/>
        <w:gridCol w:w="10080"/>
      </w:tblGrid>
      <w:tr>
        <w:trPr/>
        <w:tc>
          <w:tcPr>
            <w:tcW w:w="125" w:type="dxa"/>
            <w:tcBorders/>
            <w:vAlign w:val="center"/>
          </w:tcPr>
          <w:p>
            <w:pPr>
              <w:pStyle w:val="TableContents"/>
              <w:bidi w:val="0"/>
              <w:spacing w:before="0" w:after="283"/>
              <w:jc w:val="left"/>
              <w:rPr>
                <w:rFonts w:ascii="Times New Roman;Times;Serif" w:hAnsi="Times New Roman;Times;Serif"/>
                <w:i/>
                <w:position w:val="7"/>
                <w:sz w:val="16"/>
                <w:sz w:val="20"/>
              </w:rPr>
            </w:pPr>
            <w:r>
              <w:rPr>
                <w:rFonts w:ascii="Times New Roman;Times;Serif" w:hAnsi="Times New Roman;Times;Serif"/>
                <w:i/>
                <w:position w:val="7"/>
                <w:sz w:val="16"/>
                <w:sz w:val="20"/>
              </w:rPr>
              <w:t>1</w:t>
            </w:r>
          </w:p>
        </w:tc>
        <w:tc>
          <w:tcPr>
            <w:tcW w:w="10080" w:type="dxa"/>
            <w:tcBorders/>
            <w:vAlign w:val="center"/>
          </w:tcPr>
          <w:p>
            <w:pPr>
              <w:pStyle w:val="TableContents"/>
              <w:bidi w:val="0"/>
              <w:spacing w:before="0" w:after="283"/>
              <w:jc w:val="both"/>
              <w:rPr>
                <w:rFonts w:ascii="Times New Roman;Times;Serif" w:hAnsi="Times New Roman;Times;Serif"/>
                <w:i/>
                <w:sz w:val="20"/>
              </w:rPr>
            </w:pPr>
            <w:r>
              <w:rPr>
                <w:rFonts w:ascii="Times New Roman;Times;Serif" w:hAnsi="Times New Roman;Times;Serif"/>
                <w:i/>
                <w:sz w:val="20"/>
              </w:rPr>
              <w:t>For convenience purposes only, amounts in South African rand as of February 28, 2026 have been translated to U.S. dollars using an exchange rate of ZAR 15.9167 to U.S.$1.00 (February 28, 2025: ZAR 18.6012), as set forth in the H.10 statistical release of the Board of Governors of the Federal Reserve System.  These translations should not be considered representations that any such amounts have been, could have been or could be converted at that or any other exchange rate.</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6</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Year Ended February 28, 2026 Financial Overview</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Supplemental Financial Information and Business Metrics</w:t>
      </w:r>
    </w:p>
    <w:p>
      <w:pPr>
        <w:pStyle w:val="TextBody"/>
        <w:bidi w:val="0"/>
        <w:spacing w:before="0" w:after="0"/>
        <w:ind w:left="0" w:right="0" w:hanging="0"/>
        <w:jc w:val="left"/>
        <w:rPr>
          <w:caps w:val="false"/>
          <w:smallCaps w:val="false"/>
        </w:rPr>
      </w:pPr>
      <w:r>
        <w:rPr>
          <w:caps w:val="false"/>
          <w:smallCaps w:val="false"/>
        </w:rPr>
        <w:t> </w:t>
      </w:r>
    </w:p>
    <w:tbl>
      <w:tblPr>
        <w:tblW w:w="11835" w:type="dxa"/>
        <w:jc w:val="left"/>
        <w:tblInd w:w="0" w:type="dxa"/>
        <w:tblLayout w:type="fixed"/>
        <w:tblCellMar>
          <w:top w:w="0" w:type="dxa"/>
          <w:left w:w="0" w:type="dxa"/>
          <w:bottom w:w="28" w:type="dxa"/>
          <w:right w:w="0" w:type="dxa"/>
        </w:tblCellMar>
      </w:tblPr>
      <w:tblGrid>
        <w:gridCol w:w="1220"/>
        <w:gridCol w:w="60"/>
        <w:gridCol w:w="60"/>
        <w:gridCol w:w="1055"/>
        <w:gridCol w:w="215"/>
        <w:gridCol w:w="60"/>
        <w:gridCol w:w="60"/>
        <w:gridCol w:w="1055"/>
        <w:gridCol w:w="215"/>
        <w:gridCol w:w="60"/>
        <w:gridCol w:w="75"/>
        <w:gridCol w:w="575"/>
        <w:gridCol w:w="215"/>
        <w:gridCol w:w="60"/>
        <w:gridCol w:w="60"/>
        <w:gridCol w:w="875"/>
        <w:gridCol w:w="215"/>
        <w:gridCol w:w="60"/>
        <w:gridCol w:w="60"/>
        <w:gridCol w:w="875"/>
        <w:gridCol w:w="215"/>
        <w:gridCol w:w="60"/>
        <w:gridCol w:w="121"/>
        <w:gridCol w:w="529"/>
        <w:gridCol w:w="215"/>
        <w:gridCol w:w="60"/>
        <w:gridCol w:w="60"/>
        <w:gridCol w:w="1055"/>
        <w:gridCol w:w="215"/>
        <w:gridCol w:w="60"/>
        <w:gridCol w:w="60"/>
        <w:gridCol w:w="1055"/>
        <w:gridCol w:w="215"/>
        <w:gridCol w:w="60"/>
        <w:gridCol w:w="75"/>
        <w:gridCol w:w="575"/>
        <w:gridCol w:w="75"/>
      </w:tblGrid>
      <w:tr>
        <w:trPr/>
        <w:tc>
          <w:tcPr>
            <w:tcW w:w="11835" w:type="dxa"/>
            <w:gridSpan w:val="37"/>
            <w:tcBorders>
              <w:bottom w:val="single" w:sz="12" w:space="0" w:color="000000"/>
            </w:tcBorders>
            <w:vAlign w:val="center"/>
          </w:tcPr>
          <w:p>
            <w:pPr>
              <w:pStyle w:val="TableContents"/>
              <w:bidi w:val="0"/>
              <w:spacing w:before="0" w:after="283"/>
              <w:jc w:val="center"/>
              <w:rPr>
                <w:b/>
              </w:rPr>
            </w:pPr>
            <w:r>
              <w:rPr>
                <w:b/>
              </w:rPr>
              <w:t>Year Ended February 28,</w:t>
            </w:r>
          </w:p>
        </w:tc>
      </w:tr>
      <w:tr>
        <w:trPr/>
        <w:tc>
          <w:tcPr>
            <w:tcW w:w="1220"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left"/>
              <w:rPr/>
            </w:pPr>
            <w:r>
              <w:rPr/>
              <w:t> </w:t>
            </w:r>
          </w:p>
        </w:tc>
        <w:tc>
          <w:tcPr>
            <w:tcW w:w="3430" w:type="dxa"/>
            <w:gridSpan w:val="10"/>
            <w:tcBorders>
              <w:bottom w:val="single" w:sz="12" w:space="0" w:color="000000"/>
            </w:tcBorders>
            <w:vAlign w:val="center"/>
          </w:tcPr>
          <w:p>
            <w:pPr>
              <w:pStyle w:val="TableContents"/>
              <w:bidi w:val="0"/>
              <w:spacing w:before="0" w:after="283"/>
              <w:jc w:val="center"/>
              <w:rPr>
                <w:b/>
              </w:rPr>
            </w:pPr>
            <w:r>
              <w:rPr>
                <w:b/>
              </w:rPr>
              <w:t>Cartrack</w:t>
            </w:r>
          </w:p>
        </w:tc>
        <w:tc>
          <w:tcPr>
            <w:tcW w:w="21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3070" w:type="dxa"/>
            <w:gridSpan w:val="10"/>
            <w:tcBorders>
              <w:bottom w:val="single" w:sz="12" w:space="0" w:color="000000"/>
            </w:tcBorders>
            <w:vAlign w:val="center"/>
          </w:tcPr>
          <w:p>
            <w:pPr>
              <w:pStyle w:val="TableContents"/>
              <w:bidi w:val="0"/>
              <w:spacing w:before="0" w:after="283"/>
              <w:jc w:val="center"/>
              <w:rPr>
                <w:b/>
              </w:rPr>
            </w:pPr>
            <w:r>
              <w:rPr>
                <w:b/>
              </w:rPr>
              <w:t>Karooooo Logistics</w:t>
            </w:r>
          </w:p>
        </w:tc>
        <w:tc>
          <w:tcPr>
            <w:tcW w:w="21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3430" w:type="dxa"/>
            <w:gridSpan w:val="10"/>
            <w:tcBorders>
              <w:bottom w:val="single" w:sz="12" w:space="0" w:color="000000"/>
            </w:tcBorders>
            <w:vAlign w:val="center"/>
          </w:tcPr>
          <w:p>
            <w:pPr>
              <w:pStyle w:val="TableContents"/>
              <w:bidi w:val="0"/>
              <w:spacing w:before="0" w:after="283"/>
              <w:jc w:val="center"/>
              <w:rPr>
                <w:b/>
              </w:rPr>
            </w:pPr>
            <w:r>
              <w:rPr>
                <w:b/>
              </w:rPr>
              <w:t>Karooooo Consolidated</w:t>
            </w:r>
          </w:p>
        </w:tc>
        <w:tc>
          <w:tcPr>
            <w:tcW w:w="75" w:type="dxa"/>
            <w:tcBorders/>
            <w:tcMar>
              <w:bottom w:w="0" w:type="dxa"/>
            </w:tcMar>
            <w:vAlign w:val="center"/>
          </w:tcPr>
          <w:p>
            <w:pPr>
              <w:pStyle w:val="TableContents"/>
              <w:bidi w:val="0"/>
              <w:spacing w:before="0" w:after="283"/>
              <w:jc w:val="left"/>
              <w:rPr/>
            </w:pPr>
            <w:r>
              <w:rPr/>
              <w:t> </w:t>
            </w:r>
          </w:p>
        </w:tc>
      </w:tr>
      <w:tr>
        <w:trPr/>
        <w:tc>
          <w:tcPr>
            <w:tcW w:w="1220" w:type="dxa"/>
            <w:tcBorders>
              <w:bottom w:val="single" w:sz="12" w:space="0" w:color="000000"/>
            </w:tcBorders>
            <w:vAlign w:val="center"/>
          </w:tcPr>
          <w:p>
            <w:pPr>
              <w:pStyle w:val="TableContents"/>
              <w:bidi w:val="0"/>
              <w:spacing w:before="0" w:after="283"/>
              <w:jc w:val="left"/>
              <w:rPr>
                <w:b/>
              </w:rPr>
            </w:pPr>
            <w:r>
              <w:rPr>
                <w:b/>
              </w:rPr>
              <w:t>Figures in Rand Thousands</w:t>
            </w:r>
          </w:p>
        </w:tc>
        <w:tc>
          <w:tcPr>
            <w:tcW w:w="60" w:type="dxa"/>
            <w:tcBorders/>
            <w:tcMar>
              <w:bottom w:w="0" w:type="dxa"/>
            </w:tcMar>
            <w:vAlign w:val="center"/>
          </w:tcPr>
          <w:p>
            <w:pPr>
              <w:pStyle w:val="TableContents"/>
              <w:bidi w:val="0"/>
              <w:spacing w:before="0" w:after="283"/>
              <w:jc w:val="left"/>
              <w:rPr/>
            </w:pPr>
            <w:r>
              <w:rPr/>
              <w:t> </w:t>
            </w:r>
          </w:p>
        </w:tc>
        <w:tc>
          <w:tcPr>
            <w:tcW w:w="1115" w:type="dxa"/>
            <w:gridSpan w:val="2"/>
            <w:tcBorders>
              <w:bottom w:val="single" w:sz="12" w:space="0" w:color="000000"/>
            </w:tcBorders>
            <w:vAlign w:val="center"/>
          </w:tcPr>
          <w:p>
            <w:pPr>
              <w:pStyle w:val="TableContents"/>
              <w:bidi w:val="0"/>
              <w:spacing w:before="0" w:after="283"/>
              <w:jc w:val="center"/>
              <w:rPr/>
            </w:pPr>
            <w:r>
              <w:rPr/>
              <w:t> </w:t>
            </w:r>
            <w:r>
              <w:rPr>
                <w:rFonts w:ascii="Times New Roman;Times;Serif" w:hAnsi="Times New Roman;Times;Serif"/>
                <w:b/>
                <w:sz w:val="20"/>
              </w:rPr>
              <w:t xml:space="preserve">2026 </w:t>
            </w:r>
            <w:r>
              <w:rPr>
                <w:rFonts w:ascii="Times New Roman;Times;Serif" w:hAnsi="Times New Roman;Times;Serif"/>
                <w:sz w:val="20"/>
              </w:rPr>
              <w:t> </w:t>
            </w:r>
          </w:p>
        </w:tc>
        <w:tc>
          <w:tcPr>
            <w:tcW w:w="21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115" w:type="dxa"/>
            <w:gridSpan w:val="2"/>
            <w:tcBorders>
              <w:bottom w:val="single" w:sz="12" w:space="0" w:color="000000"/>
            </w:tcBorders>
            <w:vAlign w:val="center"/>
          </w:tcPr>
          <w:p>
            <w:pPr>
              <w:pStyle w:val="TableContents"/>
              <w:bidi w:val="0"/>
              <w:spacing w:before="0" w:after="283"/>
              <w:jc w:val="center"/>
              <w:rPr/>
            </w:pPr>
            <w:r>
              <w:rPr/>
              <w:t> </w:t>
            </w:r>
            <w:r>
              <w:rPr>
                <w:rFonts w:ascii="Times New Roman;Times;Serif" w:hAnsi="Times New Roman;Times;Serif"/>
                <w:b/>
                <w:sz w:val="20"/>
              </w:rPr>
              <w:t xml:space="preserve">2025 </w:t>
            </w:r>
            <w:r>
              <w:rPr>
                <w:rFonts w:ascii="Times New Roman;Times;Serif" w:hAnsi="Times New Roman;Times;Serif"/>
                <w:sz w:val="20"/>
              </w:rPr>
              <w:t> </w:t>
            </w:r>
          </w:p>
        </w:tc>
        <w:tc>
          <w:tcPr>
            <w:tcW w:w="21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650" w:type="dxa"/>
            <w:gridSpan w:val="2"/>
            <w:tcBorders>
              <w:bottom w:val="single" w:sz="12" w:space="0" w:color="000000"/>
            </w:tcBorders>
            <w:vAlign w:val="center"/>
          </w:tcPr>
          <w:p>
            <w:pPr>
              <w:pStyle w:val="TableContents"/>
              <w:bidi w:val="0"/>
              <w:spacing w:before="0" w:after="283"/>
              <w:jc w:val="center"/>
              <w:rPr>
                <w:b/>
              </w:rPr>
            </w:pPr>
            <w:r>
              <w:rPr>
                <w:b/>
              </w:rPr>
              <w:t>Y-o-Y</w:t>
              <w:br/>
              <w:t>%</w:t>
            </w:r>
          </w:p>
        </w:tc>
        <w:tc>
          <w:tcPr>
            <w:tcW w:w="21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935" w:type="dxa"/>
            <w:gridSpan w:val="2"/>
            <w:tcBorders>
              <w:bottom w:val="single" w:sz="12" w:space="0" w:color="000000"/>
            </w:tcBorders>
            <w:vAlign w:val="center"/>
          </w:tcPr>
          <w:p>
            <w:pPr>
              <w:pStyle w:val="TableContents"/>
              <w:bidi w:val="0"/>
              <w:spacing w:before="0" w:after="283"/>
              <w:jc w:val="center"/>
              <w:rPr>
                <w:b/>
              </w:rPr>
            </w:pPr>
            <w:r>
              <w:rPr>
                <w:b/>
              </w:rPr>
              <w:t>2026</w:t>
            </w:r>
          </w:p>
        </w:tc>
        <w:tc>
          <w:tcPr>
            <w:tcW w:w="21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935" w:type="dxa"/>
            <w:gridSpan w:val="2"/>
            <w:tcBorders>
              <w:bottom w:val="single" w:sz="12" w:space="0" w:color="000000"/>
            </w:tcBorders>
            <w:vAlign w:val="center"/>
          </w:tcPr>
          <w:p>
            <w:pPr>
              <w:pStyle w:val="TableContents"/>
              <w:bidi w:val="0"/>
              <w:spacing w:before="0" w:after="283"/>
              <w:jc w:val="center"/>
              <w:rPr>
                <w:b/>
              </w:rPr>
            </w:pPr>
            <w:r>
              <w:rPr>
                <w:b/>
              </w:rPr>
              <w:t>2025</w:t>
            </w:r>
          </w:p>
        </w:tc>
        <w:tc>
          <w:tcPr>
            <w:tcW w:w="21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650" w:type="dxa"/>
            <w:gridSpan w:val="2"/>
            <w:tcBorders>
              <w:bottom w:val="single" w:sz="12" w:space="0" w:color="000000"/>
            </w:tcBorders>
            <w:vAlign w:val="center"/>
          </w:tcPr>
          <w:p>
            <w:pPr>
              <w:pStyle w:val="TableContents"/>
              <w:bidi w:val="0"/>
              <w:spacing w:before="0" w:after="283"/>
              <w:jc w:val="center"/>
              <w:rPr>
                <w:b/>
              </w:rPr>
            </w:pPr>
            <w:r>
              <w:rPr>
                <w:b/>
              </w:rPr>
              <w:t xml:space="preserve">Y-o-Y </w:t>
              <w:br/>
              <w:t>%</w:t>
            </w:r>
          </w:p>
        </w:tc>
        <w:tc>
          <w:tcPr>
            <w:tcW w:w="21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115" w:type="dxa"/>
            <w:gridSpan w:val="2"/>
            <w:tcBorders>
              <w:bottom w:val="single" w:sz="12" w:space="0" w:color="000000"/>
            </w:tcBorders>
            <w:vAlign w:val="center"/>
          </w:tcPr>
          <w:p>
            <w:pPr>
              <w:pStyle w:val="TableContents"/>
              <w:bidi w:val="0"/>
              <w:spacing w:before="0" w:after="283"/>
              <w:jc w:val="center"/>
              <w:rPr>
                <w:b/>
              </w:rPr>
            </w:pPr>
            <w:r>
              <w:rPr>
                <w:b/>
              </w:rPr>
              <w:t>2026</w:t>
            </w:r>
          </w:p>
        </w:tc>
        <w:tc>
          <w:tcPr>
            <w:tcW w:w="21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115" w:type="dxa"/>
            <w:gridSpan w:val="2"/>
            <w:tcBorders>
              <w:bottom w:val="single" w:sz="12" w:space="0" w:color="000000"/>
            </w:tcBorders>
            <w:vAlign w:val="center"/>
          </w:tcPr>
          <w:p>
            <w:pPr>
              <w:pStyle w:val="TableContents"/>
              <w:bidi w:val="0"/>
              <w:spacing w:before="0" w:after="283"/>
              <w:jc w:val="center"/>
              <w:rPr>
                <w:b/>
              </w:rPr>
            </w:pPr>
            <w:r>
              <w:rPr>
                <w:b/>
              </w:rPr>
              <w:t>2025</w:t>
            </w:r>
          </w:p>
        </w:tc>
        <w:tc>
          <w:tcPr>
            <w:tcW w:w="21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650" w:type="dxa"/>
            <w:gridSpan w:val="2"/>
            <w:tcBorders>
              <w:bottom w:val="single" w:sz="12" w:space="0" w:color="000000"/>
            </w:tcBorders>
            <w:vAlign w:val="center"/>
          </w:tcPr>
          <w:p>
            <w:pPr>
              <w:pStyle w:val="TableContents"/>
              <w:bidi w:val="0"/>
              <w:spacing w:before="0" w:after="283"/>
              <w:jc w:val="center"/>
              <w:rPr>
                <w:b/>
              </w:rPr>
            </w:pPr>
            <w:r>
              <w:rPr>
                <w:b/>
              </w:rPr>
              <w:t>Y-o-Y</w:t>
              <w:br/>
              <w:t>%</w:t>
            </w:r>
          </w:p>
        </w:tc>
        <w:tc>
          <w:tcPr>
            <w:tcW w:w="75" w:type="dxa"/>
            <w:tcBorders/>
            <w:tcMar>
              <w:bottom w:w="0" w:type="dxa"/>
            </w:tcMar>
            <w:vAlign w:val="center"/>
          </w:tcPr>
          <w:p>
            <w:pPr>
              <w:pStyle w:val="TableContents"/>
              <w:bidi w:val="0"/>
              <w:spacing w:before="0" w:after="283"/>
              <w:ind w:left="0" w:right="0" w:hanging="180"/>
              <w:jc w:val="left"/>
              <w:rPr/>
            </w:pPr>
            <w:r>
              <w:rPr/>
              <w:t> </w:t>
            </w:r>
          </w:p>
        </w:tc>
      </w:tr>
      <w:tr>
        <w:trPr/>
        <w:tc>
          <w:tcPr>
            <w:tcW w:w="1220" w:type="dxa"/>
            <w:tcBorders/>
            <w:shd w:fill="CCEEFF" w:val="clear"/>
            <w:tcMar>
              <w:bottom w:w="0" w:type="dxa"/>
            </w:tcMar>
            <w:vAlign w:val="center"/>
          </w:tcPr>
          <w:p>
            <w:pPr>
              <w:pStyle w:val="TableContents"/>
              <w:bidi w:val="0"/>
              <w:spacing w:before="0" w:after="283"/>
              <w:jc w:val="left"/>
              <w:rPr/>
            </w:pPr>
            <w:r>
              <w:rPr/>
              <w:t>Subscription revenue</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055" w:type="dxa"/>
            <w:tcBorders/>
            <w:shd w:fill="CCEEFF" w:val="clear"/>
            <w:tcMar>
              <w:bottom w:w="0" w:type="dxa"/>
            </w:tcMar>
            <w:vAlign w:val="center"/>
          </w:tcPr>
          <w:p>
            <w:pPr>
              <w:pStyle w:val="TableContents"/>
              <w:bidi w:val="0"/>
              <w:spacing w:before="0" w:after="283"/>
              <w:jc w:val="right"/>
              <w:rPr/>
            </w:pPr>
            <w:r>
              <w:rPr/>
              <w:t>4,830,669</w:t>
            </w:r>
          </w:p>
        </w:tc>
        <w:tc>
          <w:tcPr>
            <w:tcW w:w="21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055" w:type="dxa"/>
            <w:tcBorders/>
            <w:shd w:fill="CCEEFF" w:val="clear"/>
            <w:tcMar>
              <w:bottom w:w="0" w:type="dxa"/>
            </w:tcMar>
            <w:vAlign w:val="center"/>
          </w:tcPr>
          <w:p>
            <w:pPr>
              <w:pStyle w:val="TableContents"/>
              <w:bidi w:val="0"/>
              <w:spacing w:before="0" w:after="283"/>
              <w:jc w:val="right"/>
              <w:rPr/>
            </w:pPr>
            <w:r>
              <w:rPr/>
              <w:t>4,055,394</w:t>
            </w:r>
          </w:p>
        </w:tc>
        <w:tc>
          <w:tcPr>
            <w:tcW w:w="21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75" w:type="dxa"/>
            <w:tcBorders/>
            <w:shd w:fill="CCEEFF" w:val="clear"/>
            <w:tcMar>
              <w:bottom w:w="0" w:type="dxa"/>
            </w:tcMar>
            <w:vAlign w:val="center"/>
          </w:tcPr>
          <w:p>
            <w:pPr>
              <w:pStyle w:val="TableContents"/>
              <w:bidi w:val="0"/>
              <w:spacing w:before="0" w:after="283"/>
              <w:jc w:val="left"/>
              <w:rPr/>
            </w:pPr>
            <w:r>
              <w:rPr/>
              <w:t> </w:t>
            </w:r>
          </w:p>
        </w:tc>
        <w:tc>
          <w:tcPr>
            <w:tcW w:w="575" w:type="dxa"/>
            <w:tcBorders/>
            <w:shd w:fill="CCEEFF" w:val="clear"/>
            <w:tcMar>
              <w:bottom w:w="0" w:type="dxa"/>
            </w:tcMar>
            <w:vAlign w:val="center"/>
          </w:tcPr>
          <w:p>
            <w:pPr>
              <w:pStyle w:val="TableContents"/>
              <w:bidi w:val="0"/>
              <w:spacing w:before="0" w:after="283"/>
              <w:jc w:val="right"/>
              <w:rPr/>
            </w:pPr>
            <w:r>
              <w:rPr/>
              <w:t>19</w:t>
            </w:r>
          </w:p>
        </w:tc>
        <w:tc>
          <w:tcPr>
            <w:tcW w:w="215" w:type="dxa"/>
            <w:tcBorders/>
            <w:shd w:fill="CCEEFF" w:val="clear"/>
            <w:tcMar>
              <w:bottom w:w="0" w:type="dxa"/>
            </w:tcMar>
            <w:vAlign w:val="center"/>
          </w:tcPr>
          <w:p>
            <w:pPr>
              <w:pStyle w:val="TableContents"/>
              <w:bidi w:val="0"/>
              <w:spacing w:before="0" w:after="283"/>
              <w:jc w:val="lef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875" w:type="dxa"/>
            <w:tcBorders/>
            <w:shd w:fill="CCEEFF" w:val="clear"/>
            <w:tcMar>
              <w:bottom w:w="0" w:type="dxa"/>
            </w:tcMar>
            <w:vAlign w:val="center"/>
          </w:tcPr>
          <w:p>
            <w:pPr>
              <w:pStyle w:val="TableContents"/>
              <w:bidi w:val="0"/>
              <w:spacing w:before="0" w:after="283"/>
              <w:jc w:val="right"/>
              <w:rPr/>
            </w:pPr>
            <w:r>
              <w:rPr/>
              <w:t>13,079</w:t>
            </w:r>
          </w:p>
        </w:tc>
        <w:tc>
          <w:tcPr>
            <w:tcW w:w="21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875" w:type="dxa"/>
            <w:tcBorders/>
            <w:shd w:fill="CCEEFF" w:val="clear"/>
            <w:tcMar>
              <w:bottom w:w="0" w:type="dxa"/>
            </w:tcMar>
            <w:vAlign w:val="center"/>
          </w:tcPr>
          <w:p>
            <w:pPr>
              <w:pStyle w:val="TableContents"/>
              <w:bidi w:val="0"/>
              <w:spacing w:before="0" w:after="283"/>
              <w:jc w:val="right"/>
              <w:rPr/>
            </w:pPr>
            <w:r>
              <w:rPr/>
              <w:t>12,783</w:t>
            </w:r>
          </w:p>
        </w:tc>
        <w:tc>
          <w:tcPr>
            <w:tcW w:w="21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1" w:type="dxa"/>
            <w:tcBorders/>
            <w:shd w:fill="CCEEFF" w:val="clear"/>
            <w:tcMar>
              <w:bottom w:w="0" w:type="dxa"/>
            </w:tcMar>
            <w:vAlign w:val="center"/>
          </w:tcPr>
          <w:p>
            <w:pPr>
              <w:pStyle w:val="TableContents"/>
              <w:bidi w:val="0"/>
              <w:spacing w:before="0" w:after="283"/>
              <w:jc w:val="left"/>
              <w:rPr/>
            </w:pPr>
            <w:r>
              <w:rPr/>
              <w:t> </w:t>
            </w:r>
          </w:p>
        </w:tc>
        <w:tc>
          <w:tcPr>
            <w:tcW w:w="529" w:type="dxa"/>
            <w:tcBorders/>
            <w:shd w:fill="CCEEFF" w:val="clear"/>
            <w:tcMar>
              <w:bottom w:w="0" w:type="dxa"/>
            </w:tcMar>
            <w:vAlign w:val="center"/>
          </w:tcPr>
          <w:p>
            <w:pPr>
              <w:pStyle w:val="TableContents"/>
              <w:bidi w:val="0"/>
              <w:spacing w:before="0" w:after="283"/>
              <w:jc w:val="right"/>
              <w:rPr/>
            </w:pPr>
            <w:r>
              <w:rPr/>
              <w:t>2</w:t>
            </w:r>
          </w:p>
        </w:tc>
        <w:tc>
          <w:tcPr>
            <w:tcW w:w="215" w:type="dxa"/>
            <w:tcBorders/>
            <w:shd w:fill="CCEEFF" w:val="clear"/>
            <w:tcMar>
              <w:bottom w:w="0" w:type="dxa"/>
            </w:tcMar>
            <w:vAlign w:val="center"/>
          </w:tcPr>
          <w:p>
            <w:pPr>
              <w:pStyle w:val="TableContents"/>
              <w:bidi w:val="0"/>
              <w:spacing w:before="0" w:after="283"/>
              <w:jc w:val="lef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055" w:type="dxa"/>
            <w:tcBorders/>
            <w:shd w:fill="CCEEFF" w:val="clear"/>
            <w:tcMar>
              <w:bottom w:w="0" w:type="dxa"/>
            </w:tcMar>
            <w:vAlign w:val="center"/>
          </w:tcPr>
          <w:p>
            <w:pPr>
              <w:pStyle w:val="TableContents"/>
              <w:bidi w:val="0"/>
              <w:spacing w:before="0" w:after="283"/>
              <w:jc w:val="right"/>
              <w:rPr/>
            </w:pPr>
            <w:r>
              <w:rPr/>
              <w:t>4,843,748</w:t>
            </w:r>
          </w:p>
        </w:tc>
        <w:tc>
          <w:tcPr>
            <w:tcW w:w="21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055" w:type="dxa"/>
            <w:tcBorders/>
            <w:shd w:fill="CCEEFF" w:val="clear"/>
            <w:tcMar>
              <w:bottom w:w="0" w:type="dxa"/>
            </w:tcMar>
            <w:vAlign w:val="center"/>
          </w:tcPr>
          <w:p>
            <w:pPr>
              <w:pStyle w:val="TableContents"/>
              <w:bidi w:val="0"/>
              <w:spacing w:before="0" w:after="283"/>
              <w:jc w:val="right"/>
              <w:rPr/>
            </w:pPr>
            <w:r>
              <w:rPr/>
              <w:t>4,068,177</w:t>
            </w:r>
          </w:p>
        </w:tc>
        <w:tc>
          <w:tcPr>
            <w:tcW w:w="21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75" w:type="dxa"/>
            <w:tcBorders/>
            <w:shd w:fill="CCEEFF" w:val="clear"/>
            <w:tcMar>
              <w:bottom w:w="0" w:type="dxa"/>
            </w:tcMar>
            <w:vAlign w:val="center"/>
          </w:tcPr>
          <w:p>
            <w:pPr>
              <w:pStyle w:val="TableContents"/>
              <w:bidi w:val="0"/>
              <w:spacing w:before="0" w:after="283"/>
              <w:jc w:val="left"/>
              <w:rPr/>
            </w:pPr>
            <w:r>
              <w:rPr/>
              <w:t> </w:t>
            </w:r>
          </w:p>
        </w:tc>
        <w:tc>
          <w:tcPr>
            <w:tcW w:w="575" w:type="dxa"/>
            <w:tcBorders/>
            <w:shd w:fill="CCEEFF" w:val="clear"/>
            <w:tcMar>
              <w:bottom w:w="0" w:type="dxa"/>
            </w:tcMar>
            <w:vAlign w:val="center"/>
          </w:tcPr>
          <w:p>
            <w:pPr>
              <w:pStyle w:val="TableContents"/>
              <w:bidi w:val="0"/>
              <w:spacing w:before="0" w:after="283"/>
              <w:jc w:val="right"/>
              <w:rPr/>
            </w:pPr>
            <w:r>
              <w:rPr/>
              <w:t>19</w:t>
            </w:r>
          </w:p>
        </w:tc>
        <w:tc>
          <w:tcPr>
            <w:tcW w:w="75" w:type="dxa"/>
            <w:tcBorders/>
            <w:shd w:fill="CCEEFF" w:val="clear"/>
            <w:tcMar>
              <w:bottom w:w="0" w:type="dxa"/>
            </w:tcMar>
            <w:vAlign w:val="center"/>
          </w:tcPr>
          <w:p>
            <w:pPr>
              <w:pStyle w:val="TableContents"/>
              <w:bidi w:val="0"/>
              <w:spacing w:before="0" w:after="283"/>
              <w:ind w:left="0" w:right="0" w:hanging="180"/>
              <w:jc w:val="left"/>
              <w:rPr/>
            </w:pPr>
            <w:r>
              <w:rPr/>
              <w:t>%</w:t>
            </w:r>
          </w:p>
        </w:tc>
      </w:tr>
      <w:tr>
        <w:trPr/>
        <w:tc>
          <w:tcPr>
            <w:tcW w:w="1220"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Other revenue</w:t>
            </w:r>
            <w:r>
              <w:rPr>
                <w:rFonts w:ascii="Times New Roman;Times;Serif" w:hAnsi="Times New Roman;Times;Serif"/>
                <w:position w:val="7"/>
                <w:sz w:val="16"/>
                <w:sz w:val="20"/>
              </w:rPr>
              <w:t>1</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055" w:type="dxa"/>
            <w:tcBorders/>
            <w:shd w:fill="FFFFFF" w:val="clear"/>
            <w:tcMar>
              <w:bottom w:w="0" w:type="dxa"/>
            </w:tcMar>
            <w:vAlign w:val="center"/>
          </w:tcPr>
          <w:p>
            <w:pPr>
              <w:pStyle w:val="TableContents"/>
              <w:bidi w:val="0"/>
              <w:spacing w:before="0" w:after="283"/>
              <w:jc w:val="right"/>
              <w:rPr/>
            </w:pPr>
            <w:r>
              <w:rPr/>
              <w:t>108,173</w:t>
            </w:r>
          </w:p>
        </w:tc>
        <w:tc>
          <w:tcPr>
            <w:tcW w:w="21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055" w:type="dxa"/>
            <w:tcBorders/>
            <w:shd w:fill="FFFFFF" w:val="clear"/>
            <w:tcMar>
              <w:bottom w:w="0" w:type="dxa"/>
            </w:tcMar>
            <w:vAlign w:val="center"/>
          </w:tcPr>
          <w:p>
            <w:pPr>
              <w:pStyle w:val="TableContents"/>
              <w:bidi w:val="0"/>
              <w:spacing w:before="0" w:after="283"/>
              <w:jc w:val="right"/>
              <w:rPr/>
            </w:pPr>
            <w:r>
              <w:rPr/>
              <w:t>89,618</w:t>
            </w:r>
          </w:p>
        </w:tc>
        <w:tc>
          <w:tcPr>
            <w:tcW w:w="21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75" w:type="dxa"/>
            <w:tcBorders/>
            <w:shd w:fill="FFFFFF" w:val="clear"/>
            <w:tcMar>
              <w:bottom w:w="0" w:type="dxa"/>
            </w:tcMar>
            <w:vAlign w:val="center"/>
          </w:tcPr>
          <w:p>
            <w:pPr>
              <w:pStyle w:val="TableContents"/>
              <w:bidi w:val="0"/>
              <w:spacing w:before="0" w:after="283"/>
              <w:jc w:val="left"/>
              <w:rPr/>
            </w:pPr>
            <w:r>
              <w:rPr/>
              <w:t> </w:t>
            </w:r>
          </w:p>
        </w:tc>
        <w:tc>
          <w:tcPr>
            <w:tcW w:w="575" w:type="dxa"/>
            <w:tcBorders/>
            <w:shd w:fill="FFFFFF" w:val="clear"/>
            <w:tcMar>
              <w:bottom w:w="0" w:type="dxa"/>
            </w:tcMar>
            <w:vAlign w:val="center"/>
          </w:tcPr>
          <w:p>
            <w:pPr>
              <w:pStyle w:val="TableContents"/>
              <w:bidi w:val="0"/>
              <w:spacing w:before="0" w:after="283"/>
              <w:jc w:val="right"/>
              <w:rPr/>
            </w:pPr>
            <w:r>
              <w:rPr/>
              <w:t>21</w:t>
            </w:r>
          </w:p>
        </w:tc>
        <w:tc>
          <w:tcPr>
            <w:tcW w:w="215" w:type="dxa"/>
            <w:tcBorders/>
            <w:shd w:fill="FFFFFF" w:val="clear"/>
            <w:tcMar>
              <w:bottom w:w="0" w:type="dxa"/>
            </w:tcMar>
            <w:vAlign w:val="center"/>
          </w:tcPr>
          <w:p>
            <w:pPr>
              <w:pStyle w:val="TableContents"/>
              <w:bidi w:val="0"/>
              <w:spacing w:before="0" w:after="283"/>
              <w:jc w:val="lef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875" w:type="dxa"/>
            <w:tcBorders/>
            <w:shd w:fill="FFFFFF" w:val="clear"/>
            <w:tcMar>
              <w:bottom w:w="0" w:type="dxa"/>
            </w:tcMar>
            <w:vAlign w:val="center"/>
          </w:tcPr>
          <w:p>
            <w:pPr>
              <w:pStyle w:val="TableContents"/>
              <w:bidi w:val="0"/>
              <w:spacing w:before="0" w:after="283"/>
              <w:jc w:val="right"/>
              <w:rPr/>
            </w:pPr>
            <w:r>
              <w:rPr/>
              <w:t>-</w:t>
            </w:r>
          </w:p>
        </w:tc>
        <w:tc>
          <w:tcPr>
            <w:tcW w:w="21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875" w:type="dxa"/>
            <w:tcBorders/>
            <w:shd w:fill="FFFFFF" w:val="clear"/>
            <w:tcMar>
              <w:bottom w:w="0" w:type="dxa"/>
            </w:tcMar>
            <w:vAlign w:val="center"/>
          </w:tcPr>
          <w:p>
            <w:pPr>
              <w:pStyle w:val="TableContents"/>
              <w:bidi w:val="0"/>
              <w:spacing w:before="0" w:after="283"/>
              <w:jc w:val="right"/>
              <w:rPr/>
            </w:pPr>
            <w:r>
              <w:rPr/>
              <w:t>-</w:t>
            </w:r>
          </w:p>
        </w:tc>
        <w:tc>
          <w:tcPr>
            <w:tcW w:w="21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1" w:type="dxa"/>
            <w:tcBorders/>
            <w:shd w:fill="FFFFFF" w:val="clear"/>
            <w:tcMar>
              <w:bottom w:w="0" w:type="dxa"/>
            </w:tcMar>
            <w:vAlign w:val="center"/>
          </w:tcPr>
          <w:p>
            <w:pPr>
              <w:pStyle w:val="TableContents"/>
              <w:bidi w:val="0"/>
              <w:spacing w:before="0" w:after="283"/>
              <w:jc w:val="left"/>
              <w:rPr/>
            </w:pPr>
            <w:r>
              <w:rPr/>
              <w:t> </w:t>
            </w:r>
          </w:p>
        </w:tc>
        <w:tc>
          <w:tcPr>
            <w:tcW w:w="529" w:type="dxa"/>
            <w:tcBorders/>
            <w:shd w:fill="FFFFFF" w:val="clear"/>
            <w:tcMar>
              <w:bottom w:w="0" w:type="dxa"/>
            </w:tcMar>
            <w:vAlign w:val="center"/>
          </w:tcPr>
          <w:p>
            <w:pPr>
              <w:pStyle w:val="TableContents"/>
              <w:bidi w:val="0"/>
              <w:spacing w:before="0" w:after="283"/>
              <w:jc w:val="right"/>
              <w:rPr/>
            </w:pPr>
            <w:r>
              <w:rPr/>
              <w:t> </w:t>
            </w:r>
          </w:p>
        </w:tc>
        <w:tc>
          <w:tcPr>
            <w:tcW w:w="21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055" w:type="dxa"/>
            <w:tcBorders/>
            <w:shd w:fill="FFFFFF" w:val="clear"/>
            <w:tcMar>
              <w:bottom w:w="0" w:type="dxa"/>
            </w:tcMar>
            <w:vAlign w:val="center"/>
          </w:tcPr>
          <w:p>
            <w:pPr>
              <w:pStyle w:val="TableContents"/>
              <w:bidi w:val="0"/>
              <w:spacing w:before="0" w:after="283"/>
              <w:jc w:val="right"/>
              <w:rPr/>
            </w:pPr>
            <w:r>
              <w:rPr/>
              <w:t>108,173</w:t>
            </w:r>
          </w:p>
        </w:tc>
        <w:tc>
          <w:tcPr>
            <w:tcW w:w="21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055" w:type="dxa"/>
            <w:tcBorders/>
            <w:shd w:fill="FFFFFF" w:val="clear"/>
            <w:tcMar>
              <w:bottom w:w="0" w:type="dxa"/>
            </w:tcMar>
            <w:vAlign w:val="center"/>
          </w:tcPr>
          <w:p>
            <w:pPr>
              <w:pStyle w:val="TableContents"/>
              <w:bidi w:val="0"/>
              <w:spacing w:before="0" w:after="283"/>
              <w:jc w:val="right"/>
              <w:rPr/>
            </w:pPr>
            <w:r>
              <w:rPr/>
              <w:t>89,618</w:t>
            </w:r>
          </w:p>
        </w:tc>
        <w:tc>
          <w:tcPr>
            <w:tcW w:w="21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75" w:type="dxa"/>
            <w:tcBorders/>
            <w:shd w:fill="FFFFFF" w:val="clear"/>
            <w:tcMar>
              <w:bottom w:w="0" w:type="dxa"/>
            </w:tcMar>
            <w:vAlign w:val="center"/>
          </w:tcPr>
          <w:p>
            <w:pPr>
              <w:pStyle w:val="TableContents"/>
              <w:bidi w:val="0"/>
              <w:spacing w:before="0" w:after="283"/>
              <w:jc w:val="left"/>
              <w:rPr/>
            </w:pPr>
            <w:r>
              <w:rPr/>
              <w:t> </w:t>
            </w:r>
          </w:p>
        </w:tc>
        <w:tc>
          <w:tcPr>
            <w:tcW w:w="575" w:type="dxa"/>
            <w:tcBorders/>
            <w:shd w:fill="FFFFFF" w:val="clear"/>
            <w:tcMar>
              <w:bottom w:w="0" w:type="dxa"/>
            </w:tcMar>
            <w:vAlign w:val="center"/>
          </w:tcPr>
          <w:p>
            <w:pPr>
              <w:pStyle w:val="TableContents"/>
              <w:bidi w:val="0"/>
              <w:spacing w:before="0" w:after="283"/>
              <w:jc w:val="right"/>
              <w:rPr/>
            </w:pPr>
            <w:r>
              <w:rPr/>
              <w:t>21</w:t>
            </w:r>
          </w:p>
        </w:tc>
        <w:tc>
          <w:tcPr>
            <w:tcW w:w="75" w:type="dxa"/>
            <w:tcBorders/>
            <w:shd w:fill="FFFFFF" w:val="clear"/>
            <w:tcMar>
              <w:bottom w:w="0" w:type="dxa"/>
            </w:tcMar>
            <w:vAlign w:val="center"/>
          </w:tcPr>
          <w:p>
            <w:pPr>
              <w:pStyle w:val="TableContents"/>
              <w:bidi w:val="0"/>
              <w:spacing w:before="0" w:after="283"/>
              <w:ind w:left="0" w:right="0" w:hanging="180"/>
              <w:jc w:val="left"/>
              <w:rPr/>
            </w:pPr>
            <w:r>
              <w:rPr/>
              <w:t>%</w:t>
            </w:r>
          </w:p>
        </w:tc>
      </w:tr>
      <w:tr>
        <w:trPr/>
        <w:tc>
          <w:tcPr>
            <w:tcW w:w="1220" w:type="dxa"/>
            <w:tcBorders/>
            <w:shd w:fill="CCEEFF" w:val="clear"/>
            <w:tcMar>
              <w:bottom w:w="0" w:type="dxa"/>
            </w:tcMar>
            <w:vAlign w:val="center"/>
          </w:tcPr>
          <w:p>
            <w:pPr>
              <w:pStyle w:val="TableContents"/>
              <w:bidi w:val="0"/>
              <w:spacing w:before="0" w:after="283"/>
              <w:jc w:val="left"/>
              <w:rPr/>
            </w:pPr>
            <w:r>
              <w:rPr/>
              <w:t>Vehicle sales</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055" w:type="dxa"/>
            <w:tcBorders/>
            <w:shd w:fill="CCEEFF" w:val="clear"/>
            <w:tcMar>
              <w:bottom w:w="0" w:type="dxa"/>
            </w:tcMar>
            <w:vAlign w:val="center"/>
          </w:tcPr>
          <w:p>
            <w:pPr>
              <w:pStyle w:val="TableContents"/>
              <w:bidi w:val="0"/>
              <w:spacing w:before="0" w:after="283"/>
              <w:jc w:val="right"/>
              <w:rPr/>
            </w:pPr>
            <w:r>
              <w:rPr/>
              <w:t>-</w:t>
            </w:r>
          </w:p>
        </w:tc>
        <w:tc>
          <w:tcPr>
            <w:tcW w:w="21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055" w:type="dxa"/>
            <w:tcBorders/>
            <w:shd w:fill="CCEEFF" w:val="clear"/>
            <w:tcMar>
              <w:bottom w:w="0" w:type="dxa"/>
            </w:tcMar>
            <w:vAlign w:val="center"/>
          </w:tcPr>
          <w:p>
            <w:pPr>
              <w:pStyle w:val="TableContents"/>
              <w:bidi w:val="0"/>
              <w:spacing w:before="0" w:after="283"/>
              <w:jc w:val="right"/>
              <w:rPr/>
            </w:pPr>
            <w:r>
              <w:rPr/>
              <w:t>2,099</w:t>
            </w:r>
          </w:p>
        </w:tc>
        <w:tc>
          <w:tcPr>
            <w:tcW w:w="21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75" w:type="dxa"/>
            <w:tcBorders/>
            <w:shd w:fill="CCEEFF" w:val="clear"/>
            <w:tcMar>
              <w:bottom w:w="0" w:type="dxa"/>
            </w:tcMar>
            <w:vAlign w:val="center"/>
          </w:tcPr>
          <w:p>
            <w:pPr>
              <w:pStyle w:val="TableContents"/>
              <w:bidi w:val="0"/>
              <w:spacing w:before="0" w:after="283"/>
              <w:jc w:val="left"/>
              <w:rPr/>
            </w:pPr>
            <w:r>
              <w:rPr/>
              <w:t> </w:t>
            </w:r>
          </w:p>
        </w:tc>
        <w:tc>
          <w:tcPr>
            <w:tcW w:w="575" w:type="dxa"/>
            <w:tcBorders/>
            <w:shd w:fill="CCEEFF" w:val="clear"/>
            <w:tcMar>
              <w:bottom w:w="0" w:type="dxa"/>
            </w:tcMar>
            <w:vAlign w:val="center"/>
          </w:tcPr>
          <w:p>
            <w:pPr>
              <w:pStyle w:val="TableContents"/>
              <w:bidi w:val="0"/>
              <w:spacing w:before="0" w:after="283"/>
              <w:jc w:val="right"/>
              <w:rPr/>
            </w:pPr>
            <w:r>
              <w:rPr/>
              <w:t>(100</w:t>
            </w:r>
          </w:p>
        </w:tc>
        <w:tc>
          <w:tcPr>
            <w:tcW w:w="215" w:type="dxa"/>
            <w:tcBorders/>
            <w:shd w:fill="CCEEFF" w:val="clear"/>
            <w:tcMar>
              <w:bottom w:w="0" w:type="dxa"/>
            </w:tcMar>
            <w:vAlign w:val="center"/>
          </w:tcPr>
          <w:p>
            <w:pPr>
              <w:pStyle w:val="TableContents"/>
              <w:bidi w:val="0"/>
              <w:spacing w:before="0" w:after="283"/>
              <w:jc w:val="lef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875" w:type="dxa"/>
            <w:tcBorders/>
            <w:shd w:fill="CCEEFF" w:val="clear"/>
            <w:tcMar>
              <w:bottom w:w="0" w:type="dxa"/>
            </w:tcMar>
            <w:vAlign w:val="center"/>
          </w:tcPr>
          <w:p>
            <w:pPr>
              <w:pStyle w:val="TableContents"/>
              <w:bidi w:val="0"/>
              <w:spacing w:before="0" w:after="283"/>
              <w:jc w:val="right"/>
              <w:rPr/>
            </w:pPr>
            <w:r>
              <w:rPr/>
              <w:t>-</w:t>
            </w:r>
          </w:p>
        </w:tc>
        <w:tc>
          <w:tcPr>
            <w:tcW w:w="21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875" w:type="dxa"/>
            <w:tcBorders/>
            <w:shd w:fill="CCEEFF" w:val="clear"/>
            <w:tcMar>
              <w:bottom w:w="0" w:type="dxa"/>
            </w:tcMar>
            <w:vAlign w:val="center"/>
          </w:tcPr>
          <w:p>
            <w:pPr>
              <w:pStyle w:val="TableContents"/>
              <w:bidi w:val="0"/>
              <w:spacing w:before="0" w:after="283"/>
              <w:jc w:val="right"/>
              <w:rPr/>
            </w:pPr>
            <w:r>
              <w:rPr/>
              <w:t>-</w:t>
            </w:r>
          </w:p>
        </w:tc>
        <w:tc>
          <w:tcPr>
            <w:tcW w:w="21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1" w:type="dxa"/>
            <w:tcBorders/>
            <w:shd w:fill="CCEEFF" w:val="clear"/>
            <w:tcMar>
              <w:bottom w:w="0" w:type="dxa"/>
            </w:tcMar>
            <w:vAlign w:val="center"/>
          </w:tcPr>
          <w:p>
            <w:pPr>
              <w:pStyle w:val="TableContents"/>
              <w:bidi w:val="0"/>
              <w:spacing w:before="0" w:after="283"/>
              <w:jc w:val="left"/>
              <w:rPr/>
            </w:pPr>
            <w:r>
              <w:rPr/>
              <w:t> </w:t>
            </w:r>
          </w:p>
        </w:tc>
        <w:tc>
          <w:tcPr>
            <w:tcW w:w="529" w:type="dxa"/>
            <w:tcBorders/>
            <w:shd w:fill="CCEEFF" w:val="clear"/>
            <w:tcMar>
              <w:bottom w:w="0" w:type="dxa"/>
            </w:tcMar>
            <w:vAlign w:val="center"/>
          </w:tcPr>
          <w:p>
            <w:pPr>
              <w:pStyle w:val="TableContents"/>
              <w:bidi w:val="0"/>
              <w:spacing w:before="0" w:after="283"/>
              <w:jc w:val="right"/>
              <w:rPr/>
            </w:pPr>
            <w:r>
              <w:rPr/>
              <w:t> </w:t>
            </w:r>
          </w:p>
        </w:tc>
        <w:tc>
          <w:tcPr>
            <w:tcW w:w="21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055" w:type="dxa"/>
            <w:tcBorders/>
            <w:shd w:fill="CCEEFF" w:val="clear"/>
            <w:tcMar>
              <w:bottom w:w="0" w:type="dxa"/>
            </w:tcMar>
            <w:vAlign w:val="center"/>
          </w:tcPr>
          <w:p>
            <w:pPr>
              <w:pStyle w:val="TableContents"/>
              <w:bidi w:val="0"/>
              <w:spacing w:before="0" w:after="283"/>
              <w:jc w:val="right"/>
              <w:rPr/>
            </w:pPr>
            <w:r>
              <w:rPr/>
              <w:t>-</w:t>
            </w:r>
          </w:p>
        </w:tc>
        <w:tc>
          <w:tcPr>
            <w:tcW w:w="21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055" w:type="dxa"/>
            <w:tcBorders/>
            <w:shd w:fill="CCEEFF" w:val="clear"/>
            <w:tcMar>
              <w:bottom w:w="0" w:type="dxa"/>
            </w:tcMar>
            <w:vAlign w:val="center"/>
          </w:tcPr>
          <w:p>
            <w:pPr>
              <w:pStyle w:val="TableContents"/>
              <w:bidi w:val="0"/>
              <w:spacing w:before="0" w:after="283"/>
              <w:jc w:val="right"/>
              <w:rPr/>
            </w:pPr>
            <w:r>
              <w:rPr/>
              <w:t>2,099</w:t>
            </w:r>
          </w:p>
        </w:tc>
        <w:tc>
          <w:tcPr>
            <w:tcW w:w="21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75" w:type="dxa"/>
            <w:tcBorders/>
            <w:shd w:fill="CCEEFF" w:val="clear"/>
            <w:tcMar>
              <w:bottom w:w="0" w:type="dxa"/>
            </w:tcMar>
            <w:vAlign w:val="center"/>
          </w:tcPr>
          <w:p>
            <w:pPr>
              <w:pStyle w:val="TableContents"/>
              <w:bidi w:val="0"/>
              <w:spacing w:before="0" w:after="283"/>
              <w:jc w:val="left"/>
              <w:rPr/>
            </w:pPr>
            <w:r>
              <w:rPr/>
              <w:t> </w:t>
            </w:r>
          </w:p>
        </w:tc>
        <w:tc>
          <w:tcPr>
            <w:tcW w:w="575" w:type="dxa"/>
            <w:tcBorders/>
            <w:shd w:fill="CCEEFF" w:val="clear"/>
            <w:tcMar>
              <w:bottom w:w="0" w:type="dxa"/>
            </w:tcMar>
            <w:vAlign w:val="center"/>
          </w:tcPr>
          <w:p>
            <w:pPr>
              <w:pStyle w:val="TableContents"/>
              <w:bidi w:val="0"/>
              <w:spacing w:before="0" w:after="283"/>
              <w:jc w:val="right"/>
              <w:rPr/>
            </w:pPr>
            <w:r>
              <w:rPr/>
              <w:t>(100</w:t>
            </w:r>
          </w:p>
        </w:tc>
        <w:tc>
          <w:tcPr>
            <w:tcW w:w="75" w:type="dxa"/>
            <w:tcBorders/>
            <w:shd w:fill="CCEEFF" w:val="clear"/>
            <w:tcMar>
              <w:bottom w:w="0" w:type="dxa"/>
            </w:tcMar>
            <w:vAlign w:val="center"/>
          </w:tcPr>
          <w:p>
            <w:pPr>
              <w:pStyle w:val="TableContents"/>
              <w:bidi w:val="0"/>
              <w:spacing w:before="0" w:after="283"/>
              <w:ind w:left="0" w:right="0" w:hanging="180"/>
              <w:jc w:val="left"/>
              <w:rPr/>
            </w:pPr>
            <w:r>
              <w:rPr/>
              <w:t>)%</w:t>
            </w:r>
          </w:p>
        </w:tc>
      </w:tr>
      <w:tr>
        <w:trPr/>
        <w:tc>
          <w:tcPr>
            <w:tcW w:w="1220" w:type="dxa"/>
            <w:tcBorders/>
            <w:shd w:fill="FFFFFF" w:val="clear"/>
            <w:tcMar>
              <w:bottom w:w="0" w:type="dxa"/>
            </w:tcMar>
            <w:vAlign w:val="center"/>
          </w:tcPr>
          <w:p>
            <w:pPr>
              <w:pStyle w:val="TableContents"/>
              <w:bidi w:val="0"/>
              <w:spacing w:before="0" w:after="283"/>
              <w:jc w:val="left"/>
              <w:rPr/>
            </w:pPr>
            <w:r>
              <w:rPr/>
              <w:t>Delivery service</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bottom w:val="single" w:sz="12" w:space="0" w:color="000000"/>
            </w:tcBorders>
            <w:shd w:fill="FFFFFF" w:val="clear"/>
            <w:vAlign w:val="center"/>
          </w:tcPr>
          <w:p>
            <w:pPr>
              <w:pStyle w:val="TableContents"/>
              <w:bidi w:val="0"/>
              <w:spacing w:before="0" w:after="283"/>
              <w:jc w:val="left"/>
              <w:rPr/>
            </w:pPr>
            <w:r>
              <w:rPr/>
              <w:t> </w:t>
            </w:r>
          </w:p>
        </w:tc>
        <w:tc>
          <w:tcPr>
            <w:tcW w:w="1055" w:type="dxa"/>
            <w:tcBorders>
              <w:bottom w:val="single" w:sz="12" w:space="0" w:color="000000"/>
            </w:tcBorders>
            <w:shd w:fill="FFFFFF" w:val="clear"/>
            <w:vAlign w:val="center"/>
          </w:tcPr>
          <w:p>
            <w:pPr>
              <w:pStyle w:val="TableContents"/>
              <w:bidi w:val="0"/>
              <w:spacing w:before="0" w:after="283"/>
              <w:jc w:val="right"/>
              <w:rPr/>
            </w:pPr>
            <w:r>
              <w:rPr/>
              <w:t>-</w:t>
            </w:r>
          </w:p>
        </w:tc>
        <w:tc>
          <w:tcPr>
            <w:tcW w:w="21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bottom w:val="single" w:sz="12" w:space="0" w:color="000000"/>
            </w:tcBorders>
            <w:shd w:fill="FFFFFF" w:val="clear"/>
            <w:vAlign w:val="center"/>
          </w:tcPr>
          <w:p>
            <w:pPr>
              <w:pStyle w:val="TableContents"/>
              <w:bidi w:val="0"/>
              <w:spacing w:before="0" w:after="283"/>
              <w:jc w:val="left"/>
              <w:rPr/>
            </w:pPr>
            <w:r>
              <w:rPr/>
              <w:t> </w:t>
            </w:r>
          </w:p>
        </w:tc>
        <w:tc>
          <w:tcPr>
            <w:tcW w:w="1055" w:type="dxa"/>
            <w:tcBorders>
              <w:bottom w:val="single" w:sz="12" w:space="0" w:color="000000"/>
            </w:tcBorders>
            <w:shd w:fill="FFFFFF" w:val="clear"/>
            <w:vAlign w:val="center"/>
          </w:tcPr>
          <w:p>
            <w:pPr>
              <w:pStyle w:val="TableContents"/>
              <w:bidi w:val="0"/>
              <w:spacing w:before="0" w:after="283"/>
              <w:jc w:val="right"/>
              <w:rPr/>
            </w:pPr>
            <w:r>
              <w:rPr/>
              <w:t>-</w:t>
            </w:r>
          </w:p>
        </w:tc>
        <w:tc>
          <w:tcPr>
            <w:tcW w:w="21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75" w:type="dxa"/>
            <w:tcBorders>
              <w:bottom w:val="single" w:sz="12" w:space="0" w:color="000000"/>
            </w:tcBorders>
            <w:shd w:fill="FFFFFF" w:val="clear"/>
            <w:vAlign w:val="center"/>
          </w:tcPr>
          <w:p>
            <w:pPr>
              <w:pStyle w:val="TableContents"/>
              <w:bidi w:val="0"/>
              <w:spacing w:before="0" w:after="283"/>
              <w:jc w:val="left"/>
              <w:rPr/>
            </w:pPr>
            <w:r>
              <w:rPr/>
              <w:t> </w:t>
            </w:r>
          </w:p>
        </w:tc>
        <w:tc>
          <w:tcPr>
            <w:tcW w:w="575" w:type="dxa"/>
            <w:tcBorders>
              <w:bottom w:val="single" w:sz="12" w:space="0" w:color="000000"/>
            </w:tcBorders>
            <w:shd w:fill="FFFFFF" w:val="clear"/>
            <w:vAlign w:val="center"/>
          </w:tcPr>
          <w:p>
            <w:pPr>
              <w:pStyle w:val="TableContents"/>
              <w:bidi w:val="0"/>
              <w:spacing w:before="0" w:after="283"/>
              <w:jc w:val="right"/>
              <w:rPr/>
            </w:pPr>
            <w:r>
              <w:rPr/>
              <w:t>-</w:t>
            </w:r>
          </w:p>
        </w:tc>
        <w:tc>
          <w:tcPr>
            <w:tcW w:w="21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bottom w:val="single" w:sz="12" w:space="0" w:color="000000"/>
            </w:tcBorders>
            <w:shd w:fill="FFFFFF" w:val="clear"/>
            <w:vAlign w:val="center"/>
          </w:tcPr>
          <w:p>
            <w:pPr>
              <w:pStyle w:val="TableContents"/>
              <w:bidi w:val="0"/>
              <w:spacing w:before="0" w:after="283"/>
              <w:jc w:val="left"/>
              <w:rPr/>
            </w:pPr>
            <w:r>
              <w:rPr/>
              <w:t> </w:t>
            </w:r>
          </w:p>
        </w:tc>
        <w:tc>
          <w:tcPr>
            <w:tcW w:w="875" w:type="dxa"/>
            <w:tcBorders>
              <w:bottom w:val="single" w:sz="12" w:space="0" w:color="000000"/>
            </w:tcBorders>
            <w:shd w:fill="FFFFFF" w:val="clear"/>
            <w:vAlign w:val="center"/>
          </w:tcPr>
          <w:p>
            <w:pPr>
              <w:pStyle w:val="TableContents"/>
              <w:bidi w:val="0"/>
              <w:spacing w:before="0" w:after="283"/>
              <w:jc w:val="right"/>
              <w:rPr/>
            </w:pPr>
            <w:r>
              <w:rPr/>
              <w:t>527,199</w:t>
            </w:r>
          </w:p>
        </w:tc>
        <w:tc>
          <w:tcPr>
            <w:tcW w:w="21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bottom w:val="single" w:sz="12" w:space="0" w:color="000000"/>
            </w:tcBorders>
            <w:shd w:fill="FFFFFF" w:val="clear"/>
            <w:vAlign w:val="center"/>
          </w:tcPr>
          <w:p>
            <w:pPr>
              <w:pStyle w:val="TableContents"/>
              <w:bidi w:val="0"/>
              <w:spacing w:before="0" w:after="283"/>
              <w:jc w:val="left"/>
              <w:rPr/>
            </w:pPr>
            <w:r>
              <w:rPr/>
              <w:t> </w:t>
            </w:r>
          </w:p>
        </w:tc>
        <w:tc>
          <w:tcPr>
            <w:tcW w:w="875" w:type="dxa"/>
            <w:tcBorders>
              <w:bottom w:val="single" w:sz="12" w:space="0" w:color="000000"/>
            </w:tcBorders>
            <w:shd w:fill="FFFFFF" w:val="clear"/>
            <w:vAlign w:val="center"/>
          </w:tcPr>
          <w:p>
            <w:pPr>
              <w:pStyle w:val="TableContents"/>
              <w:bidi w:val="0"/>
              <w:spacing w:before="0" w:after="283"/>
              <w:jc w:val="right"/>
              <w:rPr/>
            </w:pPr>
            <w:r>
              <w:rPr/>
              <w:t>407,565</w:t>
            </w:r>
          </w:p>
        </w:tc>
        <w:tc>
          <w:tcPr>
            <w:tcW w:w="21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1" w:type="dxa"/>
            <w:tcBorders>
              <w:bottom w:val="single" w:sz="12" w:space="0" w:color="000000"/>
            </w:tcBorders>
            <w:shd w:fill="FFFFFF" w:val="clear"/>
            <w:vAlign w:val="center"/>
          </w:tcPr>
          <w:p>
            <w:pPr>
              <w:pStyle w:val="TableContents"/>
              <w:bidi w:val="0"/>
              <w:spacing w:before="0" w:after="283"/>
              <w:jc w:val="left"/>
              <w:rPr/>
            </w:pPr>
            <w:r>
              <w:rPr/>
              <w:t> </w:t>
            </w:r>
          </w:p>
        </w:tc>
        <w:tc>
          <w:tcPr>
            <w:tcW w:w="529" w:type="dxa"/>
            <w:tcBorders>
              <w:bottom w:val="single" w:sz="12" w:space="0" w:color="000000"/>
            </w:tcBorders>
            <w:shd w:fill="FFFFFF" w:val="clear"/>
            <w:vAlign w:val="center"/>
          </w:tcPr>
          <w:p>
            <w:pPr>
              <w:pStyle w:val="TableContents"/>
              <w:bidi w:val="0"/>
              <w:spacing w:before="0" w:after="283"/>
              <w:jc w:val="right"/>
              <w:rPr/>
            </w:pPr>
            <w:r>
              <w:rPr/>
              <w:t>29</w:t>
            </w:r>
          </w:p>
        </w:tc>
        <w:tc>
          <w:tcPr>
            <w:tcW w:w="215" w:type="dxa"/>
            <w:tcBorders/>
            <w:shd w:fill="FFFFFF" w:val="clear"/>
            <w:tcMar>
              <w:bottom w:w="0" w:type="dxa"/>
            </w:tcMar>
            <w:vAlign w:val="center"/>
          </w:tcPr>
          <w:p>
            <w:pPr>
              <w:pStyle w:val="TableContents"/>
              <w:bidi w:val="0"/>
              <w:spacing w:before="0" w:after="283"/>
              <w:jc w:val="lef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bottom w:val="single" w:sz="12" w:space="0" w:color="000000"/>
            </w:tcBorders>
            <w:shd w:fill="FFFFFF" w:val="clear"/>
            <w:vAlign w:val="center"/>
          </w:tcPr>
          <w:p>
            <w:pPr>
              <w:pStyle w:val="TableContents"/>
              <w:bidi w:val="0"/>
              <w:spacing w:before="0" w:after="283"/>
              <w:jc w:val="left"/>
              <w:rPr/>
            </w:pPr>
            <w:r>
              <w:rPr/>
              <w:t> </w:t>
            </w:r>
          </w:p>
        </w:tc>
        <w:tc>
          <w:tcPr>
            <w:tcW w:w="1055" w:type="dxa"/>
            <w:tcBorders>
              <w:bottom w:val="single" w:sz="12" w:space="0" w:color="000000"/>
            </w:tcBorders>
            <w:shd w:fill="FFFFFF" w:val="clear"/>
            <w:vAlign w:val="center"/>
          </w:tcPr>
          <w:p>
            <w:pPr>
              <w:pStyle w:val="TableContents"/>
              <w:bidi w:val="0"/>
              <w:spacing w:before="0" w:after="283"/>
              <w:jc w:val="right"/>
              <w:rPr/>
            </w:pPr>
            <w:r>
              <w:rPr/>
              <w:t>527,199</w:t>
            </w:r>
          </w:p>
        </w:tc>
        <w:tc>
          <w:tcPr>
            <w:tcW w:w="21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bottom w:val="single" w:sz="12" w:space="0" w:color="000000"/>
            </w:tcBorders>
            <w:shd w:fill="FFFFFF" w:val="clear"/>
            <w:vAlign w:val="center"/>
          </w:tcPr>
          <w:p>
            <w:pPr>
              <w:pStyle w:val="TableContents"/>
              <w:bidi w:val="0"/>
              <w:spacing w:before="0" w:after="283"/>
              <w:jc w:val="left"/>
              <w:rPr/>
            </w:pPr>
            <w:r>
              <w:rPr/>
              <w:t> </w:t>
            </w:r>
          </w:p>
        </w:tc>
        <w:tc>
          <w:tcPr>
            <w:tcW w:w="1055" w:type="dxa"/>
            <w:tcBorders>
              <w:bottom w:val="single" w:sz="12" w:space="0" w:color="000000"/>
            </w:tcBorders>
            <w:shd w:fill="FFFFFF" w:val="clear"/>
            <w:vAlign w:val="center"/>
          </w:tcPr>
          <w:p>
            <w:pPr>
              <w:pStyle w:val="TableContents"/>
              <w:bidi w:val="0"/>
              <w:spacing w:before="0" w:after="283"/>
              <w:jc w:val="right"/>
              <w:rPr/>
            </w:pPr>
            <w:r>
              <w:rPr/>
              <w:t>407,565</w:t>
            </w:r>
          </w:p>
        </w:tc>
        <w:tc>
          <w:tcPr>
            <w:tcW w:w="21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75" w:type="dxa"/>
            <w:tcBorders>
              <w:bottom w:val="single" w:sz="12" w:space="0" w:color="000000"/>
            </w:tcBorders>
            <w:shd w:fill="FFFFFF" w:val="clear"/>
            <w:vAlign w:val="center"/>
          </w:tcPr>
          <w:p>
            <w:pPr>
              <w:pStyle w:val="TableContents"/>
              <w:bidi w:val="0"/>
              <w:spacing w:before="0" w:after="283"/>
              <w:jc w:val="left"/>
              <w:rPr/>
            </w:pPr>
            <w:r>
              <w:rPr/>
              <w:t> </w:t>
            </w:r>
          </w:p>
        </w:tc>
        <w:tc>
          <w:tcPr>
            <w:tcW w:w="575" w:type="dxa"/>
            <w:tcBorders>
              <w:bottom w:val="single" w:sz="12" w:space="0" w:color="000000"/>
            </w:tcBorders>
            <w:shd w:fill="FFFFFF" w:val="clear"/>
            <w:vAlign w:val="center"/>
          </w:tcPr>
          <w:p>
            <w:pPr>
              <w:pStyle w:val="TableContents"/>
              <w:bidi w:val="0"/>
              <w:spacing w:before="0" w:after="283"/>
              <w:jc w:val="right"/>
              <w:rPr/>
            </w:pPr>
            <w:r>
              <w:rPr/>
              <w:t>29</w:t>
            </w:r>
          </w:p>
        </w:tc>
        <w:tc>
          <w:tcPr>
            <w:tcW w:w="75" w:type="dxa"/>
            <w:tcBorders/>
            <w:shd w:fill="FFFFFF" w:val="clear"/>
            <w:tcMar>
              <w:bottom w:w="0" w:type="dxa"/>
            </w:tcMar>
            <w:vAlign w:val="center"/>
          </w:tcPr>
          <w:p>
            <w:pPr>
              <w:pStyle w:val="TableContents"/>
              <w:bidi w:val="0"/>
              <w:spacing w:before="0" w:after="283"/>
              <w:ind w:left="0" w:right="0" w:hanging="180"/>
              <w:jc w:val="left"/>
              <w:rPr/>
            </w:pPr>
            <w:r>
              <w:rPr/>
              <w:t>%</w:t>
            </w:r>
          </w:p>
        </w:tc>
      </w:tr>
      <w:tr>
        <w:trPr/>
        <w:tc>
          <w:tcPr>
            <w:tcW w:w="1220" w:type="dxa"/>
            <w:tcBorders/>
            <w:shd w:fill="CCEEFF" w:val="clear"/>
            <w:tcMar>
              <w:bottom w:w="0" w:type="dxa"/>
            </w:tcMar>
            <w:vAlign w:val="center"/>
          </w:tcPr>
          <w:p>
            <w:pPr>
              <w:pStyle w:val="TableContents"/>
              <w:bidi w:val="0"/>
              <w:spacing w:before="0" w:after="283"/>
              <w:jc w:val="left"/>
              <w:rPr/>
            </w:pPr>
            <w:r>
              <w:rPr/>
              <w:t>Revenue</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bottom w:val="double" w:sz="10" w:space="0" w:color="000000"/>
            </w:tcBorders>
            <w:shd w:fill="CCEEFF" w:val="clear"/>
            <w:vAlign w:val="center"/>
          </w:tcPr>
          <w:p>
            <w:pPr>
              <w:pStyle w:val="TableContents"/>
              <w:bidi w:val="0"/>
              <w:spacing w:before="0" w:after="283"/>
              <w:jc w:val="left"/>
              <w:rPr/>
            </w:pPr>
            <w:r>
              <w:rPr/>
              <w:t> </w:t>
            </w:r>
          </w:p>
        </w:tc>
        <w:tc>
          <w:tcPr>
            <w:tcW w:w="1055" w:type="dxa"/>
            <w:tcBorders>
              <w:bottom w:val="double" w:sz="10" w:space="0" w:color="000000"/>
            </w:tcBorders>
            <w:shd w:fill="CCEEFF" w:val="clear"/>
            <w:vAlign w:val="center"/>
          </w:tcPr>
          <w:p>
            <w:pPr>
              <w:pStyle w:val="TableContents"/>
              <w:bidi w:val="0"/>
              <w:spacing w:before="0" w:after="283"/>
              <w:jc w:val="right"/>
              <w:rPr/>
            </w:pPr>
            <w:r>
              <w:rPr/>
              <w:t>4,938,842</w:t>
            </w:r>
          </w:p>
        </w:tc>
        <w:tc>
          <w:tcPr>
            <w:tcW w:w="21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bottom w:val="double" w:sz="10" w:space="0" w:color="000000"/>
            </w:tcBorders>
            <w:shd w:fill="CCEEFF" w:val="clear"/>
            <w:vAlign w:val="center"/>
          </w:tcPr>
          <w:p>
            <w:pPr>
              <w:pStyle w:val="TableContents"/>
              <w:bidi w:val="0"/>
              <w:spacing w:before="0" w:after="283"/>
              <w:jc w:val="left"/>
              <w:rPr/>
            </w:pPr>
            <w:r>
              <w:rPr/>
              <w:t> </w:t>
            </w:r>
          </w:p>
        </w:tc>
        <w:tc>
          <w:tcPr>
            <w:tcW w:w="1055" w:type="dxa"/>
            <w:tcBorders>
              <w:bottom w:val="double" w:sz="10" w:space="0" w:color="000000"/>
            </w:tcBorders>
            <w:shd w:fill="CCEEFF" w:val="clear"/>
            <w:vAlign w:val="center"/>
          </w:tcPr>
          <w:p>
            <w:pPr>
              <w:pStyle w:val="TableContents"/>
              <w:bidi w:val="0"/>
              <w:spacing w:before="0" w:after="283"/>
              <w:jc w:val="right"/>
              <w:rPr/>
            </w:pPr>
            <w:r>
              <w:rPr/>
              <w:t>4,147,111</w:t>
            </w:r>
          </w:p>
        </w:tc>
        <w:tc>
          <w:tcPr>
            <w:tcW w:w="21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75" w:type="dxa"/>
            <w:tcBorders>
              <w:bottom w:val="double" w:sz="10" w:space="0" w:color="000000"/>
            </w:tcBorders>
            <w:shd w:fill="CCEEFF" w:val="clear"/>
            <w:vAlign w:val="center"/>
          </w:tcPr>
          <w:p>
            <w:pPr>
              <w:pStyle w:val="TableContents"/>
              <w:bidi w:val="0"/>
              <w:spacing w:before="0" w:after="283"/>
              <w:jc w:val="left"/>
              <w:rPr/>
            </w:pPr>
            <w:r>
              <w:rPr/>
              <w:t> </w:t>
            </w:r>
          </w:p>
        </w:tc>
        <w:tc>
          <w:tcPr>
            <w:tcW w:w="575" w:type="dxa"/>
            <w:tcBorders>
              <w:bottom w:val="double" w:sz="10" w:space="0" w:color="000000"/>
            </w:tcBorders>
            <w:shd w:fill="CCEEFF" w:val="clear"/>
            <w:vAlign w:val="center"/>
          </w:tcPr>
          <w:p>
            <w:pPr>
              <w:pStyle w:val="TableContents"/>
              <w:bidi w:val="0"/>
              <w:spacing w:before="0" w:after="283"/>
              <w:jc w:val="right"/>
              <w:rPr/>
            </w:pPr>
            <w:r>
              <w:rPr/>
              <w:t>19</w:t>
            </w:r>
          </w:p>
        </w:tc>
        <w:tc>
          <w:tcPr>
            <w:tcW w:w="215" w:type="dxa"/>
            <w:tcBorders/>
            <w:shd w:fill="CCEEFF" w:val="clear"/>
            <w:tcMar>
              <w:bottom w:w="0" w:type="dxa"/>
            </w:tcMar>
            <w:vAlign w:val="center"/>
          </w:tcPr>
          <w:p>
            <w:pPr>
              <w:pStyle w:val="TableContents"/>
              <w:bidi w:val="0"/>
              <w:spacing w:before="0" w:after="283"/>
              <w:jc w:val="lef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bottom w:val="double" w:sz="10" w:space="0" w:color="000000"/>
            </w:tcBorders>
            <w:shd w:fill="CCEEFF" w:val="clear"/>
            <w:vAlign w:val="center"/>
          </w:tcPr>
          <w:p>
            <w:pPr>
              <w:pStyle w:val="TableContents"/>
              <w:bidi w:val="0"/>
              <w:spacing w:before="0" w:after="283"/>
              <w:jc w:val="left"/>
              <w:rPr/>
            </w:pPr>
            <w:r>
              <w:rPr/>
              <w:t> </w:t>
            </w:r>
          </w:p>
        </w:tc>
        <w:tc>
          <w:tcPr>
            <w:tcW w:w="875" w:type="dxa"/>
            <w:tcBorders>
              <w:bottom w:val="double" w:sz="10" w:space="0" w:color="000000"/>
            </w:tcBorders>
            <w:shd w:fill="CCEEFF" w:val="clear"/>
            <w:vAlign w:val="center"/>
          </w:tcPr>
          <w:p>
            <w:pPr>
              <w:pStyle w:val="TableContents"/>
              <w:bidi w:val="0"/>
              <w:spacing w:before="0" w:after="283"/>
              <w:jc w:val="right"/>
              <w:rPr/>
            </w:pPr>
            <w:r>
              <w:rPr/>
              <w:t>540,278</w:t>
            </w:r>
          </w:p>
        </w:tc>
        <w:tc>
          <w:tcPr>
            <w:tcW w:w="21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bottom w:val="double" w:sz="10" w:space="0" w:color="000000"/>
            </w:tcBorders>
            <w:shd w:fill="CCEEFF" w:val="clear"/>
            <w:vAlign w:val="center"/>
          </w:tcPr>
          <w:p>
            <w:pPr>
              <w:pStyle w:val="TableContents"/>
              <w:bidi w:val="0"/>
              <w:spacing w:before="0" w:after="283"/>
              <w:jc w:val="left"/>
              <w:rPr/>
            </w:pPr>
            <w:r>
              <w:rPr/>
              <w:t> </w:t>
            </w:r>
          </w:p>
        </w:tc>
        <w:tc>
          <w:tcPr>
            <w:tcW w:w="875" w:type="dxa"/>
            <w:tcBorders>
              <w:bottom w:val="double" w:sz="10" w:space="0" w:color="000000"/>
            </w:tcBorders>
            <w:shd w:fill="CCEEFF" w:val="clear"/>
            <w:vAlign w:val="center"/>
          </w:tcPr>
          <w:p>
            <w:pPr>
              <w:pStyle w:val="TableContents"/>
              <w:bidi w:val="0"/>
              <w:spacing w:before="0" w:after="283"/>
              <w:jc w:val="right"/>
              <w:rPr/>
            </w:pPr>
            <w:r>
              <w:rPr/>
              <w:t>420,348</w:t>
            </w:r>
          </w:p>
        </w:tc>
        <w:tc>
          <w:tcPr>
            <w:tcW w:w="21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1" w:type="dxa"/>
            <w:tcBorders>
              <w:bottom w:val="double" w:sz="10" w:space="0" w:color="000000"/>
            </w:tcBorders>
            <w:shd w:fill="CCEEFF" w:val="clear"/>
            <w:vAlign w:val="center"/>
          </w:tcPr>
          <w:p>
            <w:pPr>
              <w:pStyle w:val="TableContents"/>
              <w:bidi w:val="0"/>
              <w:spacing w:before="0" w:after="283"/>
              <w:jc w:val="left"/>
              <w:rPr/>
            </w:pPr>
            <w:r>
              <w:rPr/>
              <w:t> </w:t>
            </w:r>
          </w:p>
        </w:tc>
        <w:tc>
          <w:tcPr>
            <w:tcW w:w="529" w:type="dxa"/>
            <w:tcBorders>
              <w:bottom w:val="double" w:sz="10" w:space="0" w:color="000000"/>
            </w:tcBorders>
            <w:shd w:fill="CCEEFF" w:val="clear"/>
            <w:vAlign w:val="center"/>
          </w:tcPr>
          <w:p>
            <w:pPr>
              <w:pStyle w:val="TableContents"/>
              <w:bidi w:val="0"/>
              <w:spacing w:before="0" w:after="283"/>
              <w:jc w:val="right"/>
              <w:rPr/>
            </w:pPr>
            <w:r>
              <w:rPr/>
              <w:t>29</w:t>
            </w:r>
          </w:p>
        </w:tc>
        <w:tc>
          <w:tcPr>
            <w:tcW w:w="215" w:type="dxa"/>
            <w:tcBorders/>
            <w:shd w:fill="CCEEFF" w:val="clear"/>
            <w:tcMar>
              <w:bottom w:w="0" w:type="dxa"/>
            </w:tcMar>
            <w:vAlign w:val="center"/>
          </w:tcPr>
          <w:p>
            <w:pPr>
              <w:pStyle w:val="TableContents"/>
              <w:bidi w:val="0"/>
              <w:spacing w:before="0" w:after="283"/>
              <w:jc w:val="lef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bottom w:val="double" w:sz="10" w:space="0" w:color="000000"/>
            </w:tcBorders>
            <w:shd w:fill="CCEEFF" w:val="clear"/>
            <w:vAlign w:val="center"/>
          </w:tcPr>
          <w:p>
            <w:pPr>
              <w:pStyle w:val="TableContents"/>
              <w:bidi w:val="0"/>
              <w:spacing w:before="0" w:after="283"/>
              <w:jc w:val="left"/>
              <w:rPr/>
            </w:pPr>
            <w:r>
              <w:rPr/>
              <w:t> </w:t>
            </w:r>
          </w:p>
        </w:tc>
        <w:tc>
          <w:tcPr>
            <w:tcW w:w="1055" w:type="dxa"/>
            <w:tcBorders>
              <w:bottom w:val="double" w:sz="10" w:space="0" w:color="000000"/>
            </w:tcBorders>
            <w:shd w:fill="CCEEFF" w:val="clear"/>
            <w:vAlign w:val="center"/>
          </w:tcPr>
          <w:p>
            <w:pPr>
              <w:pStyle w:val="TableContents"/>
              <w:bidi w:val="0"/>
              <w:spacing w:before="0" w:after="283"/>
              <w:jc w:val="right"/>
              <w:rPr/>
            </w:pPr>
            <w:r>
              <w:rPr/>
              <w:t>5,479,120</w:t>
            </w:r>
          </w:p>
        </w:tc>
        <w:tc>
          <w:tcPr>
            <w:tcW w:w="21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bottom w:val="double" w:sz="10" w:space="0" w:color="000000"/>
            </w:tcBorders>
            <w:shd w:fill="CCEEFF" w:val="clear"/>
            <w:vAlign w:val="center"/>
          </w:tcPr>
          <w:p>
            <w:pPr>
              <w:pStyle w:val="TableContents"/>
              <w:bidi w:val="0"/>
              <w:spacing w:before="0" w:after="283"/>
              <w:jc w:val="left"/>
              <w:rPr/>
            </w:pPr>
            <w:r>
              <w:rPr/>
              <w:t> </w:t>
            </w:r>
          </w:p>
        </w:tc>
        <w:tc>
          <w:tcPr>
            <w:tcW w:w="1055" w:type="dxa"/>
            <w:tcBorders>
              <w:bottom w:val="double" w:sz="10" w:space="0" w:color="000000"/>
            </w:tcBorders>
            <w:shd w:fill="CCEEFF" w:val="clear"/>
            <w:vAlign w:val="center"/>
          </w:tcPr>
          <w:p>
            <w:pPr>
              <w:pStyle w:val="TableContents"/>
              <w:bidi w:val="0"/>
              <w:spacing w:before="0" w:after="283"/>
              <w:jc w:val="right"/>
              <w:rPr/>
            </w:pPr>
            <w:r>
              <w:rPr/>
              <w:t>4,567,459</w:t>
            </w:r>
          </w:p>
        </w:tc>
        <w:tc>
          <w:tcPr>
            <w:tcW w:w="21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75" w:type="dxa"/>
            <w:tcBorders>
              <w:bottom w:val="double" w:sz="10" w:space="0" w:color="000000"/>
            </w:tcBorders>
            <w:shd w:fill="CCEEFF" w:val="clear"/>
            <w:vAlign w:val="center"/>
          </w:tcPr>
          <w:p>
            <w:pPr>
              <w:pStyle w:val="TableContents"/>
              <w:bidi w:val="0"/>
              <w:spacing w:before="0" w:after="283"/>
              <w:jc w:val="left"/>
              <w:rPr/>
            </w:pPr>
            <w:r>
              <w:rPr/>
              <w:t> </w:t>
            </w:r>
          </w:p>
        </w:tc>
        <w:tc>
          <w:tcPr>
            <w:tcW w:w="575" w:type="dxa"/>
            <w:tcBorders>
              <w:bottom w:val="double" w:sz="10" w:space="0" w:color="000000"/>
            </w:tcBorders>
            <w:shd w:fill="CCEEFF" w:val="clear"/>
            <w:vAlign w:val="center"/>
          </w:tcPr>
          <w:p>
            <w:pPr>
              <w:pStyle w:val="TableContents"/>
              <w:bidi w:val="0"/>
              <w:spacing w:before="0" w:after="283"/>
              <w:jc w:val="right"/>
              <w:rPr/>
            </w:pPr>
            <w:r>
              <w:rPr/>
              <w:t>20</w:t>
            </w:r>
          </w:p>
        </w:tc>
        <w:tc>
          <w:tcPr>
            <w:tcW w:w="75" w:type="dxa"/>
            <w:tcBorders/>
            <w:shd w:fill="CCEEFF" w:val="clear"/>
            <w:tcMar>
              <w:bottom w:w="0" w:type="dxa"/>
            </w:tcMar>
            <w:vAlign w:val="center"/>
          </w:tcPr>
          <w:p>
            <w:pPr>
              <w:pStyle w:val="TableContents"/>
              <w:bidi w:val="0"/>
              <w:spacing w:before="0" w:after="283"/>
              <w:ind w:left="0" w:right="0" w:hanging="180"/>
              <w:jc w:val="left"/>
              <w:rPr/>
            </w:pPr>
            <w:r>
              <w:rPr/>
              <w:t>%</w:t>
            </w:r>
          </w:p>
        </w:tc>
      </w:tr>
      <w:tr>
        <w:trPr/>
        <w:tc>
          <w:tcPr>
            <w:tcW w:w="1220" w:type="dxa"/>
            <w:tcBorders/>
            <w:shd w:fill="FFFFFF" w:val="clear"/>
            <w:tcMar>
              <w:bottom w:w="0" w:type="dxa"/>
            </w:tcMar>
            <w:vAlign w:val="center"/>
          </w:tcPr>
          <w:p>
            <w:pPr>
              <w:pStyle w:val="TableContents"/>
              <w:bidi w:val="0"/>
              <w:spacing w:before="0" w:after="283"/>
              <w:jc w:val="left"/>
              <w:rPr/>
            </w:pPr>
            <w:r>
              <w:rPr/>
              <w:t>Cost of Sales</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055" w:type="dxa"/>
            <w:tcBorders/>
            <w:shd w:fill="FFFFFF" w:val="clear"/>
            <w:tcMar>
              <w:bottom w:w="0" w:type="dxa"/>
            </w:tcMar>
            <w:vAlign w:val="center"/>
          </w:tcPr>
          <w:p>
            <w:pPr>
              <w:pStyle w:val="TableContents"/>
              <w:bidi w:val="0"/>
              <w:spacing w:before="0" w:after="283"/>
              <w:jc w:val="right"/>
              <w:rPr/>
            </w:pPr>
            <w:r>
              <w:rPr/>
              <w:t>(1,381,579</w:t>
            </w:r>
          </w:p>
        </w:tc>
        <w:tc>
          <w:tcPr>
            <w:tcW w:w="215" w:type="dxa"/>
            <w:tcBorders/>
            <w:shd w:fill="FFFFFF" w:val="clear"/>
            <w:tcMar>
              <w:bottom w:w="0" w:type="dxa"/>
            </w:tcMar>
            <w:vAlign w:val="center"/>
          </w:tcPr>
          <w:p>
            <w:pPr>
              <w:pStyle w:val="TableContents"/>
              <w:bidi w:val="0"/>
              <w:spacing w:before="0" w:after="283"/>
              <w:jc w:val="lef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055" w:type="dxa"/>
            <w:tcBorders/>
            <w:shd w:fill="FFFFFF" w:val="clear"/>
            <w:tcMar>
              <w:bottom w:w="0" w:type="dxa"/>
            </w:tcMar>
            <w:vAlign w:val="center"/>
          </w:tcPr>
          <w:p>
            <w:pPr>
              <w:pStyle w:val="TableContents"/>
              <w:bidi w:val="0"/>
              <w:spacing w:before="0" w:after="283"/>
              <w:jc w:val="right"/>
              <w:rPr/>
            </w:pPr>
            <w:r>
              <w:rPr/>
              <w:t>(1,078,699</w:t>
            </w:r>
          </w:p>
        </w:tc>
        <w:tc>
          <w:tcPr>
            <w:tcW w:w="215" w:type="dxa"/>
            <w:tcBorders/>
            <w:shd w:fill="FFFFFF" w:val="clear"/>
            <w:tcMar>
              <w:bottom w:w="0" w:type="dxa"/>
            </w:tcMar>
            <w:vAlign w:val="center"/>
          </w:tcPr>
          <w:p>
            <w:pPr>
              <w:pStyle w:val="TableContents"/>
              <w:bidi w:val="0"/>
              <w:spacing w:before="0" w:after="283"/>
              <w:jc w:val="lef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75" w:type="dxa"/>
            <w:tcBorders/>
            <w:shd w:fill="FFFFFF" w:val="clear"/>
            <w:tcMar>
              <w:bottom w:w="0" w:type="dxa"/>
            </w:tcMar>
            <w:vAlign w:val="center"/>
          </w:tcPr>
          <w:p>
            <w:pPr>
              <w:pStyle w:val="TableContents"/>
              <w:bidi w:val="0"/>
              <w:spacing w:before="0" w:after="283"/>
              <w:jc w:val="left"/>
              <w:rPr/>
            </w:pPr>
            <w:r>
              <w:rPr/>
              <w:t> </w:t>
            </w:r>
          </w:p>
        </w:tc>
        <w:tc>
          <w:tcPr>
            <w:tcW w:w="575" w:type="dxa"/>
            <w:tcBorders/>
            <w:shd w:fill="FFFFFF" w:val="clear"/>
            <w:tcMar>
              <w:bottom w:w="0" w:type="dxa"/>
            </w:tcMar>
            <w:vAlign w:val="center"/>
          </w:tcPr>
          <w:p>
            <w:pPr>
              <w:pStyle w:val="TableContents"/>
              <w:bidi w:val="0"/>
              <w:spacing w:before="0" w:after="283"/>
              <w:jc w:val="right"/>
              <w:rPr/>
            </w:pPr>
            <w:r>
              <w:rPr/>
              <w:t>28</w:t>
            </w:r>
          </w:p>
        </w:tc>
        <w:tc>
          <w:tcPr>
            <w:tcW w:w="215" w:type="dxa"/>
            <w:tcBorders/>
            <w:shd w:fill="FFFFFF" w:val="clear"/>
            <w:tcMar>
              <w:bottom w:w="0" w:type="dxa"/>
            </w:tcMar>
            <w:vAlign w:val="center"/>
          </w:tcPr>
          <w:p>
            <w:pPr>
              <w:pStyle w:val="TableContents"/>
              <w:bidi w:val="0"/>
              <w:spacing w:before="0" w:after="283"/>
              <w:jc w:val="lef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875" w:type="dxa"/>
            <w:tcBorders/>
            <w:shd w:fill="FFFFFF" w:val="clear"/>
            <w:tcMar>
              <w:bottom w:w="0" w:type="dxa"/>
            </w:tcMar>
            <w:vAlign w:val="center"/>
          </w:tcPr>
          <w:p>
            <w:pPr>
              <w:pStyle w:val="TableContents"/>
              <w:bidi w:val="0"/>
              <w:spacing w:before="0" w:after="283"/>
              <w:jc w:val="right"/>
              <w:rPr/>
            </w:pPr>
            <w:r>
              <w:rPr/>
              <w:t>(373,371</w:t>
            </w:r>
          </w:p>
        </w:tc>
        <w:tc>
          <w:tcPr>
            <w:tcW w:w="215" w:type="dxa"/>
            <w:tcBorders/>
            <w:shd w:fill="FFFFFF" w:val="clear"/>
            <w:tcMar>
              <w:bottom w:w="0" w:type="dxa"/>
            </w:tcMar>
            <w:vAlign w:val="center"/>
          </w:tcPr>
          <w:p>
            <w:pPr>
              <w:pStyle w:val="TableContents"/>
              <w:bidi w:val="0"/>
              <w:spacing w:before="0" w:after="283"/>
              <w:jc w:val="lef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875" w:type="dxa"/>
            <w:tcBorders/>
            <w:shd w:fill="FFFFFF" w:val="clear"/>
            <w:tcMar>
              <w:bottom w:w="0" w:type="dxa"/>
            </w:tcMar>
            <w:vAlign w:val="center"/>
          </w:tcPr>
          <w:p>
            <w:pPr>
              <w:pStyle w:val="TableContents"/>
              <w:bidi w:val="0"/>
              <w:spacing w:before="0" w:after="283"/>
              <w:jc w:val="right"/>
              <w:rPr/>
            </w:pPr>
            <w:r>
              <w:rPr/>
              <w:t>(285,708</w:t>
            </w:r>
          </w:p>
        </w:tc>
        <w:tc>
          <w:tcPr>
            <w:tcW w:w="215" w:type="dxa"/>
            <w:tcBorders/>
            <w:shd w:fill="FFFFFF" w:val="clear"/>
            <w:tcMar>
              <w:bottom w:w="0" w:type="dxa"/>
            </w:tcMar>
            <w:vAlign w:val="center"/>
          </w:tcPr>
          <w:p>
            <w:pPr>
              <w:pStyle w:val="TableContents"/>
              <w:bidi w:val="0"/>
              <w:spacing w:before="0" w:after="283"/>
              <w:jc w:val="lef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1" w:type="dxa"/>
            <w:tcBorders/>
            <w:shd w:fill="FFFFFF" w:val="clear"/>
            <w:tcMar>
              <w:bottom w:w="0" w:type="dxa"/>
            </w:tcMar>
            <w:vAlign w:val="center"/>
          </w:tcPr>
          <w:p>
            <w:pPr>
              <w:pStyle w:val="TableContents"/>
              <w:bidi w:val="0"/>
              <w:spacing w:before="0" w:after="283"/>
              <w:jc w:val="left"/>
              <w:rPr/>
            </w:pPr>
            <w:r>
              <w:rPr/>
              <w:t> </w:t>
            </w:r>
          </w:p>
        </w:tc>
        <w:tc>
          <w:tcPr>
            <w:tcW w:w="529" w:type="dxa"/>
            <w:tcBorders/>
            <w:shd w:fill="FFFFFF" w:val="clear"/>
            <w:tcMar>
              <w:bottom w:w="0" w:type="dxa"/>
            </w:tcMar>
            <w:vAlign w:val="center"/>
          </w:tcPr>
          <w:p>
            <w:pPr>
              <w:pStyle w:val="TableContents"/>
              <w:bidi w:val="0"/>
              <w:spacing w:before="0" w:after="283"/>
              <w:jc w:val="right"/>
              <w:rPr/>
            </w:pPr>
            <w:r>
              <w:rPr/>
              <w:t>31</w:t>
            </w:r>
          </w:p>
        </w:tc>
        <w:tc>
          <w:tcPr>
            <w:tcW w:w="215" w:type="dxa"/>
            <w:tcBorders/>
            <w:shd w:fill="FFFFFF" w:val="clear"/>
            <w:tcMar>
              <w:bottom w:w="0" w:type="dxa"/>
            </w:tcMar>
            <w:vAlign w:val="center"/>
          </w:tcPr>
          <w:p>
            <w:pPr>
              <w:pStyle w:val="TableContents"/>
              <w:bidi w:val="0"/>
              <w:spacing w:before="0" w:after="283"/>
              <w:jc w:val="lef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055" w:type="dxa"/>
            <w:tcBorders/>
            <w:shd w:fill="FFFFFF" w:val="clear"/>
            <w:tcMar>
              <w:bottom w:w="0" w:type="dxa"/>
            </w:tcMar>
            <w:vAlign w:val="center"/>
          </w:tcPr>
          <w:p>
            <w:pPr>
              <w:pStyle w:val="TableContents"/>
              <w:bidi w:val="0"/>
              <w:spacing w:before="0" w:after="283"/>
              <w:jc w:val="right"/>
              <w:rPr/>
            </w:pPr>
            <w:r>
              <w:rPr/>
              <w:t>(1,754,950</w:t>
            </w:r>
          </w:p>
        </w:tc>
        <w:tc>
          <w:tcPr>
            <w:tcW w:w="215" w:type="dxa"/>
            <w:tcBorders/>
            <w:shd w:fill="FFFFFF" w:val="clear"/>
            <w:tcMar>
              <w:bottom w:w="0" w:type="dxa"/>
            </w:tcMar>
            <w:vAlign w:val="center"/>
          </w:tcPr>
          <w:p>
            <w:pPr>
              <w:pStyle w:val="TableContents"/>
              <w:bidi w:val="0"/>
              <w:spacing w:before="0" w:after="283"/>
              <w:jc w:val="lef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055" w:type="dxa"/>
            <w:tcBorders/>
            <w:shd w:fill="FFFFFF" w:val="clear"/>
            <w:tcMar>
              <w:bottom w:w="0" w:type="dxa"/>
            </w:tcMar>
            <w:vAlign w:val="center"/>
          </w:tcPr>
          <w:p>
            <w:pPr>
              <w:pStyle w:val="TableContents"/>
              <w:bidi w:val="0"/>
              <w:spacing w:before="0" w:after="283"/>
              <w:jc w:val="right"/>
              <w:rPr/>
            </w:pPr>
            <w:r>
              <w:rPr/>
              <w:t>(1,364,407</w:t>
            </w:r>
          </w:p>
        </w:tc>
        <w:tc>
          <w:tcPr>
            <w:tcW w:w="215" w:type="dxa"/>
            <w:tcBorders/>
            <w:shd w:fill="FFFFFF" w:val="clear"/>
            <w:tcMar>
              <w:bottom w:w="0" w:type="dxa"/>
            </w:tcMar>
            <w:vAlign w:val="center"/>
          </w:tcPr>
          <w:p>
            <w:pPr>
              <w:pStyle w:val="TableContents"/>
              <w:bidi w:val="0"/>
              <w:spacing w:before="0" w:after="283"/>
              <w:jc w:val="lef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75" w:type="dxa"/>
            <w:tcBorders/>
            <w:shd w:fill="FFFFFF" w:val="clear"/>
            <w:tcMar>
              <w:bottom w:w="0" w:type="dxa"/>
            </w:tcMar>
            <w:vAlign w:val="center"/>
          </w:tcPr>
          <w:p>
            <w:pPr>
              <w:pStyle w:val="TableContents"/>
              <w:bidi w:val="0"/>
              <w:spacing w:before="0" w:after="283"/>
              <w:jc w:val="left"/>
              <w:rPr/>
            </w:pPr>
            <w:r>
              <w:rPr/>
              <w:t> </w:t>
            </w:r>
          </w:p>
        </w:tc>
        <w:tc>
          <w:tcPr>
            <w:tcW w:w="575" w:type="dxa"/>
            <w:tcBorders/>
            <w:shd w:fill="FFFFFF" w:val="clear"/>
            <w:tcMar>
              <w:bottom w:w="0" w:type="dxa"/>
            </w:tcMar>
            <w:vAlign w:val="center"/>
          </w:tcPr>
          <w:p>
            <w:pPr>
              <w:pStyle w:val="TableContents"/>
              <w:bidi w:val="0"/>
              <w:spacing w:before="0" w:after="283"/>
              <w:jc w:val="right"/>
              <w:rPr/>
            </w:pPr>
            <w:r>
              <w:rPr/>
              <w:t>29</w:t>
            </w:r>
          </w:p>
        </w:tc>
        <w:tc>
          <w:tcPr>
            <w:tcW w:w="75" w:type="dxa"/>
            <w:tcBorders/>
            <w:shd w:fill="FFFFFF" w:val="clear"/>
            <w:tcMar>
              <w:bottom w:w="0" w:type="dxa"/>
            </w:tcMar>
            <w:vAlign w:val="center"/>
          </w:tcPr>
          <w:p>
            <w:pPr>
              <w:pStyle w:val="TableContents"/>
              <w:bidi w:val="0"/>
              <w:spacing w:before="0" w:after="283"/>
              <w:ind w:left="0" w:right="0" w:hanging="180"/>
              <w:jc w:val="left"/>
              <w:rPr/>
            </w:pPr>
            <w:r>
              <w:rPr/>
              <w:t>%</w:t>
            </w:r>
          </w:p>
        </w:tc>
      </w:tr>
      <w:tr>
        <w:trPr/>
        <w:tc>
          <w:tcPr>
            <w:tcW w:w="1220" w:type="dxa"/>
            <w:tcBorders/>
            <w:shd w:fill="CCEEFF" w:val="clear"/>
            <w:tcMar>
              <w:bottom w:w="0" w:type="dxa"/>
            </w:tcMar>
            <w:vAlign w:val="center"/>
          </w:tcPr>
          <w:p>
            <w:pPr>
              <w:pStyle w:val="TableContents"/>
              <w:bidi w:val="0"/>
              <w:spacing w:before="0" w:after="283"/>
              <w:jc w:val="left"/>
              <w:rPr/>
            </w:pPr>
            <w:r>
              <w:rPr/>
              <w:t>Gross Profit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055" w:type="dxa"/>
            <w:tcBorders/>
            <w:shd w:fill="CCEEFF" w:val="clear"/>
            <w:tcMar>
              <w:bottom w:w="0" w:type="dxa"/>
            </w:tcMar>
            <w:vAlign w:val="center"/>
          </w:tcPr>
          <w:p>
            <w:pPr>
              <w:pStyle w:val="TableContents"/>
              <w:bidi w:val="0"/>
              <w:spacing w:before="0" w:after="283"/>
              <w:jc w:val="right"/>
              <w:rPr/>
            </w:pPr>
            <w:r>
              <w:rPr/>
              <w:t>3,557,263</w:t>
            </w:r>
          </w:p>
        </w:tc>
        <w:tc>
          <w:tcPr>
            <w:tcW w:w="21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055" w:type="dxa"/>
            <w:tcBorders/>
            <w:shd w:fill="CCEEFF" w:val="clear"/>
            <w:tcMar>
              <w:bottom w:w="0" w:type="dxa"/>
            </w:tcMar>
            <w:vAlign w:val="center"/>
          </w:tcPr>
          <w:p>
            <w:pPr>
              <w:pStyle w:val="TableContents"/>
              <w:bidi w:val="0"/>
              <w:spacing w:before="0" w:after="283"/>
              <w:jc w:val="right"/>
              <w:rPr/>
            </w:pPr>
            <w:r>
              <w:rPr/>
              <w:t>3,068,412</w:t>
            </w:r>
          </w:p>
        </w:tc>
        <w:tc>
          <w:tcPr>
            <w:tcW w:w="21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75" w:type="dxa"/>
            <w:tcBorders/>
            <w:shd w:fill="CCEEFF" w:val="clear"/>
            <w:tcMar>
              <w:bottom w:w="0" w:type="dxa"/>
            </w:tcMar>
            <w:vAlign w:val="center"/>
          </w:tcPr>
          <w:p>
            <w:pPr>
              <w:pStyle w:val="TableContents"/>
              <w:bidi w:val="0"/>
              <w:spacing w:before="0" w:after="283"/>
              <w:jc w:val="left"/>
              <w:rPr/>
            </w:pPr>
            <w:r>
              <w:rPr/>
              <w:t> </w:t>
            </w:r>
          </w:p>
        </w:tc>
        <w:tc>
          <w:tcPr>
            <w:tcW w:w="575" w:type="dxa"/>
            <w:tcBorders/>
            <w:shd w:fill="CCEEFF" w:val="clear"/>
            <w:tcMar>
              <w:bottom w:w="0" w:type="dxa"/>
            </w:tcMar>
            <w:vAlign w:val="center"/>
          </w:tcPr>
          <w:p>
            <w:pPr>
              <w:pStyle w:val="TableContents"/>
              <w:bidi w:val="0"/>
              <w:spacing w:before="0" w:after="283"/>
              <w:jc w:val="right"/>
              <w:rPr/>
            </w:pPr>
            <w:r>
              <w:rPr/>
              <w:t>16</w:t>
            </w:r>
          </w:p>
        </w:tc>
        <w:tc>
          <w:tcPr>
            <w:tcW w:w="215" w:type="dxa"/>
            <w:tcBorders/>
            <w:shd w:fill="CCEEFF" w:val="clear"/>
            <w:tcMar>
              <w:bottom w:w="0" w:type="dxa"/>
            </w:tcMar>
            <w:vAlign w:val="center"/>
          </w:tcPr>
          <w:p>
            <w:pPr>
              <w:pStyle w:val="TableContents"/>
              <w:bidi w:val="0"/>
              <w:spacing w:before="0" w:after="283"/>
              <w:jc w:val="lef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875" w:type="dxa"/>
            <w:tcBorders/>
            <w:shd w:fill="CCEEFF" w:val="clear"/>
            <w:tcMar>
              <w:bottom w:w="0" w:type="dxa"/>
            </w:tcMar>
            <w:vAlign w:val="center"/>
          </w:tcPr>
          <w:p>
            <w:pPr>
              <w:pStyle w:val="TableContents"/>
              <w:bidi w:val="0"/>
              <w:spacing w:before="0" w:after="283"/>
              <w:jc w:val="right"/>
              <w:rPr/>
            </w:pPr>
            <w:r>
              <w:rPr/>
              <w:t>166,907</w:t>
            </w:r>
          </w:p>
        </w:tc>
        <w:tc>
          <w:tcPr>
            <w:tcW w:w="21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875" w:type="dxa"/>
            <w:tcBorders/>
            <w:shd w:fill="CCEEFF" w:val="clear"/>
            <w:tcMar>
              <w:bottom w:w="0" w:type="dxa"/>
            </w:tcMar>
            <w:vAlign w:val="center"/>
          </w:tcPr>
          <w:p>
            <w:pPr>
              <w:pStyle w:val="TableContents"/>
              <w:bidi w:val="0"/>
              <w:spacing w:before="0" w:after="283"/>
              <w:jc w:val="right"/>
              <w:rPr/>
            </w:pPr>
            <w:r>
              <w:rPr/>
              <w:t>134,640</w:t>
            </w:r>
          </w:p>
        </w:tc>
        <w:tc>
          <w:tcPr>
            <w:tcW w:w="21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1" w:type="dxa"/>
            <w:tcBorders/>
            <w:shd w:fill="CCEEFF" w:val="clear"/>
            <w:tcMar>
              <w:bottom w:w="0" w:type="dxa"/>
            </w:tcMar>
            <w:vAlign w:val="center"/>
          </w:tcPr>
          <w:p>
            <w:pPr>
              <w:pStyle w:val="TableContents"/>
              <w:bidi w:val="0"/>
              <w:spacing w:before="0" w:after="283"/>
              <w:jc w:val="left"/>
              <w:rPr/>
            </w:pPr>
            <w:r>
              <w:rPr/>
              <w:t> </w:t>
            </w:r>
          </w:p>
        </w:tc>
        <w:tc>
          <w:tcPr>
            <w:tcW w:w="529" w:type="dxa"/>
            <w:tcBorders/>
            <w:shd w:fill="CCEEFF" w:val="clear"/>
            <w:tcMar>
              <w:bottom w:w="0" w:type="dxa"/>
            </w:tcMar>
            <w:vAlign w:val="center"/>
          </w:tcPr>
          <w:p>
            <w:pPr>
              <w:pStyle w:val="TableContents"/>
              <w:bidi w:val="0"/>
              <w:spacing w:before="0" w:after="283"/>
              <w:jc w:val="right"/>
              <w:rPr/>
            </w:pPr>
            <w:r>
              <w:rPr/>
              <w:t>24</w:t>
            </w:r>
          </w:p>
        </w:tc>
        <w:tc>
          <w:tcPr>
            <w:tcW w:w="215" w:type="dxa"/>
            <w:tcBorders/>
            <w:shd w:fill="CCEEFF" w:val="clear"/>
            <w:tcMar>
              <w:bottom w:w="0" w:type="dxa"/>
            </w:tcMar>
            <w:vAlign w:val="center"/>
          </w:tcPr>
          <w:p>
            <w:pPr>
              <w:pStyle w:val="TableContents"/>
              <w:bidi w:val="0"/>
              <w:spacing w:before="0" w:after="283"/>
              <w:jc w:val="lef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055" w:type="dxa"/>
            <w:tcBorders/>
            <w:shd w:fill="CCEEFF" w:val="clear"/>
            <w:tcMar>
              <w:bottom w:w="0" w:type="dxa"/>
            </w:tcMar>
            <w:vAlign w:val="center"/>
          </w:tcPr>
          <w:p>
            <w:pPr>
              <w:pStyle w:val="TableContents"/>
              <w:bidi w:val="0"/>
              <w:spacing w:before="0" w:after="283"/>
              <w:jc w:val="right"/>
              <w:rPr/>
            </w:pPr>
            <w:r>
              <w:rPr/>
              <w:t>3,724,170</w:t>
            </w:r>
          </w:p>
        </w:tc>
        <w:tc>
          <w:tcPr>
            <w:tcW w:w="21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055" w:type="dxa"/>
            <w:tcBorders/>
            <w:shd w:fill="CCEEFF" w:val="clear"/>
            <w:tcMar>
              <w:bottom w:w="0" w:type="dxa"/>
            </w:tcMar>
            <w:vAlign w:val="center"/>
          </w:tcPr>
          <w:p>
            <w:pPr>
              <w:pStyle w:val="TableContents"/>
              <w:bidi w:val="0"/>
              <w:spacing w:before="0" w:after="283"/>
              <w:jc w:val="right"/>
              <w:rPr/>
            </w:pPr>
            <w:r>
              <w:rPr/>
              <w:t>3,203,052</w:t>
            </w:r>
          </w:p>
        </w:tc>
        <w:tc>
          <w:tcPr>
            <w:tcW w:w="21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75" w:type="dxa"/>
            <w:tcBorders/>
            <w:shd w:fill="CCEEFF" w:val="clear"/>
            <w:tcMar>
              <w:bottom w:w="0" w:type="dxa"/>
            </w:tcMar>
            <w:vAlign w:val="center"/>
          </w:tcPr>
          <w:p>
            <w:pPr>
              <w:pStyle w:val="TableContents"/>
              <w:bidi w:val="0"/>
              <w:spacing w:before="0" w:after="283"/>
              <w:jc w:val="left"/>
              <w:rPr/>
            </w:pPr>
            <w:r>
              <w:rPr/>
              <w:t> </w:t>
            </w:r>
          </w:p>
        </w:tc>
        <w:tc>
          <w:tcPr>
            <w:tcW w:w="575" w:type="dxa"/>
            <w:tcBorders/>
            <w:shd w:fill="CCEEFF" w:val="clear"/>
            <w:tcMar>
              <w:bottom w:w="0" w:type="dxa"/>
            </w:tcMar>
            <w:vAlign w:val="center"/>
          </w:tcPr>
          <w:p>
            <w:pPr>
              <w:pStyle w:val="TableContents"/>
              <w:bidi w:val="0"/>
              <w:spacing w:before="0" w:after="283"/>
              <w:jc w:val="right"/>
              <w:rPr/>
            </w:pPr>
            <w:r>
              <w:rPr/>
              <w:t>16</w:t>
            </w:r>
          </w:p>
        </w:tc>
        <w:tc>
          <w:tcPr>
            <w:tcW w:w="75" w:type="dxa"/>
            <w:tcBorders/>
            <w:shd w:fill="CCEEFF" w:val="clear"/>
            <w:tcMar>
              <w:bottom w:w="0" w:type="dxa"/>
            </w:tcMar>
            <w:vAlign w:val="center"/>
          </w:tcPr>
          <w:p>
            <w:pPr>
              <w:pStyle w:val="TableContents"/>
              <w:bidi w:val="0"/>
              <w:spacing w:before="0" w:after="283"/>
              <w:ind w:left="0" w:right="0" w:hanging="180"/>
              <w:jc w:val="left"/>
              <w:rPr/>
            </w:pPr>
            <w:r>
              <w:rPr/>
              <w:t>%</w:t>
            </w:r>
          </w:p>
        </w:tc>
      </w:tr>
      <w:tr>
        <w:trPr/>
        <w:tc>
          <w:tcPr>
            <w:tcW w:w="1220" w:type="dxa"/>
            <w:tcBorders/>
            <w:shd w:fill="FFFFFF" w:val="clear"/>
            <w:tcMar>
              <w:bottom w:w="0" w:type="dxa"/>
            </w:tcMar>
            <w:vAlign w:val="center"/>
          </w:tcPr>
          <w:p>
            <w:pPr>
              <w:pStyle w:val="TableContents"/>
              <w:bidi w:val="0"/>
              <w:spacing w:before="0" w:after="283"/>
              <w:jc w:val="left"/>
              <w:rPr/>
            </w:pPr>
            <w:r>
              <w:rPr/>
              <w:t>Gross Profit Margin</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055" w:type="dxa"/>
            <w:tcBorders/>
            <w:shd w:fill="FFFFFF" w:val="clear"/>
            <w:tcMar>
              <w:bottom w:w="0" w:type="dxa"/>
            </w:tcMar>
            <w:vAlign w:val="center"/>
          </w:tcPr>
          <w:p>
            <w:pPr>
              <w:pStyle w:val="TableContents"/>
              <w:bidi w:val="0"/>
              <w:spacing w:before="0" w:after="283"/>
              <w:jc w:val="right"/>
              <w:rPr/>
            </w:pPr>
            <w:r>
              <w:rPr/>
              <w:t>72</w:t>
            </w:r>
          </w:p>
        </w:tc>
        <w:tc>
          <w:tcPr>
            <w:tcW w:w="215" w:type="dxa"/>
            <w:tcBorders/>
            <w:shd w:fill="FFFFFF" w:val="clear"/>
            <w:tcMar>
              <w:bottom w:w="0" w:type="dxa"/>
            </w:tcMar>
            <w:vAlign w:val="center"/>
          </w:tcPr>
          <w:p>
            <w:pPr>
              <w:pStyle w:val="TableContents"/>
              <w:bidi w:val="0"/>
              <w:spacing w:before="0" w:after="283"/>
              <w:jc w:val="lef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055" w:type="dxa"/>
            <w:tcBorders/>
            <w:shd w:fill="FFFFFF" w:val="clear"/>
            <w:tcMar>
              <w:bottom w:w="0" w:type="dxa"/>
            </w:tcMar>
            <w:vAlign w:val="center"/>
          </w:tcPr>
          <w:p>
            <w:pPr>
              <w:pStyle w:val="TableContents"/>
              <w:bidi w:val="0"/>
              <w:spacing w:before="0" w:after="283"/>
              <w:jc w:val="right"/>
              <w:rPr/>
            </w:pPr>
            <w:r>
              <w:rPr/>
              <w:t>74</w:t>
            </w:r>
          </w:p>
        </w:tc>
        <w:tc>
          <w:tcPr>
            <w:tcW w:w="215" w:type="dxa"/>
            <w:tcBorders/>
            <w:shd w:fill="FFFFFF" w:val="clear"/>
            <w:tcMar>
              <w:bottom w:w="0" w:type="dxa"/>
            </w:tcMar>
            <w:vAlign w:val="center"/>
          </w:tcPr>
          <w:p>
            <w:pPr>
              <w:pStyle w:val="TableContents"/>
              <w:bidi w:val="0"/>
              <w:spacing w:before="0" w:after="283"/>
              <w:jc w:val="lef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75" w:type="dxa"/>
            <w:tcBorders/>
            <w:shd w:fill="FFFFFF" w:val="clear"/>
            <w:tcMar>
              <w:bottom w:w="0" w:type="dxa"/>
            </w:tcMar>
            <w:vAlign w:val="center"/>
          </w:tcPr>
          <w:p>
            <w:pPr>
              <w:pStyle w:val="TableContents"/>
              <w:bidi w:val="0"/>
              <w:spacing w:before="0" w:after="283"/>
              <w:jc w:val="left"/>
              <w:rPr/>
            </w:pPr>
            <w:r>
              <w:rPr/>
              <w:t> </w:t>
            </w:r>
          </w:p>
        </w:tc>
        <w:tc>
          <w:tcPr>
            <w:tcW w:w="575" w:type="dxa"/>
            <w:tcBorders/>
            <w:shd w:fill="FFFFFF" w:val="clear"/>
            <w:tcMar>
              <w:bottom w:w="0" w:type="dxa"/>
            </w:tcMar>
            <w:vAlign w:val="center"/>
          </w:tcPr>
          <w:p>
            <w:pPr>
              <w:pStyle w:val="TableContents"/>
              <w:bidi w:val="0"/>
              <w:spacing w:before="0" w:after="283"/>
              <w:jc w:val="right"/>
              <w:rPr/>
            </w:pPr>
            <w:r>
              <w:rPr/>
              <w:t> </w:t>
            </w:r>
          </w:p>
        </w:tc>
        <w:tc>
          <w:tcPr>
            <w:tcW w:w="21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875" w:type="dxa"/>
            <w:tcBorders/>
            <w:shd w:fill="FFFFFF" w:val="clear"/>
            <w:tcMar>
              <w:bottom w:w="0" w:type="dxa"/>
            </w:tcMar>
            <w:vAlign w:val="center"/>
          </w:tcPr>
          <w:p>
            <w:pPr>
              <w:pStyle w:val="TableContents"/>
              <w:bidi w:val="0"/>
              <w:spacing w:before="0" w:after="283"/>
              <w:jc w:val="right"/>
              <w:rPr/>
            </w:pPr>
            <w:r>
              <w:rPr/>
              <w:t>31</w:t>
            </w:r>
          </w:p>
        </w:tc>
        <w:tc>
          <w:tcPr>
            <w:tcW w:w="215" w:type="dxa"/>
            <w:tcBorders/>
            <w:shd w:fill="FFFFFF" w:val="clear"/>
            <w:tcMar>
              <w:bottom w:w="0" w:type="dxa"/>
            </w:tcMar>
            <w:vAlign w:val="center"/>
          </w:tcPr>
          <w:p>
            <w:pPr>
              <w:pStyle w:val="TableContents"/>
              <w:bidi w:val="0"/>
              <w:spacing w:before="0" w:after="283"/>
              <w:jc w:val="lef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875" w:type="dxa"/>
            <w:tcBorders/>
            <w:shd w:fill="FFFFFF" w:val="clear"/>
            <w:tcMar>
              <w:bottom w:w="0" w:type="dxa"/>
            </w:tcMar>
            <w:vAlign w:val="center"/>
          </w:tcPr>
          <w:p>
            <w:pPr>
              <w:pStyle w:val="TableContents"/>
              <w:bidi w:val="0"/>
              <w:spacing w:before="0" w:after="283"/>
              <w:jc w:val="right"/>
              <w:rPr/>
            </w:pPr>
            <w:r>
              <w:rPr/>
              <w:t>32</w:t>
            </w:r>
          </w:p>
        </w:tc>
        <w:tc>
          <w:tcPr>
            <w:tcW w:w="215" w:type="dxa"/>
            <w:tcBorders/>
            <w:shd w:fill="FFFFFF" w:val="clear"/>
            <w:tcMar>
              <w:bottom w:w="0" w:type="dxa"/>
            </w:tcMar>
            <w:vAlign w:val="center"/>
          </w:tcPr>
          <w:p>
            <w:pPr>
              <w:pStyle w:val="TableContents"/>
              <w:bidi w:val="0"/>
              <w:spacing w:before="0" w:after="283"/>
              <w:jc w:val="lef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1" w:type="dxa"/>
            <w:tcBorders/>
            <w:shd w:fill="FFFFFF" w:val="clear"/>
            <w:tcMar>
              <w:bottom w:w="0" w:type="dxa"/>
            </w:tcMar>
            <w:vAlign w:val="center"/>
          </w:tcPr>
          <w:p>
            <w:pPr>
              <w:pStyle w:val="TableContents"/>
              <w:bidi w:val="0"/>
              <w:spacing w:before="0" w:after="283"/>
              <w:jc w:val="left"/>
              <w:rPr/>
            </w:pPr>
            <w:r>
              <w:rPr/>
              <w:t> </w:t>
            </w:r>
          </w:p>
        </w:tc>
        <w:tc>
          <w:tcPr>
            <w:tcW w:w="529" w:type="dxa"/>
            <w:tcBorders/>
            <w:shd w:fill="FFFFFF" w:val="clear"/>
            <w:tcMar>
              <w:bottom w:w="0" w:type="dxa"/>
            </w:tcMar>
            <w:vAlign w:val="center"/>
          </w:tcPr>
          <w:p>
            <w:pPr>
              <w:pStyle w:val="TableContents"/>
              <w:bidi w:val="0"/>
              <w:spacing w:before="0" w:after="283"/>
              <w:jc w:val="right"/>
              <w:rPr/>
            </w:pPr>
            <w:r>
              <w:rPr/>
              <w:t> </w:t>
            </w:r>
          </w:p>
        </w:tc>
        <w:tc>
          <w:tcPr>
            <w:tcW w:w="21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055" w:type="dxa"/>
            <w:tcBorders/>
            <w:shd w:fill="FFFFFF" w:val="clear"/>
            <w:tcMar>
              <w:bottom w:w="0" w:type="dxa"/>
            </w:tcMar>
            <w:vAlign w:val="center"/>
          </w:tcPr>
          <w:p>
            <w:pPr>
              <w:pStyle w:val="TableContents"/>
              <w:bidi w:val="0"/>
              <w:spacing w:before="0" w:after="283"/>
              <w:jc w:val="right"/>
              <w:rPr/>
            </w:pPr>
            <w:r>
              <w:rPr/>
              <w:t>68</w:t>
            </w:r>
          </w:p>
        </w:tc>
        <w:tc>
          <w:tcPr>
            <w:tcW w:w="215" w:type="dxa"/>
            <w:tcBorders/>
            <w:shd w:fill="FFFFFF" w:val="clear"/>
            <w:tcMar>
              <w:bottom w:w="0" w:type="dxa"/>
            </w:tcMar>
            <w:vAlign w:val="center"/>
          </w:tcPr>
          <w:p>
            <w:pPr>
              <w:pStyle w:val="TableContents"/>
              <w:bidi w:val="0"/>
              <w:spacing w:before="0" w:after="283"/>
              <w:jc w:val="lef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055" w:type="dxa"/>
            <w:tcBorders/>
            <w:shd w:fill="FFFFFF" w:val="clear"/>
            <w:tcMar>
              <w:bottom w:w="0" w:type="dxa"/>
            </w:tcMar>
            <w:vAlign w:val="center"/>
          </w:tcPr>
          <w:p>
            <w:pPr>
              <w:pStyle w:val="TableContents"/>
              <w:bidi w:val="0"/>
              <w:spacing w:before="0" w:after="283"/>
              <w:jc w:val="right"/>
              <w:rPr/>
            </w:pPr>
            <w:r>
              <w:rPr/>
              <w:t>70</w:t>
            </w:r>
          </w:p>
        </w:tc>
        <w:tc>
          <w:tcPr>
            <w:tcW w:w="215" w:type="dxa"/>
            <w:tcBorders/>
            <w:shd w:fill="FFFFFF" w:val="clear"/>
            <w:tcMar>
              <w:bottom w:w="0" w:type="dxa"/>
            </w:tcMar>
            <w:vAlign w:val="center"/>
          </w:tcPr>
          <w:p>
            <w:pPr>
              <w:pStyle w:val="TableContents"/>
              <w:bidi w:val="0"/>
              <w:spacing w:before="0" w:after="283"/>
              <w:jc w:val="lef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75" w:type="dxa"/>
            <w:tcBorders/>
            <w:shd w:fill="FFFFFF" w:val="clear"/>
            <w:tcMar>
              <w:bottom w:w="0" w:type="dxa"/>
            </w:tcMar>
            <w:vAlign w:val="center"/>
          </w:tcPr>
          <w:p>
            <w:pPr>
              <w:pStyle w:val="TableContents"/>
              <w:bidi w:val="0"/>
              <w:spacing w:before="0" w:after="283"/>
              <w:jc w:val="left"/>
              <w:rPr/>
            </w:pPr>
            <w:r>
              <w:rPr/>
              <w:t> </w:t>
            </w:r>
          </w:p>
        </w:tc>
        <w:tc>
          <w:tcPr>
            <w:tcW w:w="575" w:type="dxa"/>
            <w:tcBorders/>
            <w:shd w:fill="FFFFFF" w:val="clear"/>
            <w:tcMar>
              <w:bottom w:w="0" w:type="dxa"/>
            </w:tcMar>
            <w:vAlign w:val="center"/>
          </w:tcPr>
          <w:p>
            <w:pPr>
              <w:pStyle w:val="TableContents"/>
              <w:bidi w:val="0"/>
              <w:spacing w:before="0" w:after="283"/>
              <w:jc w:val="right"/>
              <w:rPr/>
            </w:pPr>
            <w:r>
              <w:rPr/>
              <w:t> </w:t>
            </w:r>
          </w:p>
        </w:tc>
        <w:tc>
          <w:tcPr>
            <w:tcW w:w="75" w:type="dxa"/>
            <w:tcBorders/>
            <w:shd w:fill="FFFFFF" w:val="clear"/>
            <w:tcMar>
              <w:bottom w:w="0" w:type="dxa"/>
            </w:tcMar>
            <w:vAlign w:val="center"/>
          </w:tcPr>
          <w:p>
            <w:pPr>
              <w:pStyle w:val="TableContents"/>
              <w:bidi w:val="0"/>
              <w:spacing w:before="0" w:after="283"/>
              <w:ind w:left="0" w:right="0" w:hanging="180"/>
              <w:jc w:val="left"/>
              <w:rPr/>
            </w:pPr>
            <w:r>
              <w:rPr/>
              <w:t> </w:t>
            </w:r>
          </w:p>
        </w:tc>
      </w:tr>
      <w:tr>
        <w:trPr/>
        <w:tc>
          <w:tcPr>
            <w:tcW w:w="1220" w:type="dxa"/>
            <w:tcBorders/>
            <w:shd w:fill="CCEEFF" w:val="clear"/>
            <w:tcMar>
              <w:bottom w:w="0" w:type="dxa"/>
            </w:tcMar>
            <w:vAlign w:val="center"/>
          </w:tcPr>
          <w:p>
            <w:pPr>
              <w:pStyle w:val="TableContents"/>
              <w:bidi w:val="0"/>
              <w:spacing w:before="0" w:after="283"/>
              <w:jc w:val="left"/>
              <w:rPr/>
            </w:pPr>
            <w:r>
              <w:rPr/>
              <w:t>Operating Profit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055" w:type="dxa"/>
            <w:tcBorders/>
            <w:shd w:fill="CCEEFF" w:val="clear"/>
            <w:tcMar>
              <w:bottom w:w="0" w:type="dxa"/>
            </w:tcMar>
            <w:vAlign w:val="center"/>
          </w:tcPr>
          <w:p>
            <w:pPr>
              <w:pStyle w:val="TableContents"/>
              <w:bidi w:val="0"/>
              <w:spacing w:before="0" w:after="283"/>
              <w:jc w:val="right"/>
              <w:rPr/>
            </w:pPr>
            <w:r>
              <w:rPr/>
              <w:t>1,369,879</w:t>
            </w:r>
          </w:p>
        </w:tc>
        <w:tc>
          <w:tcPr>
            <w:tcW w:w="21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055" w:type="dxa"/>
            <w:tcBorders/>
            <w:shd w:fill="CCEEFF" w:val="clear"/>
            <w:tcMar>
              <w:bottom w:w="0" w:type="dxa"/>
            </w:tcMar>
            <w:vAlign w:val="center"/>
          </w:tcPr>
          <w:p>
            <w:pPr>
              <w:pStyle w:val="TableContents"/>
              <w:bidi w:val="0"/>
              <w:spacing w:before="0" w:after="283"/>
              <w:jc w:val="right"/>
              <w:rPr/>
            </w:pPr>
            <w:r>
              <w:rPr/>
              <w:t>1,272,980</w:t>
            </w:r>
          </w:p>
        </w:tc>
        <w:tc>
          <w:tcPr>
            <w:tcW w:w="21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75" w:type="dxa"/>
            <w:tcBorders/>
            <w:shd w:fill="CCEEFF" w:val="clear"/>
            <w:tcMar>
              <w:bottom w:w="0" w:type="dxa"/>
            </w:tcMar>
            <w:vAlign w:val="center"/>
          </w:tcPr>
          <w:p>
            <w:pPr>
              <w:pStyle w:val="TableContents"/>
              <w:bidi w:val="0"/>
              <w:spacing w:before="0" w:after="283"/>
              <w:jc w:val="left"/>
              <w:rPr/>
            </w:pPr>
            <w:r>
              <w:rPr/>
              <w:t> </w:t>
            </w:r>
          </w:p>
        </w:tc>
        <w:tc>
          <w:tcPr>
            <w:tcW w:w="575" w:type="dxa"/>
            <w:tcBorders/>
            <w:shd w:fill="CCEEFF" w:val="clear"/>
            <w:tcMar>
              <w:bottom w:w="0" w:type="dxa"/>
            </w:tcMar>
            <w:vAlign w:val="center"/>
          </w:tcPr>
          <w:p>
            <w:pPr>
              <w:pStyle w:val="TableContents"/>
              <w:bidi w:val="0"/>
              <w:spacing w:before="0" w:after="283"/>
              <w:jc w:val="right"/>
              <w:rPr/>
            </w:pPr>
            <w:r>
              <w:rPr/>
              <w:t>8</w:t>
            </w:r>
          </w:p>
        </w:tc>
        <w:tc>
          <w:tcPr>
            <w:tcW w:w="215" w:type="dxa"/>
            <w:tcBorders/>
            <w:shd w:fill="CCEEFF" w:val="clear"/>
            <w:tcMar>
              <w:bottom w:w="0" w:type="dxa"/>
            </w:tcMar>
            <w:vAlign w:val="center"/>
          </w:tcPr>
          <w:p>
            <w:pPr>
              <w:pStyle w:val="TableContents"/>
              <w:bidi w:val="0"/>
              <w:spacing w:before="0" w:after="283"/>
              <w:jc w:val="lef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875" w:type="dxa"/>
            <w:tcBorders/>
            <w:shd w:fill="CCEEFF" w:val="clear"/>
            <w:tcMar>
              <w:bottom w:w="0" w:type="dxa"/>
            </w:tcMar>
            <w:vAlign w:val="center"/>
          </w:tcPr>
          <w:p>
            <w:pPr>
              <w:pStyle w:val="TableContents"/>
              <w:bidi w:val="0"/>
              <w:spacing w:before="0" w:after="283"/>
              <w:jc w:val="right"/>
              <w:rPr/>
            </w:pPr>
            <w:r>
              <w:rPr/>
              <w:t>44,833</w:t>
            </w:r>
          </w:p>
        </w:tc>
        <w:tc>
          <w:tcPr>
            <w:tcW w:w="21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875" w:type="dxa"/>
            <w:tcBorders/>
            <w:shd w:fill="CCEEFF" w:val="clear"/>
            <w:tcMar>
              <w:bottom w:w="0" w:type="dxa"/>
            </w:tcMar>
            <w:vAlign w:val="center"/>
          </w:tcPr>
          <w:p>
            <w:pPr>
              <w:pStyle w:val="TableContents"/>
              <w:bidi w:val="0"/>
              <w:spacing w:before="0" w:after="283"/>
              <w:jc w:val="right"/>
              <w:rPr/>
            </w:pPr>
            <w:r>
              <w:rPr/>
              <w:t>39,353</w:t>
            </w:r>
          </w:p>
        </w:tc>
        <w:tc>
          <w:tcPr>
            <w:tcW w:w="21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1" w:type="dxa"/>
            <w:tcBorders/>
            <w:shd w:fill="CCEEFF" w:val="clear"/>
            <w:tcMar>
              <w:bottom w:w="0" w:type="dxa"/>
            </w:tcMar>
            <w:vAlign w:val="center"/>
          </w:tcPr>
          <w:p>
            <w:pPr>
              <w:pStyle w:val="TableContents"/>
              <w:bidi w:val="0"/>
              <w:spacing w:before="0" w:after="283"/>
              <w:jc w:val="left"/>
              <w:rPr/>
            </w:pPr>
            <w:r>
              <w:rPr/>
              <w:t> </w:t>
            </w:r>
          </w:p>
        </w:tc>
        <w:tc>
          <w:tcPr>
            <w:tcW w:w="529" w:type="dxa"/>
            <w:tcBorders/>
            <w:shd w:fill="CCEEFF" w:val="clear"/>
            <w:tcMar>
              <w:bottom w:w="0" w:type="dxa"/>
            </w:tcMar>
            <w:vAlign w:val="center"/>
          </w:tcPr>
          <w:p>
            <w:pPr>
              <w:pStyle w:val="TableContents"/>
              <w:bidi w:val="0"/>
              <w:spacing w:before="0" w:after="283"/>
              <w:jc w:val="right"/>
              <w:rPr/>
            </w:pPr>
            <w:r>
              <w:rPr/>
              <w:t>14</w:t>
            </w:r>
          </w:p>
        </w:tc>
        <w:tc>
          <w:tcPr>
            <w:tcW w:w="215" w:type="dxa"/>
            <w:tcBorders/>
            <w:shd w:fill="CCEEFF" w:val="clear"/>
            <w:tcMar>
              <w:bottom w:w="0" w:type="dxa"/>
            </w:tcMar>
            <w:vAlign w:val="center"/>
          </w:tcPr>
          <w:p>
            <w:pPr>
              <w:pStyle w:val="TableContents"/>
              <w:bidi w:val="0"/>
              <w:spacing w:before="0" w:after="283"/>
              <w:jc w:val="lef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055" w:type="dxa"/>
            <w:tcBorders/>
            <w:shd w:fill="CCEEFF" w:val="clear"/>
            <w:tcMar>
              <w:bottom w:w="0" w:type="dxa"/>
            </w:tcMar>
            <w:vAlign w:val="center"/>
          </w:tcPr>
          <w:p>
            <w:pPr>
              <w:pStyle w:val="TableContents"/>
              <w:bidi w:val="0"/>
              <w:spacing w:before="0" w:after="283"/>
              <w:jc w:val="right"/>
              <w:rPr/>
            </w:pPr>
            <w:r>
              <w:rPr/>
              <w:t>1,414,712</w:t>
            </w:r>
          </w:p>
        </w:tc>
        <w:tc>
          <w:tcPr>
            <w:tcW w:w="21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055" w:type="dxa"/>
            <w:tcBorders/>
            <w:shd w:fill="CCEEFF" w:val="clear"/>
            <w:tcMar>
              <w:bottom w:w="0" w:type="dxa"/>
            </w:tcMar>
            <w:vAlign w:val="center"/>
          </w:tcPr>
          <w:p>
            <w:pPr>
              <w:pStyle w:val="TableContents"/>
              <w:bidi w:val="0"/>
              <w:spacing w:before="0" w:after="283"/>
              <w:jc w:val="right"/>
              <w:rPr/>
            </w:pPr>
            <w:r>
              <w:rPr/>
              <w:t>1,312,333</w:t>
            </w:r>
          </w:p>
        </w:tc>
        <w:tc>
          <w:tcPr>
            <w:tcW w:w="21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75" w:type="dxa"/>
            <w:tcBorders/>
            <w:shd w:fill="CCEEFF" w:val="clear"/>
            <w:tcMar>
              <w:bottom w:w="0" w:type="dxa"/>
            </w:tcMar>
            <w:vAlign w:val="center"/>
          </w:tcPr>
          <w:p>
            <w:pPr>
              <w:pStyle w:val="TableContents"/>
              <w:bidi w:val="0"/>
              <w:spacing w:before="0" w:after="283"/>
              <w:jc w:val="left"/>
              <w:rPr/>
            </w:pPr>
            <w:r>
              <w:rPr/>
              <w:t> </w:t>
            </w:r>
          </w:p>
        </w:tc>
        <w:tc>
          <w:tcPr>
            <w:tcW w:w="575" w:type="dxa"/>
            <w:tcBorders/>
            <w:shd w:fill="CCEEFF" w:val="clear"/>
            <w:tcMar>
              <w:bottom w:w="0" w:type="dxa"/>
            </w:tcMar>
            <w:vAlign w:val="center"/>
          </w:tcPr>
          <w:p>
            <w:pPr>
              <w:pStyle w:val="TableContents"/>
              <w:bidi w:val="0"/>
              <w:spacing w:before="0" w:after="283"/>
              <w:jc w:val="right"/>
              <w:rPr/>
            </w:pPr>
            <w:r>
              <w:rPr/>
              <w:t>8</w:t>
            </w:r>
          </w:p>
        </w:tc>
        <w:tc>
          <w:tcPr>
            <w:tcW w:w="75" w:type="dxa"/>
            <w:tcBorders/>
            <w:shd w:fill="CCEEFF" w:val="clear"/>
            <w:tcMar>
              <w:bottom w:w="0" w:type="dxa"/>
            </w:tcMar>
            <w:vAlign w:val="center"/>
          </w:tcPr>
          <w:p>
            <w:pPr>
              <w:pStyle w:val="TableContents"/>
              <w:bidi w:val="0"/>
              <w:spacing w:before="0" w:after="283"/>
              <w:ind w:left="0" w:right="0" w:hanging="180"/>
              <w:jc w:val="left"/>
              <w:rPr/>
            </w:pPr>
            <w:r>
              <w:rPr/>
              <w:t>%</w:t>
            </w:r>
          </w:p>
        </w:tc>
      </w:tr>
      <w:tr>
        <w:trPr/>
        <w:tc>
          <w:tcPr>
            <w:tcW w:w="1220" w:type="dxa"/>
            <w:tcBorders/>
            <w:shd w:fill="FFFFFF" w:val="clear"/>
            <w:tcMar>
              <w:bottom w:w="0" w:type="dxa"/>
            </w:tcMar>
            <w:vAlign w:val="center"/>
          </w:tcPr>
          <w:p>
            <w:pPr>
              <w:pStyle w:val="TableContents"/>
              <w:bidi w:val="0"/>
              <w:spacing w:before="0" w:after="283"/>
              <w:jc w:val="left"/>
              <w:rPr/>
            </w:pPr>
            <w:r>
              <w:rPr/>
              <w:t>Operating Profit Margin</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055" w:type="dxa"/>
            <w:tcBorders/>
            <w:shd w:fill="FFFFFF" w:val="clear"/>
            <w:tcMar>
              <w:bottom w:w="0" w:type="dxa"/>
            </w:tcMar>
            <w:vAlign w:val="center"/>
          </w:tcPr>
          <w:p>
            <w:pPr>
              <w:pStyle w:val="TableContents"/>
              <w:bidi w:val="0"/>
              <w:spacing w:before="0" w:after="283"/>
              <w:jc w:val="right"/>
              <w:rPr/>
            </w:pPr>
            <w:r>
              <w:rPr/>
              <w:t>28</w:t>
            </w:r>
          </w:p>
        </w:tc>
        <w:tc>
          <w:tcPr>
            <w:tcW w:w="215" w:type="dxa"/>
            <w:tcBorders/>
            <w:shd w:fill="FFFFFF" w:val="clear"/>
            <w:tcMar>
              <w:bottom w:w="0" w:type="dxa"/>
            </w:tcMar>
            <w:vAlign w:val="center"/>
          </w:tcPr>
          <w:p>
            <w:pPr>
              <w:pStyle w:val="TableContents"/>
              <w:bidi w:val="0"/>
              <w:spacing w:before="0" w:after="283"/>
              <w:jc w:val="lef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055" w:type="dxa"/>
            <w:tcBorders/>
            <w:shd w:fill="FFFFFF" w:val="clear"/>
            <w:tcMar>
              <w:bottom w:w="0" w:type="dxa"/>
            </w:tcMar>
            <w:vAlign w:val="center"/>
          </w:tcPr>
          <w:p>
            <w:pPr>
              <w:pStyle w:val="TableContents"/>
              <w:bidi w:val="0"/>
              <w:spacing w:before="0" w:after="283"/>
              <w:jc w:val="right"/>
              <w:rPr/>
            </w:pPr>
            <w:r>
              <w:rPr/>
              <w:t>31</w:t>
            </w:r>
          </w:p>
        </w:tc>
        <w:tc>
          <w:tcPr>
            <w:tcW w:w="215" w:type="dxa"/>
            <w:tcBorders/>
            <w:shd w:fill="FFFFFF" w:val="clear"/>
            <w:tcMar>
              <w:bottom w:w="0" w:type="dxa"/>
            </w:tcMar>
            <w:vAlign w:val="center"/>
          </w:tcPr>
          <w:p>
            <w:pPr>
              <w:pStyle w:val="TableContents"/>
              <w:bidi w:val="0"/>
              <w:spacing w:before="0" w:after="283"/>
              <w:jc w:val="lef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75" w:type="dxa"/>
            <w:tcBorders/>
            <w:shd w:fill="FFFFFF" w:val="clear"/>
            <w:tcMar>
              <w:bottom w:w="0" w:type="dxa"/>
            </w:tcMar>
            <w:vAlign w:val="center"/>
          </w:tcPr>
          <w:p>
            <w:pPr>
              <w:pStyle w:val="TableContents"/>
              <w:bidi w:val="0"/>
              <w:spacing w:before="0" w:after="283"/>
              <w:jc w:val="left"/>
              <w:rPr/>
            </w:pPr>
            <w:r>
              <w:rPr/>
              <w:t> </w:t>
            </w:r>
          </w:p>
        </w:tc>
        <w:tc>
          <w:tcPr>
            <w:tcW w:w="575" w:type="dxa"/>
            <w:tcBorders/>
            <w:shd w:fill="FFFFFF" w:val="clear"/>
            <w:tcMar>
              <w:bottom w:w="0" w:type="dxa"/>
            </w:tcMar>
            <w:vAlign w:val="center"/>
          </w:tcPr>
          <w:p>
            <w:pPr>
              <w:pStyle w:val="TableContents"/>
              <w:bidi w:val="0"/>
              <w:spacing w:before="0" w:after="283"/>
              <w:jc w:val="right"/>
              <w:rPr/>
            </w:pPr>
            <w:r>
              <w:rPr/>
              <w:t> </w:t>
            </w:r>
          </w:p>
        </w:tc>
        <w:tc>
          <w:tcPr>
            <w:tcW w:w="21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875" w:type="dxa"/>
            <w:tcBorders/>
            <w:shd w:fill="FFFFFF" w:val="clear"/>
            <w:tcMar>
              <w:bottom w:w="0" w:type="dxa"/>
            </w:tcMar>
            <w:vAlign w:val="center"/>
          </w:tcPr>
          <w:p>
            <w:pPr>
              <w:pStyle w:val="TableContents"/>
              <w:bidi w:val="0"/>
              <w:spacing w:before="0" w:after="283"/>
              <w:jc w:val="right"/>
              <w:rPr/>
            </w:pPr>
            <w:r>
              <w:rPr/>
              <w:t>8</w:t>
            </w:r>
          </w:p>
        </w:tc>
        <w:tc>
          <w:tcPr>
            <w:tcW w:w="215" w:type="dxa"/>
            <w:tcBorders/>
            <w:shd w:fill="FFFFFF" w:val="clear"/>
            <w:tcMar>
              <w:bottom w:w="0" w:type="dxa"/>
            </w:tcMar>
            <w:vAlign w:val="center"/>
          </w:tcPr>
          <w:p>
            <w:pPr>
              <w:pStyle w:val="TableContents"/>
              <w:bidi w:val="0"/>
              <w:spacing w:before="0" w:after="283"/>
              <w:jc w:val="lef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875" w:type="dxa"/>
            <w:tcBorders/>
            <w:shd w:fill="FFFFFF" w:val="clear"/>
            <w:tcMar>
              <w:bottom w:w="0" w:type="dxa"/>
            </w:tcMar>
            <w:vAlign w:val="center"/>
          </w:tcPr>
          <w:p>
            <w:pPr>
              <w:pStyle w:val="TableContents"/>
              <w:bidi w:val="0"/>
              <w:spacing w:before="0" w:after="283"/>
              <w:jc w:val="right"/>
              <w:rPr/>
            </w:pPr>
            <w:r>
              <w:rPr/>
              <w:t>9</w:t>
            </w:r>
          </w:p>
        </w:tc>
        <w:tc>
          <w:tcPr>
            <w:tcW w:w="215" w:type="dxa"/>
            <w:tcBorders/>
            <w:shd w:fill="FFFFFF" w:val="clear"/>
            <w:tcMar>
              <w:bottom w:w="0" w:type="dxa"/>
            </w:tcMar>
            <w:vAlign w:val="center"/>
          </w:tcPr>
          <w:p>
            <w:pPr>
              <w:pStyle w:val="TableContents"/>
              <w:bidi w:val="0"/>
              <w:spacing w:before="0" w:after="283"/>
              <w:jc w:val="lef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1" w:type="dxa"/>
            <w:tcBorders/>
            <w:shd w:fill="FFFFFF" w:val="clear"/>
            <w:tcMar>
              <w:bottom w:w="0" w:type="dxa"/>
            </w:tcMar>
            <w:vAlign w:val="center"/>
          </w:tcPr>
          <w:p>
            <w:pPr>
              <w:pStyle w:val="TableContents"/>
              <w:bidi w:val="0"/>
              <w:spacing w:before="0" w:after="283"/>
              <w:jc w:val="left"/>
              <w:rPr/>
            </w:pPr>
            <w:r>
              <w:rPr/>
              <w:t> </w:t>
            </w:r>
          </w:p>
        </w:tc>
        <w:tc>
          <w:tcPr>
            <w:tcW w:w="529" w:type="dxa"/>
            <w:tcBorders/>
            <w:shd w:fill="FFFFFF" w:val="clear"/>
            <w:tcMar>
              <w:bottom w:w="0" w:type="dxa"/>
            </w:tcMar>
            <w:vAlign w:val="center"/>
          </w:tcPr>
          <w:p>
            <w:pPr>
              <w:pStyle w:val="TableContents"/>
              <w:bidi w:val="0"/>
              <w:spacing w:before="0" w:after="283"/>
              <w:jc w:val="right"/>
              <w:rPr/>
            </w:pPr>
            <w:r>
              <w:rPr/>
              <w:t> </w:t>
            </w:r>
          </w:p>
        </w:tc>
        <w:tc>
          <w:tcPr>
            <w:tcW w:w="21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055" w:type="dxa"/>
            <w:tcBorders/>
            <w:shd w:fill="FFFFFF" w:val="clear"/>
            <w:tcMar>
              <w:bottom w:w="0" w:type="dxa"/>
            </w:tcMar>
            <w:vAlign w:val="center"/>
          </w:tcPr>
          <w:p>
            <w:pPr>
              <w:pStyle w:val="TableContents"/>
              <w:bidi w:val="0"/>
              <w:spacing w:before="0" w:after="283"/>
              <w:jc w:val="right"/>
              <w:rPr/>
            </w:pPr>
            <w:r>
              <w:rPr/>
              <w:t>26</w:t>
            </w:r>
          </w:p>
        </w:tc>
        <w:tc>
          <w:tcPr>
            <w:tcW w:w="215" w:type="dxa"/>
            <w:tcBorders/>
            <w:shd w:fill="FFFFFF" w:val="clear"/>
            <w:tcMar>
              <w:bottom w:w="0" w:type="dxa"/>
            </w:tcMar>
            <w:vAlign w:val="center"/>
          </w:tcPr>
          <w:p>
            <w:pPr>
              <w:pStyle w:val="TableContents"/>
              <w:bidi w:val="0"/>
              <w:spacing w:before="0" w:after="283"/>
              <w:jc w:val="lef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055" w:type="dxa"/>
            <w:tcBorders/>
            <w:shd w:fill="FFFFFF" w:val="clear"/>
            <w:tcMar>
              <w:bottom w:w="0" w:type="dxa"/>
            </w:tcMar>
            <w:vAlign w:val="center"/>
          </w:tcPr>
          <w:p>
            <w:pPr>
              <w:pStyle w:val="TableContents"/>
              <w:bidi w:val="0"/>
              <w:spacing w:before="0" w:after="283"/>
              <w:jc w:val="right"/>
              <w:rPr/>
            </w:pPr>
            <w:r>
              <w:rPr/>
              <w:t>29</w:t>
            </w:r>
          </w:p>
        </w:tc>
        <w:tc>
          <w:tcPr>
            <w:tcW w:w="215" w:type="dxa"/>
            <w:tcBorders/>
            <w:shd w:fill="FFFFFF" w:val="clear"/>
            <w:tcMar>
              <w:bottom w:w="0" w:type="dxa"/>
            </w:tcMar>
            <w:vAlign w:val="center"/>
          </w:tcPr>
          <w:p>
            <w:pPr>
              <w:pStyle w:val="TableContents"/>
              <w:bidi w:val="0"/>
              <w:spacing w:before="0" w:after="283"/>
              <w:jc w:val="lef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75" w:type="dxa"/>
            <w:tcBorders/>
            <w:shd w:fill="FFFFFF" w:val="clear"/>
            <w:tcMar>
              <w:bottom w:w="0" w:type="dxa"/>
            </w:tcMar>
            <w:vAlign w:val="center"/>
          </w:tcPr>
          <w:p>
            <w:pPr>
              <w:pStyle w:val="TableContents"/>
              <w:bidi w:val="0"/>
              <w:spacing w:before="0" w:after="283"/>
              <w:jc w:val="left"/>
              <w:rPr/>
            </w:pPr>
            <w:r>
              <w:rPr/>
              <w:t> </w:t>
            </w:r>
          </w:p>
        </w:tc>
        <w:tc>
          <w:tcPr>
            <w:tcW w:w="575" w:type="dxa"/>
            <w:tcBorders/>
            <w:shd w:fill="FFFFFF" w:val="clear"/>
            <w:tcMar>
              <w:bottom w:w="0" w:type="dxa"/>
            </w:tcMar>
            <w:vAlign w:val="center"/>
          </w:tcPr>
          <w:p>
            <w:pPr>
              <w:pStyle w:val="TableContents"/>
              <w:bidi w:val="0"/>
              <w:spacing w:before="0" w:after="283"/>
              <w:jc w:val="right"/>
              <w:rPr/>
            </w:pPr>
            <w:r>
              <w:rPr/>
              <w:t> </w:t>
            </w:r>
          </w:p>
        </w:tc>
        <w:tc>
          <w:tcPr>
            <w:tcW w:w="75" w:type="dxa"/>
            <w:tcBorders/>
            <w:shd w:fill="FFFFFF" w:val="clear"/>
            <w:tcMar>
              <w:bottom w:w="0" w:type="dxa"/>
            </w:tcMar>
            <w:vAlign w:val="center"/>
          </w:tcPr>
          <w:p>
            <w:pPr>
              <w:pStyle w:val="TableContents"/>
              <w:bidi w:val="0"/>
              <w:spacing w:before="0" w:after="283"/>
              <w:ind w:left="0" w:right="0" w:hanging="180"/>
              <w:jc w:val="left"/>
              <w:rPr/>
            </w:pPr>
            <w:r>
              <w:rPr/>
              <w:t> </w:t>
            </w:r>
          </w:p>
        </w:tc>
      </w:tr>
      <w:tr>
        <w:trPr/>
        <w:tc>
          <w:tcPr>
            <w:tcW w:w="1220" w:type="dxa"/>
            <w:tcBorders/>
            <w:shd w:fill="CCEEFF" w:val="clear"/>
            <w:tcMar>
              <w:bottom w:w="0" w:type="dxa"/>
            </w:tcMar>
            <w:vAlign w:val="center"/>
          </w:tcPr>
          <w:p>
            <w:pPr>
              <w:pStyle w:val="TableContents"/>
              <w:bidi w:val="0"/>
              <w:spacing w:before="0" w:after="283"/>
              <w:jc w:val="left"/>
              <w:rPr>
                <w:b/>
              </w:rPr>
            </w:pPr>
            <w:r>
              <w:rPr>
                <w:b/>
              </w:rPr>
              <w:t>Adjusted EBITDA (a non-IFRS measure)</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055" w:type="dxa"/>
            <w:tcBorders/>
            <w:shd w:fill="CCEEFF" w:val="clear"/>
            <w:tcMar>
              <w:bottom w:w="0" w:type="dxa"/>
            </w:tcMar>
            <w:vAlign w:val="center"/>
          </w:tcPr>
          <w:p>
            <w:pPr>
              <w:pStyle w:val="TableContents"/>
              <w:bidi w:val="0"/>
              <w:spacing w:before="0" w:after="283"/>
              <w:jc w:val="right"/>
              <w:rPr/>
            </w:pPr>
            <w:r>
              <w:rPr/>
              <w:t>2,237,938</w:t>
            </w:r>
          </w:p>
        </w:tc>
        <w:tc>
          <w:tcPr>
            <w:tcW w:w="21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055" w:type="dxa"/>
            <w:tcBorders/>
            <w:shd w:fill="CCEEFF" w:val="clear"/>
            <w:tcMar>
              <w:bottom w:w="0" w:type="dxa"/>
            </w:tcMar>
            <w:vAlign w:val="center"/>
          </w:tcPr>
          <w:p>
            <w:pPr>
              <w:pStyle w:val="TableContents"/>
              <w:bidi w:val="0"/>
              <w:spacing w:before="0" w:after="283"/>
              <w:jc w:val="right"/>
              <w:rPr/>
            </w:pPr>
            <w:r>
              <w:rPr/>
              <w:t>1,930,688</w:t>
            </w:r>
          </w:p>
        </w:tc>
        <w:tc>
          <w:tcPr>
            <w:tcW w:w="21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75" w:type="dxa"/>
            <w:tcBorders/>
            <w:shd w:fill="CCEEFF" w:val="clear"/>
            <w:tcMar>
              <w:bottom w:w="0" w:type="dxa"/>
            </w:tcMar>
            <w:vAlign w:val="center"/>
          </w:tcPr>
          <w:p>
            <w:pPr>
              <w:pStyle w:val="TableContents"/>
              <w:bidi w:val="0"/>
              <w:spacing w:before="0" w:after="283"/>
              <w:jc w:val="left"/>
              <w:rPr/>
            </w:pPr>
            <w:r>
              <w:rPr/>
              <w:t> </w:t>
            </w:r>
          </w:p>
        </w:tc>
        <w:tc>
          <w:tcPr>
            <w:tcW w:w="575" w:type="dxa"/>
            <w:tcBorders/>
            <w:shd w:fill="CCEEFF" w:val="clear"/>
            <w:tcMar>
              <w:bottom w:w="0" w:type="dxa"/>
            </w:tcMar>
            <w:vAlign w:val="center"/>
          </w:tcPr>
          <w:p>
            <w:pPr>
              <w:pStyle w:val="TableContents"/>
              <w:bidi w:val="0"/>
              <w:spacing w:before="0" w:after="283"/>
              <w:jc w:val="right"/>
              <w:rPr/>
            </w:pPr>
            <w:r>
              <w:rPr/>
              <w:t>16</w:t>
            </w:r>
          </w:p>
        </w:tc>
        <w:tc>
          <w:tcPr>
            <w:tcW w:w="215" w:type="dxa"/>
            <w:tcBorders/>
            <w:shd w:fill="CCEEFF" w:val="clear"/>
            <w:tcMar>
              <w:bottom w:w="0" w:type="dxa"/>
            </w:tcMar>
            <w:vAlign w:val="center"/>
          </w:tcPr>
          <w:p>
            <w:pPr>
              <w:pStyle w:val="TableContents"/>
              <w:bidi w:val="0"/>
              <w:spacing w:before="0" w:after="283"/>
              <w:jc w:val="lef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875" w:type="dxa"/>
            <w:tcBorders/>
            <w:shd w:fill="CCEEFF" w:val="clear"/>
            <w:tcMar>
              <w:bottom w:w="0" w:type="dxa"/>
            </w:tcMar>
            <w:vAlign w:val="center"/>
          </w:tcPr>
          <w:p>
            <w:pPr>
              <w:pStyle w:val="TableContents"/>
              <w:bidi w:val="0"/>
              <w:spacing w:before="0" w:after="283"/>
              <w:jc w:val="right"/>
              <w:rPr/>
            </w:pPr>
            <w:r>
              <w:rPr/>
              <w:t>47,474</w:t>
            </w:r>
          </w:p>
        </w:tc>
        <w:tc>
          <w:tcPr>
            <w:tcW w:w="21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875" w:type="dxa"/>
            <w:tcBorders/>
            <w:shd w:fill="CCEEFF" w:val="clear"/>
            <w:tcMar>
              <w:bottom w:w="0" w:type="dxa"/>
            </w:tcMar>
            <w:vAlign w:val="center"/>
          </w:tcPr>
          <w:p>
            <w:pPr>
              <w:pStyle w:val="TableContents"/>
              <w:bidi w:val="0"/>
              <w:spacing w:before="0" w:after="283"/>
              <w:jc w:val="right"/>
              <w:rPr/>
            </w:pPr>
            <w:r>
              <w:rPr/>
              <w:t>42,772</w:t>
            </w:r>
          </w:p>
        </w:tc>
        <w:tc>
          <w:tcPr>
            <w:tcW w:w="21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1" w:type="dxa"/>
            <w:tcBorders/>
            <w:shd w:fill="CCEEFF" w:val="clear"/>
            <w:tcMar>
              <w:bottom w:w="0" w:type="dxa"/>
            </w:tcMar>
            <w:vAlign w:val="center"/>
          </w:tcPr>
          <w:p>
            <w:pPr>
              <w:pStyle w:val="TableContents"/>
              <w:bidi w:val="0"/>
              <w:spacing w:before="0" w:after="283"/>
              <w:jc w:val="left"/>
              <w:rPr/>
            </w:pPr>
            <w:r>
              <w:rPr/>
              <w:t> </w:t>
            </w:r>
          </w:p>
        </w:tc>
        <w:tc>
          <w:tcPr>
            <w:tcW w:w="529" w:type="dxa"/>
            <w:tcBorders/>
            <w:shd w:fill="CCEEFF" w:val="clear"/>
            <w:tcMar>
              <w:bottom w:w="0" w:type="dxa"/>
            </w:tcMar>
            <w:vAlign w:val="center"/>
          </w:tcPr>
          <w:p>
            <w:pPr>
              <w:pStyle w:val="TableContents"/>
              <w:bidi w:val="0"/>
              <w:spacing w:before="0" w:after="283"/>
              <w:jc w:val="right"/>
              <w:rPr/>
            </w:pPr>
            <w:r>
              <w:rPr/>
              <w:t>11</w:t>
            </w:r>
          </w:p>
        </w:tc>
        <w:tc>
          <w:tcPr>
            <w:tcW w:w="215" w:type="dxa"/>
            <w:tcBorders/>
            <w:shd w:fill="CCEEFF" w:val="clear"/>
            <w:tcMar>
              <w:bottom w:w="0" w:type="dxa"/>
            </w:tcMar>
            <w:vAlign w:val="center"/>
          </w:tcPr>
          <w:p>
            <w:pPr>
              <w:pStyle w:val="TableContents"/>
              <w:bidi w:val="0"/>
              <w:spacing w:before="0" w:after="283"/>
              <w:jc w:val="lef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055" w:type="dxa"/>
            <w:tcBorders/>
            <w:shd w:fill="CCEEFF" w:val="clear"/>
            <w:tcMar>
              <w:bottom w:w="0" w:type="dxa"/>
            </w:tcMar>
            <w:vAlign w:val="center"/>
          </w:tcPr>
          <w:p>
            <w:pPr>
              <w:pStyle w:val="TableContents"/>
              <w:bidi w:val="0"/>
              <w:spacing w:before="0" w:after="283"/>
              <w:jc w:val="right"/>
              <w:rPr/>
            </w:pPr>
            <w:r>
              <w:rPr/>
              <w:t>2,285,412</w:t>
            </w:r>
          </w:p>
        </w:tc>
        <w:tc>
          <w:tcPr>
            <w:tcW w:w="21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055" w:type="dxa"/>
            <w:tcBorders/>
            <w:shd w:fill="CCEEFF" w:val="clear"/>
            <w:tcMar>
              <w:bottom w:w="0" w:type="dxa"/>
            </w:tcMar>
            <w:vAlign w:val="center"/>
          </w:tcPr>
          <w:p>
            <w:pPr>
              <w:pStyle w:val="TableContents"/>
              <w:bidi w:val="0"/>
              <w:spacing w:before="0" w:after="283"/>
              <w:jc w:val="right"/>
              <w:rPr/>
            </w:pPr>
            <w:r>
              <w:rPr/>
              <w:t>1,973,460</w:t>
            </w:r>
          </w:p>
        </w:tc>
        <w:tc>
          <w:tcPr>
            <w:tcW w:w="21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75" w:type="dxa"/>
            <w:tcBorders/>
            <w:shd w:fill="CCEEFF" w:val="clear"/>
            <w:tcMar>
              <w:bottom w:w="0" w:type="dxa"/>
            </w:tcMar>
            <w:vAlign w:val="center"/>
          </w:tcPr>
          <w:p>
            <w:pPr>
              <w:pStyle w:val="TableContents"/>
              <w:bidi w:val="0"/>
              <w:spacing w:before="0" w:after="283"/>
              <w:jc w:val="left"/>
              <w:rPr/>
            </w:pPr>
            <w:r>
              <w:rPr/>
              <w:t> </w:t>
            </w:r>
          </w:p>
        </w:tc>
        <w:tc>
          <w:tcPr>
            <w:tcW w:w="575" w:type="dxa"/>
            <w:tcBorders/>
            <w:shd w:fill="CCEEFF" w:val="clear"/>
            <w:tcMar>
              <w:bottom w:w="0" w:type="dxa"/>
            </w:tcMar>
            <w:vAlign w:val="center"/>
          </w:tcPr>
          <w:p>
            <w:pPr>
              <w:pStyle w:val="TableContents"/>
              <w:bidi w:val="0"/>
              <w:spacing w:before="0" w:after="283"/>
              <w:jc w:val="right"/>
              <w:rPr/>
            </w:pPr>
            <w:r>
              <w:rPr/>
              <w:t>16</w:t>
            </w:r>
          </w:p>
        </w:tc>
        <w:tc>
          <w:tcPr>
            <w:tcW w:w="75" w:type="dxa"/>
            <w:tcBorders/>
            <w:shd w:fill="CCEEFF" w:val="clear"/>
            <w:tcMar>
              <w:bottom w:w="0" w:type="dxa"/>
            </w:tcMar>
            <w:vAlign w:val="center"/>
          </w:tcPr>
          <w:p>
            <w:pPr>
              <w:pStyle w:val="TableContents"/>
              <w:bidi w:val="0"/>
              <w:spacing w:before="0" w:after="283"/>
              <w:ind w:left="0" w:right="0" w:hanging="180"/>
              <w:jc w:val="left"/>
              <w:rPr/>
            </w:pPr>
            <w:r>
              <w:rPr/>
              <w:t>%</w:t>
            </w:r>
          </w:p>
        </w:tc>
      </w:tr>
      <w:tr>
        <w:trPr/>
        <w:tc>
          <w:tcPr>
            <w:tcW w:w="1220" w:type="dxa"/>
            <w:tcBorders/>
            <w:shd w:fill="FFFFFF" w:val="clear"/>
            <w:tcMar>
              <w:bottom w:w="0" w:type="dxa"/>
            </w:tcMar>
            <w:vAlign w:val="center"/>
          </w:tcPr>
          <w:p>
            <w:pPr>
              <w:pStyle w:val="TableContents"/>
              <w:bidi w:val="0"/>
              <w:spacing w:before="0" w:after="283"/>
              <w:jc w:val="left"/>
              <w:rPr>
                <w:b/>
              </w:rPr>
            </w:pPr>
            <w:r>
              <w:rPr>
                <w:b/>
              </w:rPr>
              <w:t>Adjusted EBITDA Margin (a non-IFRS measure)</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055" w:type="dxa"/>
            <w:tcBorders/>
            <w:shd w:fill="FFFFFF" w:val="clear"/>
            <w:tcMar>
              <w:bottom w:w="0" w:type="dxa"/>
            </w:tcMar>
            <w:vAlign w:val="center"/>
          </w:tcPr>
          <w:p>
            <w:pPr>
              <w:pStyle w:val="TableContents"/>
              <w:bidi w:val="0"/>
              <w:spacing w:before="0" w:after="283"/>
              <w:jc w:val="right"/>
              <w:rPr/>
            </w:pPr>
            <w:r>
              <w:rPr/>
              <w:t>45</w:t>
            </w:r>
          </w:p>
        </w:tc>
        <w:tc>
          <w:tcPr>
            <w:tcW w:w="215" w:type="dxa"/>
            <w:tcBorders/>
            <w:shd w:fill="FFFFFF" w:val="clear"/>
            <w:tcMar>
              <w:bottom w:w="0" w:type="dxa"/>
            </w:tcMar>
            <w:vAlign w:val="center"/>
          </w:tcPr>
          <w:p>
            <w:pPr>
              <w:pStyle w:val="TableContents"/>
              <w:bidi w:val="0"/>
              <w:spacing w:before="0" w:after="283"/>
              <w:jc w:val="lef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055" w:type="dxa"/>
            <w:tcBorders/>
            <w:shd w:fill="FFFFFF" w:val="clear"/>
            <w:tcMar>
              <w:bottom w:w="0" w:type="dxa"/>
            </w:tcMar>
            <w:vAlign w:val="center"/>
          </w:tcPr>
          <w:p>
            <w:pPr>
              <w:pStyle w:val="TableContents"/>
              <w:bidi w:val="0"/>
              <w:spacing w:before="0" w:after="283"/>
              <w:jc w:val="right"/>
              <w:rPr/>
            </w:pPr>
            <w:r>
              <w:rPr/>
              <w:t>47</w:t>
            </w:r>
          </w:p>
        </w:tc>
        <w:tc>
          <w:tcPr>
            <w:tcW w:w="215" w:type="dxa"/>
            <w:tcBorders/>
            <w:shd w:fill="FFFFFF" w:val="clear"/>
            <w:tcMar>
              <w:bottom w:w="0" w:type="dxa"/>
            </w:tcMar>
            <w:vAlign w:val="center"/>
          </w:tcPr>
          <w:p>
            <w:pPr>
              <w:pStyle w:val="TableContents"/>
              <w:bidi w:val="0"/>
              <w:spacing w:before="0" w:after="283"/>
              <w:jc w:val="lef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75" w:type="dxa"/>
            <w:tcBorders/>
            <w:shd w:fill="FFFFFF" w:val="clear"/>
            <w:tcMar>
              <w:bottom w:w="0" w:type="dxa"/>
            </w:tcMar>
            <w:vAlign w:val="center"/>
          </w:tcPr>
          <w:p>
            <w:pPr>
              <w:pStyle w:val="TableContents"/>
              <w:bidi w:val="0"/>
              <w:spacing w:before="0" w:after="283"/>
              <w:jc w:val="left"/>
              <w:rPr/>
            </w:pPr>
            <w:r>
              <w:rPr/>
              <w:t> </w:t>
            </w:r>
          </w:p>
        </w:tc>
        <w:tc>
          <w:tcPr>
            <w:tcW w:w="575" w:type="dxa"/>
            <w:tcBorders/>
            <w:shd w:fill="FFFFFF" w:val="clear"/>
            <w:tcMar>
              <w:bottom w:w="0" w:type="dxa"/>
            </w:tcMar>
            <w:vAlign w:val="center"/>
          </w:tcPr>
          <w:p>
            <w:pPr>
              <w:pStyle w:val="TableContents"/>
              <w:bidi w:val="0"/>
              <w:spacing w:before="0" w:after="283"/>
              <w:jc w:val="right"/>
              <w:rPr/>
            </w:pPr>
            <w:r>
              <w:rPr/>
              <w:t> </w:t>
            </w:r>
          </w:p>
        </w:tc>
        <w:tc>
          <w:tcPr>
            <w:tcW w:w="21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875" w:type="dxa"/>
            <w:tcBorders/>
            <w:shd w:fill="FFFFFF" w:val="clear"/>
            <w:tcMar>
              <w:bottom w:w="0" w:type="dxa"/>
            </w:tcMar>
            <w:vAlign w:val="center"/>
          </w:tcPr>
          <w:p>
            <w:pPr>
              <w:pStyle w:val="TableContents"/>
              <w:bidi w:val="0"/>
              <w:spacing w:before="0" w:after="283"/>
              <w:jc w:val="right"/>
              <w:rPr/>
            </w:pPr>
            <w:r>
              <w:rPr/>
              <w:t>9</w:t>
            </w:r>
          </w:p>
        </w:tc>
        <w:tc>
          <w:tcPr>
            <w:tcW w:w="215" w:type="dxa"/>
            <w:tcBorders/>
            <w:shd w:fill="FFFFFF" w:val="clear"/>
            <w:tcMar>
              <w:bottom w:w="0" w:type="dxa"/>
            </w:tcMar>
            <w:vAlign w:val="center"/>
          </w:tcPr>
          <w:p>
            <w:pPr>
              <w:pStyle w:val="TableContents"/>
              <w:bidi w:val="0"/>
              <w:spacing w:before="0" w:after="283"/>
              <w:jc w:val="lef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875" w:type="dxa"/>
            <w:tcBorders/>
            <w:shd w:fill="FFFFFF" w:val="clear"/>
            <w:tcMar>
              <w:bottom w:w="0" w:type="dxa"/>
            </w:tcMar>
            <w:vAlign w:val="center"/>
          </w:tcPr>
          <w:p>
            <w:pPr>
              <w:pStyle w:val="TableContents"/>
              <w:bidi w:val="0"/>
              <w:spacing w:before="0" w:after="283"/>
              <w:jc w:val="right"/>
              <w:rPr/>
            </w:pPr>
            <w:r>
              <w:rPr/>
              <w:t>10</w:t>
            </w:r>
          </w:p>
        </w:tc>
        <w:tc>
          <w:tcPr>
            <w:tcW w:w="215" w:type="dxa"/>
            <w:tcBorders/>
            <w:shd w:fill="FFFFFF" w:val="clear"/>
            <w:tcMar>
              <w:bottom w:w="0" w:type="dxa"/>
            </w:tcMar>
            <w:vAlign w:val="center"/>
          </w:tcPr>
          <w:p>
            <w:pPr>
              <w:pStyle w:val="TableContents"/>
              <w:bidi w:val="0"/>
              <w:spacing w:before="0" w:after="283"/>
              <w:jc w:val="lef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1" w:type="dxa"/>
            <w:tcBorders/>
            <w:shd w:fill="FFFFFF" w:val="clear"/>
            <w:tcMar>
              <w:bottom w:w="0" w:type="dxa"/>
            </w:tcMar>
            <w:vAlign w:val="center"/>
          </w:tcPr>
          <w:p>
            <w:pPr>
              <w:pStyle w:val="TableContents"/>
              <w:bidi w:val="0"/>
              <w:spacing w:before="0" w:after="283"/>
              <w:jc w:val="left"/>
              <w:rPr/>
            </w:pPr>
            <w:r>
              <w:rPr/>
              <w:t> </w:t>
            </w:r>
          </w:p>
        </w:tc>
        <w:tc>
          <w:tcPr>
            <w:tcW w:w="529" w:type="dxa"/>
            <w:tcBorders/>
            <w:shd w:fill="FFFFFF" w:val="clear"/>
            <w:tcMar>
              <w:bottom w:w="0" w:type="dxa"/>
            </w:tcMar>
            <w:vAlign w:val="center"/>
          </w:tcPr>
          <w:p>
            <w:pPr>
              <w:pStyle w:val="TableContents"/>
              <w:bidi w:val="0"/>
              <w:spacing w:before="0" w:after="283"/>
              <w:jc w:val="right"/>
              <w:rPr/>
            </w:pPr>
            <w:r>
              <w:rPr/>
              <w:t> </w:t>
            </w:r>
          </w:p>
        </w:tc>
        <w:tc>
          <w:tcPr>
            <w:tcW w:w="21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055" w:type="dxa"/>
            <w:tcBorders/>
            <w:shd w:fill="FFFFFF" w:val="clear"/>
            <w:tcMar>
              <w:bottom w:w="0" w:type="dxa"/>
            </w:tcMar>
            <w:vAlign w:val="center"/>
          </w:tcPr>
          <w:p>
            <w:pPr>
              <w:pStyle w:val="TableContents"/>
              <w:bidi w:val="0"/>
              <w:spacing w:before="0" w:after="283"/>
              <w:jc w:val="right"/>
              <w:rPr/>
            </w:pPr>
            <w:r>
              <w:rPr/>
              <w:t>42</w:t>
            </w:r>
          </w:p>
        </w:tc>
        <w:tc>
          <w:tcPr>
            <w:tcW w:w="215" w:type="dxa"/>
            <w:tcBorders/>
            <w:shd w:fill="FFFFFF" w:val="clear"/>
            <w:tcMar>
              <w:bottom w:w="0" w:type="dxa"/>
            </w:tcMar>
            <w:vAlign w:val="center"/>
          </w:tcPr>
          <w:p>
            <w:pPr>
              <w:pStyle w:val="TableContents"/>
              <w:bidi w:val="0"/>
              <w:spacing w:before="0" w:after="283"/>
              <w:jc w:val="lef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055" w:type="dxa"/>
            <w:tcBorders/>
            <w:shd w:fill="FFFFFF" w:val="clear"/>
            <w:tcMar>
              <w:bottom w:w="0" w:type="dxa"/>
            </w:tcMar>
            <w:vAlign w:val="center"/>
          </w:tcPr>
          <w:p>
            <w:pPr>
              <w:pStyle w:val="TableContents"/>
              <w:bidi w:val="0"/>
              <w:spacing w:before="0" w:after="283"/>
              <w:jc w:val="right"/>
              <w:rPr/>
            </w:pPr>
            <w:r>
              <w:rPr/>
              <w:t>43</w:t>
            </w:r>
          </w:p>
        </w:tc>
        <w:tc>
          <w:tcPr>
            <w:tcW w:w="215" w:type="dxa"/>
            <w:tcBorders/>
            <w:shd w:fill="FFFFFF" w:val="clear"/>
            <w:tcMar>
              <w:bottom w:w="0" w:type="dxa"/>
            </w:tcMar>
            <w:vAlign w:val="center"/>
          </w:tcPr>
          <w:p>
            <w:pPr>
              <w:pStyle w:val="TableContents"/>
              <w:bidi w:val="0"/>
              <w:spacing w:before="0" w:after="283"/>
              <w:jc w:val="lef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75" w:type="dxa"/>
            <w:tcBorders/>
            <w:shd w:fill="FFFFFF" w:val="clear"/>
            <w:tcMar>
              <w:bottom w:w="0" w:type="dxa"/>
            </w:tcMar>
            <w:vAlign w:val="center"/>
          </w:tcPr>
          <w:p>
            <w:pPr>
              <w:pStyle w:val="TableContents"/>
              <w:bidi w:val="0"/>
              <w:spacing w:before="0" w:after="283"/>
              <w:jc w:val="left"/>
              <w:rPr/>
            </w:pPr>
            <w:r>
              <w:rPr/>
              <w:t> </w:t>
            </w:r>
          </w:p>
        </w:tc>
        <w:tc>
          <w:tcPr>
            <w:tcW w:w="575" w:type="dxa"/>
            <w:tcBorders/>
            <w:shd w:fill="FFFFFF" w:val="clear"/>
            <w:tcMar>
              <w:bottom w:w="0" w:type="dxa"/>
            </w:tcMar>
            <w:vAlign w:val="center"/>
          </w:tcPr>
          <w:p>
            <w:pPr>
              <w:pStyle w:val="TableContents"/>
              <w:bidi w:val="0"/>
              <w:spacing w:before="0" w:after="283"/>
              <w:jc w:val="right"/>
              <w:rPr/>
            </w:pPr>
            <w:r>
              <w:rPr/>
              <w:t> </w:t>
            </w:r>
          </w:p>
        </w:tc>
        <w:tc>
          <w:tcPr>
            <w:tcW w:w="75" w:type="dxa"/>
            <w:tcBorders/>
            <w:shd w:fill="FFFFFF" w:val="clear"/>
            <w:tcMar>
              <w:bottom w:w="0"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tbl>
      <w:tblPr>
        <w:tblW w:w="7885" w:type="dxa"/>
        <w:jc w:val="left"/>
        <w:tblInd w:w="0" w:type="dxa"/>
        <w:tblLayout w:type="fixed"/>
        <w:tblCellMar>
          <w:top w:w="0" w:type="dxa"/>
          <w:left w:w="0" w:type="dxa"/>
          <w:bottom w:w="0" w:type="dxa"/>
          <w:right w:w="0" w:type="dxa"/>
        </w:tblCellMar>
      </w:tblPr>
      <w:tblGrid>
        <w:gridCol w:w="185"/>
        <w:gridCol w:w="7700"/>
      </w:tblGrid>
      <w:tr>
        <w:trPr/>
        <w:tc>
          <w:tcPr>
            <w:tcW w:w="185" w:type="dxa"/>
            <w:tcBorders/>
            <w:vAlign w:val="center"/>
          </w:tcPr>
          <w:p>
            <w:pPr>
              <w:pStyle w:val="TableContents"/>
              <w:bidi w:val="0"/>
              <w:spacing w:before="0" w:after="283"/>
              <w:jc w:val="left"/>
              <w:rPr>
                <w:rFonts w:ascii="Times New Roman;Times;Serif" w:hAnsi="Times New Roman;Times;Serif"/>
                <w:i/>
                <w:sz w:val="20"/>
              </w:rPr>
            </w:pPr>
            <w:r>
              <w:rPr>
                <w:rFonts w:ascii="Times New Roman;Times;Serif" w:hAnsi="Times New Roman;Times;Serif"/>
                <w:i/>
                <w:sz w:val="20"/>
              </w:rPr>
              <w:t>1.</w:t>
            </w:r>
          </w:p>
        </w:tc>
        <w:tc>
          <w:tcPr>
            <w:tcW w:w="7700" w:type="dxa"/>
            <w:tcBorders/>
            <w:vAlign w:val="center"/>
          </w:tcPr>
          <w:p>
            <w:pPr>
              <w:pStyle w:val="TableContents"/>
              <w:bidi w:val="0"/>
              <w:spacing w:before="0" w:after="283"/>
              <w:jc w:val="both"/>
              <w:rPr>
                <w:rFonts w:ascii="Times New Roman;Times;Serif" w:hAnsi="Times New Roman;Times;Serif"/>
                <w:i/>
                <w:sz w:val="20"/>
              </w:rPr>
            </w:pPr>
            <w:r>
              <w:rPr>
                <w:rFonts w:ascii="Times New Roman;Times;Serif" w:hAnsi="Times New Roman;Times;Serif"/>
                <w:i/>
                <w:sz w:val="20"/>
              </w:rPr>
              <w:t>Other revenue is non-subscription-based revenue. Cartrack remains focused on bundled sales.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Total Revenue and Subscription Revenue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Karooooo’s total revenue increased 20% to ZAR5,479 million (FY 2025: ZAR4,567 million), and subscription revenue increased 19% to ZAR4,844 million in FY 2026 (FY 2025: ZAR4,068 million).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Cartrack’s total revenue increased 19% to ZAR4,939 million (FY 2025: ZAR4,147 million) driven primarily by the acquisition of new customers and selling Video and the Cartrack-Tag to existing customers. Subscription revenue increased 19% to a record of ZAR4,831 million in FY 2026 (FY 2025: ZAR4,055 million). Subscription revenue represented 98% of Cartrack’s total revenue (FY 2025: 98%).</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Karooooo Logistics’s total revenue increased 29% to ZAR540 million in FY 2026 (FY 2025: ZAR420 million) driven by the demand of e-commerce orders. Karooooo Logistics completed more than 8 million deliveries in FY 2026.</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Gross profit and Cost of Sales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Karooooo’s cost of sales increased 29% to ZAR1,755 million (FY 2025: ZAR1,364 million).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a result of Cartrack’s accelerated growth, the proportion of telematic devices on our platform in the depreciation cycle has increased, leading to higher cost of sales. Cartrack’s gross profit margin remained strong and contracted to 72% (FY 2025: 74%), and Cartrack’s subscription gross profit margin was 72% (FY 2025: 75%).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7</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Cartrack’s cost of sales increased 28% to ZAR1,382 million (FY 2025: ZAR1,079 million).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Karooooo Logistics’s cost of sales increased 31% to ZAR373 million (FY 2025: ZAR285 million). Karooooo Logistics’s gross profit margin was 31% (FY 2025: 32%), as we increased driver training and quality control to support growth.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 xml:space="preserve">Operating Expenses </w:t>
      </w:r>
    </w:p>
    <w:p>
      <w:pPr>
        <w:pStyle w:val="TextBody"/>
        <w:bidi w:val="0"/>
        <w:spacing w:before="0" w:after="0"/>
        <w:ind w:left="0" w:right="0" w:hanging="0"/>
        <w:jc w:val="both"/>
        <w:rPr>
          <w:caps w:val="false"/>
          <w:smallCaps w:val="false"/>
        </w:rPr>
      </w:pPr>
      <w:r>
        <w:rPr>
          <w:caps w:val="false"/>
          <w:smallCaps w:val="false"/>
        </w:rPr>
        <w:t> </w:t>
      </w:r>
    </w:p>
    <w:tbl>
      <w:tblPr>
        <w:tblW w:w="6565" w:type="dxa"/>
        <w:jc w:val="left"/>
        <w:tblInd w:w="0" w:type="dxa"/>
        <w:tblLayout w:type="fixed"/>
        <w:tblCellMar>
          <w:top w:w="0" w:type="dxa"/>
          <w:left w:w="0" w:type="dxa"/>
          <w:bottom w:w="0" w:type="dxa"/>
          <w:right w:w="0" w:type="dxa"/>
        </w:tblCellMar>
      </w:tblPr>
      <w:tblGrid>
        <w:gridCol w:w="3305"/>
        <w:gridCol w:w="60"/>
        <w:gridCol w:w="60"/>
        <w:gridCol w:w="980"/>
        <w:gridCol w:w="60"/>
        <w:gridCol w:w="60"/>
        <w:gridCol w:w="60"/>
        <w:gridCol w:w="980"/>
        <w:gridCol w:w="60"/>
        <w:gridCol w:w="60"/>
        <w:gridCol w:w="121"/>
        <w:gridCol w:w="529"/>
        <w:gridCol w:w="230"/>
      </w:tblGrid>
      <w:tr>
        <w:trPr/>
        <w:tc>
          <w:tcPr>
            <w:tcW w:w="3305"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2970" w:type="dxa"/>
            <w:gridSpan w:val="10"/>
            <w:tcBorders>
              <w:bottom w:val="single" w:sz="12" w:space="0" w:color="000000"/>
            </w:tcBorders>
            <w:tcMar>
              <w:bottom w:w="28" w:type="dxa"/>
            </w:tcMar>
            <w:vAlign w:val="center"/>
          </w:tcPr>
          <w:p>
            <w:pPr>
              <w:pStyle w:val="TableContents"/>
              <w:bidi w:val="0"/>
              <w:spacing w:before="0" w:after="283"/>
              <w:jc w:val="center"/>
              <w:rPr>
                <w:b/>
              </w:rPr>
            </w:pPr>
            <w:r>
              <w:rPr>
                <w:b/>
              </w:rPr>
              <w:t xml:space="preserve">Year Ended </w:t>
              <w:br/>
              <w:t>February 28,</w:t>
            </w:r>
          </w:p>
        </w:tc>
        <w:tc>
          <w:tcPr>
            <w:tcW w:w="230" w:type="dxa"/>
            <w:tcBorders/>
            <w:vAlign w:val="center"/>
          </w:tcPr>
          <w:p>
            <w:pPr>
              <w:pStyle w:val="TableContents"/>
              <w:bidi w:val="0"/>
              <w:spacing w:before="0" w:after="283"/>
              <w:jc w:val="left"/>
              <w:rPr/>
            </w:pPr>
            <w:r>
              <w:rPr/>
              <w:t> </w:t>
            </w:r>
          </w:p>
        </w:tc>
      </w:tr>
      <w:tr>
        <w:trPr/>
        <w:tc>
          <w:tcPr>
            <w:tcW w:w="3305" w:type="dxa"/>
            <w:tcBorders>
              <w:bottom w:val="single" w:sz="12" w:space="0" w:color="000000"/>
            </w:tcBorders>
            <w:tcMar>
              <w:bottom w:w="28" w:type="dxa"/>
            </w:tcMar>
            <w:vAlign w:val="center"/>
          </w:tcPr>
          <w:p>
            <w:pPr>
              <w:pStyle w:val="TableContents"/>
              <w:bidi w:val="0"/>
              <w:spacing w:before="0" w:after="283"/>
              <w:jc w:val="left"/>
              <w:rPr>
                <w:b/>
              </w:rPr>
            </w:pPr>
            <w:r>
              <w:rPr>
                <w:b/>
              </w:rPr>
              <w:t>Figures in Rand Thousands</w:t>
            </w:r>
          </w:p>
        </w:tc>
        <w:tc>
          <w:tcPr>
            <w:tcW w:w="60" w:type="dxa"/>
            <w:tcBorders/>
            <w:vAlign w:val="center"/>
          </w:tcPr>
          <w:p>
            <w:pPr>
              <w:pStyle w:val="TableContents"/>
              <w:bidi w:val="0"/>
              <w:spacing w:before="0" w:after="283"/>
              <w:jc w:val="left"/>
              <w:rPr/>
            </w:pPr>
            <w:r>
              <w:rPr/>
              <w:t> </w:t>
            </w:r>
          </w:p>
        </w:tc>
        <w:tc>
          <w:tcPr>
            <w:tcW w:w="104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2026</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4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2025</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5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Y-o-Y</w:t>
              <w:br/>
              <w:t>%</w:t>
            </w:r>
          </w:p>
        </w:tc>
        <w:tc>
          <w:tcPr>
            <w:tcW w:w="230" w:type="dxa"/>
            <w:tcBorders/>
            <w:vAlign w:val="center"/>
          </w:tcPr>
          <w:p>
            <w:pPr>
              <w:pStyle w:val="TableContents"/>
              <w:bidi w:val="0"/>
              <w:spacing w:before="0" w:after="283"/>
              <w:jc w:val="left"/>
              <w:rPr/>
            </w:pPr>
            <w:r>
              <w:rPr/>
              <w:t> </w:t>
            </w:r>
          </w:p>
        </w:tc>
      </w:tr>
      <w:tr>
        <w:trPr/>
        <w:tc>
          <w:tcPr>
            <w:tcW w:w="3305" w:type="dxa"/>
            <w:tcBorders/>
            <w:shd w:fill="CCEEFF" w:val="clear"/>
            <w:vAlign w:val="center"/>
          </w:tcPr>
          <w:p>
            <w:pPr>
              <w:pStyle w:val="TableContents"/>
              <w:bidi w:val="0"/>
              <w:spacing w:before="0" w:after="283"/>
              <w:jc w:val="left"/>
              <w:rPr>
                <w:b/>
              </w:rPr>
            </w:pPr>
            <w:r>
              <w:rPr>
                <w:b/>
              </w:rPr>
              <w:t>Karooooo’s Operating Expenses</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single" w:sz="12" w:space="0" w:color="000000"/>
            </w:tcBorders>
            <w:shd w:fill="CCEEFF" w:val="clear"/>
            <w:tcMar>
              <w:bottom w:w="28" w:type="dxa"/>
            </w:tcMar>
            <w:vAlign w:val="center"/>
          </w:tcPr>
          <w:p>
            <w:pPr>
              <w:pStyle w:val="TableContents"/>
              <w:bidi w:val="0"/>
              <w:spacing w:before="0" w:after="283"/>
              <w:jc w:val="right"/>
              <w:rPr/>
            </w:pPr>
            <w:r>
              <w:rPr/>
              <w:t>2,324,433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single" w:sz="12" w:space="0" w:color="000000"/>
            </w:tcBorders>
            <w:shd w:fill="CCEEFF" w:val="clear"/>
            <w:tcMar>
              <w:bottom w:w="28" w:type="dxa"/>
            </w:tcMar>
            <w:vAlign w:val="center"/>
          </w:tcPr>
          <w:p>
            <w:pPr>
              <w:pStyle w:val="TableContents"/>
              <w:bidi w:val="0"/>
              <w:spacing w:before="0" w:after="283"/>
              <w:jc w:val="right"/>
              <w:rPr/>
            </w:pPr>
            <w:r>
              <w:rPr/>
              <w:t>1,901,088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1"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529" w:type="dxa"/>
            <w:tcBorders>
              <w:bottom w:val="single" w:sz="12" w:space="0" w:color="000000"/>
            </w:tcBorders>
            <w:shd w:fill="CCEEFF" w:val="clear"/>
            <w:tcMar>
              <w:bottom w:w="28" w:type="dxa"/>
            </w:tcMar>
            <w:vAlign w:val="center"/>
          </w:tcPr>
          <w:p>
            <w:pPr>
              <w:pStyle w:val="TableContents"/>
              <w:bidi w:val="0"/>
              <w:spacing w:before="0" w:after="283"/>
              <w:jc w:val="right"/>
              <w:rPr/>
            </w:pPr>
            <w:r>
              <w:rPr/>
              <w:t>22</w:t>
            </w:r>
          </w:p>
        </w:tc>
        <w:tc>
          <w:tcPr>
            <w:tcW w:w="230" w:type="dxa"/>
            <w:tcBorders/>
            <w:shd w:fill="CCEEFF" w:val="clear"/>
            <w:vAlign w:val="center"/>
          </w:tcPr>
          <w:p>
            <w:pPr>
              <w:pStyle w:val="TableContents"/>
              <w:bidi w:val="0"/>
              <w:spacing w:before="0" w:after="283"/>
              <w:jc w:val="left"/>
              <w:rPr/>
            </w:pPr>
            <w:r>
              <w:rPr/>
              <w:t>%</w:t>
            </w:r>
          </w:p>
        </w:tc>
      </w:tr>
      <w:tr>
        <w:trPr/>
        <w:tc>
          <w:tcPr>
            <w:tcW w:w="3305" w:type="dxa"/>
            <w:tcBorders/>
            <w:shd w:fill="FFFFFF" w:val="clear"/>
            <w:vAlign w:val="center"/>
          </w:tcPr>
          <w:p>
            <w:pPr>
              <w:pStyle w:val="TableContents"/>
              <w:bidi w:val="0"/>
              <w:spacing w:before="0" w:after="283"/>
              <w:jc w:val="left"/>
              <w:rPr/>
            </w:pPr>
            <w:r>
              <w:rPr/>
              <w:t>- Cartrack</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2,202,333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1,805,815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1" w:type="dxa"/>
            <w:tcBorders/>
            <w:shd w:fill="FFFFFF" w:val="clear"/>
            <w:vAlign w:val="center"/>
          </w:tcPr>
          <w:p>
            <w:pPr>
              <w:pStyle w:val="TableContents"/>
              <w:bidi w:val="0"/>
              <w:spacing w:before="0" w:after="283"/>
              <w:jc w:val="left"/>
              <w:rPr/>
            </w:pPr>
            <w:r>
              <w:rPr/>
              <w:t> </w:t>
            </w:r>
          </w:p>
        </w:tc>
        <w:tc>
          <w:tcPr>
            <w:tcW w:w="529" w:type="dxa"/>
            <w:tcBorders/>
            <w:shd w:fill="FFFFFF" w:val="clear"/>
            <w:vAlign w:val="center"/>
          </w:tcPr>
          <w:p>
            <w:pPr>
              <w:pStyle w:val="TableContents"/>
              <w:bidi w:val="0"/>
              <w:spacing w:before="0" w:after="283"/>
              <w:jc w:val="right"/>
              <w:rPr/>
            </w:pPr>
            <w:r>
              <w:rPr/>
              <w:t>22</w:t>
            </w:r>
          </w:p>
        </w:tc>
        <w:tc>
          <w:tcPr>
            <w:tcW w:w="230" w:type="dxa"/>
            <w:tcBorders/>
            <w:shd w:fill="FFFFFF" w:val="clear"/>
            <w:vAlign w:val="center"/>
          </w:tcPr>
          <w:p>
            <w:pPr>
              <w:pStyle w:val="TableContents"/>
              <w:bidi w:val="0"/>
              <w:spacing w:before="0" w:after="283"/>
              <w:jc w:val="left"/>
              <w:rPr/>
            </w:pPr>
            <w:r>
              <w:rPr/>
              <w:t>%</w:t>
            </w:r>
          </w:p>
        </w:tc>
      </w:tr>
      <w:tr>
        <w:trPr/>
        <w:tc>
          <w:tcPr>
            <w:tcW w:w="3305" w:type="dxa"/>
            <w:tcBorders/>
            <w:shd w:fill="CCEEFF" w:val="clear"/>
            <w:vAlign w:val="center"/>
          </w:tcPr>
          <w:p>
            <w:pPr>
              <w:pStyle w:val="TableContents"/>
              <w:bidi w:val="0"/>
              <w:spacing w:before="0" w:after="283"/>
              <w:jc w:val="left"/>
              <w:rPr/>
            </w:pPr>
            <w:r>
              <w:rPr/>
              <w:t>- Karooooo Logistics</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single" w:sz="12" w:space="0" w:color="000000"/>
            </w:tcBorders>
            <w:shd w:fill="CCEEFF" w:val="clear"/>
            <w:tcMar>
              <w:bottom w:w="28" w:type="dxa"/>
            </w:tcMar>
            <w:vAlign w:val="center"/>
          </w:tcPr>
          <w:p>
            <w:pPr>
              <w:pStyle w:val="TableContents"/>
              <w:bidi w:val="0"/>
              <w:spacing w:before="0" w:after="283"/>
              <w:jc w:val="right"/>
              <w:rPr/>
            </w:pPr>
            <w:r>
              <w:rPr/>
              <w:t>122,100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single" w:sz="12" w:space="0" w:color="000000"/>
            </w:tcBorders>
            <w:shd w:fill="CCEEFF" w:val="clear"/>
            <w:tcMar>
              <w:bottom w:w="28" w:type="dxa"/>
            </w:tcMar>
            <w:vAlign w:val="center"/>
          </w:tcPr>
          <w:p>
            <w:pPr>
              <w:pStyle w:val="TableContents"/>
              <w:bidi w:val="0"/>
              <w:spacing w:before="0" w:after="283"/>
              <w:jc w:val="right"/>
              <w:rPr/>
            </w:pPr>
            <w:r>
              <w:rPr/>
              <w:t>95,273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1"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529" w:type="dxa"/>
            <w:tcBorders>
              <w:bottom w:val="single" w:sz="12" w:space="0" w:color="000000"/>
            </w:tcBorders>
            <w:shd w:fill="CCEEFF" w:val="clear"/>
            <w:tcMar>
              <w:bottom w:w="28" w:type="dxa"/>
            </w:tcMar>
            <w:vAlign w:val="center"/>
          </w:tcPr>
          <w:p>
            <w:pPr>
              <w:pStyle w:val="TableContents"/>
              <w:bidi w:val="0"/>
              <w:spacing w:before="0" w:after="283"/>
              <w:jc w:val="right"/>
              <w:rPr/>
            </w:pPr>
            <w:r>
              <w:rPr/>
              <w:t>28</w:t>
            </w:r>
          </w:p>
        </w:tc>
        <w:tc>
          <w:tcPr>
            <w:tcW w:w="230" w:type="dxa"/>
            <w:tcBorders/>
            <w:shd w:fill="CCEEFF" w:val="clear"/>
            <w:vAlign w:val="center"/>
          </w:tcPr>
          <w:p>
            <w:pPr>
              <w:pStyle w:val="TableContents"/>
              <w:bidi w:val="0"/>
              <w:spacing w:before="0" w:after="283"/>
              <w:jc w:val="left"/>
              <w:rPr/>
            </w:pPr>
            <w:r>
              <w:rPr/>
              <w:t>%</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planned, Karooooo’s operating expenses increased 22% to ZAR2,324 million in FY 2026 (FY 2025: ZAR1,901 million).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Cartrack accounted for ZAR2,202 million (FY 2025: ZAR1,806 million) in operating expenses, including investments in infrastructure and sales headcount to support territorial expansion and distribution capacity. Karooooo Logistics accounted for ZAR122 million (FY 2025: ZAR95 million) of total operating expenses as we continued disciplined, strategic investment to drive the scalable growth of Karooooo Logistics.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Cartrack’s sales and marketing expenses increased 37% to ZAR840 million in FY 2026 (FY 2025: ZAR613 million). We are encouraged by the early returns on our strategic investment in customer acquisition, which are delivering the intended outcomes and positioning us well for continued strong growth. As these benefits materialize, we remain focused on driving improvements in new sales headcount efficiency. Our unit economics remain strong as evidenced by our customer lifetime value (LTV) to customer acquisition costs (CAC) ratio, which continues to exceed 9 times and underpins our disciplined approach to accelerated growth.</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Cartrack’s general and administration expenses benefited from economies of scale and, as planned, increased 15% to ZAR992 million (FY 2025: ZAR863 million), reflecting disciplined cost management alongside continued investment in infrastructure to support future growth. We expect these costs to increase gradually over time as we continue to expand in our current geographies.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Cartrack’s R&amp;D expenses increased 14% to ZAR246 million (FY 2025: ZAR215 million) as we continue to invest in innovation to improve and expand the capabilities of our operational intelligence platform and internal management systems.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Cartrack provided for expected credit losses of ZAR125 million (FY 2025: ZAR115 million), with expected credit losses for the period at 2.6% of subscription revenue (FY 2025: 2.8%).</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 xml:space="preserve">Operating Profit, Earnings per share and adjusted Earnings per share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Karooooo’s operating profit increased 8% to ZAR1,415 million (FY 2025: ZAR1,312 million) and earnings per share increased 8% to ZAR32.17 (FY 2025: ZAR29.81) driven by growth-oriented investments and the strengthening of the ZAR. After adjusting Karooooo’s earnings per share to exclude the costs of a secondary public offering in June 2025, Adjusted EPS (a non-IFRS measure) increased 3% to ZAR32.55 (FY 2025: ZAR31.67). Importantly, in U.S. Dollar equivalent, Karooooo’s earnings per share increased by 26% to USD2.02, reflecting the appreciation of the ZAR in FY 2026. Consistent with our outlook for FY 2026, the moderate growth in earnings per share reflects the accelerated Cartrack subscription revenue growth in FY 2026. The timing mismatch between the upfront expensed sales and marketing costs to build future and accelerated subscription revenue negatively impacted FY 2026 earnings growth and margins.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8</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Cartrack’s operating profit increased by 8% to ZAR1,370 million (FY 2025: ZAR1,273 million), and Cartrack’s operating profit margin was 28% (FY 2025: 31%). Cartrack’s operating profit and operating profit margin incorporate the strategic investment in incremental sales capacity and acquisition-related expenses to support accelerated growth. Although these growth-oriented investments weigh on short term operating profitability, we believe that pursuing accelerated growth - when executed efficiently and supported by strong unit economics - is the appropriate strategy to drive long-term shareholder value.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Karooooo Logistics’s operating profit increased 14% to ZAR45 million (FY 2025: ZAR39 million), and Karooooo Logistics’s operating profit margin was 8% (FY 2025: 9%).</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 xml:space="preserve">Adjusted EBITDA and Adjusted EBITDA margin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Karooooo’s Adjusted EBITDA (a non-IFRS measure) increased 16% to ZAR2,285 million (FY 2025: ZAR1,973 million).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Cartrack’s Adjusted EBITDA (a non-IFRS measure) increased 16% to ZAR2,238 million (FY 2025: ZAR1,931 million).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Karooooo Logistics’s Adjusted EBITDA (a non-IFRS measure) increased 11% to ZAR47 million (FY 2025: ZAR43 million).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See “Reconciliation of Profit for the Period to Adjusted EBITDA (a non-IFRS measure)” for a reconciliation of Adjusted EBITDA to profit, its most directly comparable IFRS financial measure.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Outlook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operate in an expanding and largely underpenetrated market, fueled by robust and sustained customer demand. This demand is driven by a heightened focus on digitalization, the need to improve operational efficiency and reduce costs, and increasing attention to safety in physical operations. Our easy-to-use, operational intelligence platform empowers our customers to improve operational efficiencies, reduce risk and enhance the safety of their physical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FY 2026, we accelerated Cartrack subscription revenue growth by expanding our distribution footprint in existing markets, driving broader platform adoption and capitalizing on growing demand for our solutions.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FY 2027, we intend to accelerate subscription revenue growth once again while delivering strong EPS growth. While we are confident that our investment in sales capacity in FY 2026 will have a positive impact on subscriber growth in FY 2027, we plan to drive our growth by balancing subscriber growth with increased adoption of Video and Cartrack-Tag. We also believe increased sales efficiency, coupled with realizing other efficiencies in the business due to scale and leveraging AI, will support strong EPS growth.</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believe our ongoing investments in AI innovation, platform capabilities and customer experience position us to drive durable long-term growth. We remain confident that our track record of success, specifically our ability to generate healthy cash flows, is sustainable.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Actual results may differ materially from Karooooo’s outlook due to various factors, including those described under “Forward-Looking Statements” below and described under “Risk Factors” in our latest Annual Report on Form 20-F filed with the U.S. Securities and Exchange Commission.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With Cartrack’s revenue making up the majority of group revenue, the guidance below relates primarily to Cartrack and assumes current foreign exchange rates.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Despite providing a contracting gross profit margin outlook for FY 2027, assuming current exchange rates and the planned accelerated growth, the midpoint of our EPS outlook implies growth of 21% in FY 2027 compared to FY 2026 Adjusted EPS excluding secondary offering costs. We envisage a slow-down in hiring in FY 2027 while we drive sales force efficiency. Our guidance for FY 2027 is as follows:</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Cartrack’s subscription revenue between ZAR5,700 million and ZAR6,000 million, which implies subscription revenue growth between 18% and 24%; and</w:t>
            </w:r>
          </w:p>
        </w:tc>
      </w:tr>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 </w:t>
            </w:r>
          </w:p>
        </w:tc>
        <w:tc>
          <w:tcPr>
            <w:tcW w:w="996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w:t>
            </w:r>
          </w:p>
        </w:tc>
        <w:tc>
          <w:tcPr>
            <w:tcW w:w="9960" w:type="dxa"/>
            <w:tcBorders/>
            <w:vAlign w:val="center"/>
          </w:tcPr>
          <w:p>
            <w:pPr>
              <w:pStyle w:val="TableContents"/>
              <w:bidi w:val="0"/>
              <w:spacing w:before="0" w:after="283"/>
              <w:jc w:val="both"/>
              <w:rPr/>
            </w:pPr>
            <w:r>
              <w:rPr/>
              <w:t>Cartrack’s gross profit margin between 70% and 72%; and</w:t>
            </w:r>
          </w:p>
        </w:tc>
      </w:tr>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 </w:t>
            </w:r>
          </w:p>
        </w:tc>
        <w:tc>
          <w:tcPr>
            <w:tcW w:w="996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w:t>
            </w:r>
          </w:p>
        </w:tc>
        <w:tc>
          <w:tcPr>
            <w:tcW w:w="9960" w:type="dxa"/>
            <w:tcBorders/>
            <w:vAlign w:val="center"/>
          </w:tcPr>
          <w:p>
            <w:pPr>
              <w:pStyle w:val="TableContents"/>
              <w:bidi w:val="0"/>
              <w:spacing w:before="0" w:after="283"/>
              <w:jc w:val="both"/>
              <w:rPr/>
            </w:pPr>
            <w:r>
              <w:rPr/>
              <w:t>Cartrack’s operating profit margin between 27% and 30%; and</w:t>
            </w:r>
          </w:p>
        </w:tc>
      </w:tr>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 </w:t>
            </w:r>
          </w:p>
        </w:tc>
        <w:tc>
          <w:tcPr>
            <w:tcW w:w="996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w:t>
            </w:r>
          </w:p>
        </w:tc>
        <w:tc>
          <w:tcPr>
            <w:tcW w:w="9960" w:type="dxa"/>
            <w:tcBorders/>
            <w:vAlign w:val="center"/>
          </w:tcPr>
          <w:p>
            <w:pPr>
              <w:pStyle w:val="TableContents"/>
              <w:bidi w:val="0"/>
              <w:spacing w:before="0" w:after="283"/>
              <w:jc w:val="both"/>
              <w:rPr/>
            </w:pPr>
            <w:r>
              <w:rPr/>
              <w:t>Karooooo’s Earnings Per Share between ZAR38.50 and ZAR40.00, which implies EPS growth between 18% and 23% compared to FY 2026 Adjusted EPS, which excludes secondary offering costs.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9</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Balance Sheet, Liquidity and Cash Flow</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we re-invest our earnings for customer acquisition, as of February 28, 2026, our investment in in-vehicle IoT devices increased by ZAR604 million to ZAR1,946 million (February 28, 2025: ZAR1,342 million). IoT devices held for future use decreased by ZAR50 million to ZAR362 million (February 28, 2025: ZAR412 million).</w:t>
        <w:br/>
        <w:br/>
        <w:t>Other fixed assets increased by ZAR76 million, or 23%, to ZAR402 million (February 28, 2025: ZAR325 million), driven by motor vehicle additions, in line with expanded operational commitments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Trade and other receivables decreased by ZAR11 million, or 2% to ZAR586 million (February 28, 2025: ZAR597 million). Debtor collection days remain within our range of historical norms at a healthy 27 days (February 28, 2025: 32 days).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Cash and Cash Equivalents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After increased investment for customer acquisition, paying a dividend of USD38.6 million in August 2025, allocating ZAR19 million to the new South African central office in Rosebank and drawing down ZAR192 million for operational requirements, Karooooo reported a net cash and cash equivalents balance of ZAR746 million at February 28, 2026 (February 28, 2025: ZAR838 million).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Bank term loans increased ZAR134 million to ZAR449 million during the year, primarily as a result of a ZAR192 million loan taken for operational requirements.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 February 28, 2026, the group had overdraft facilities for growth initiatives and other general corporate purposes of ZAR600 million, equally apportioned between Capitec Bank and Standard Bank. Our liquidity position remains solid, underpinned by disciplined financial management and sustained operational cash generation.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line with the group’s cash management policy, overseen by our capital allocation committee, Karooooo’s excess cash reserves are held in US Dollars.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Free Cash Flow (a non-IFRS measure)</w:t>
      </w:r>
      <w:r>
        <w:rPr>
          <w:rFonts w:ascii="Times New Roman;Times;Serif" w:hAnsi="Times New Roman;Times;Serif"/>
          <w:b w:val="false"/>
          <w:i w:val="false"/>
          <w:caps w:val="false"/>
          <w:smallCaps w:val="false"/>
          <w:sz w:val="20"/>
        </w:rPr>
        <w:t> </w:t>
      </w:r>
      <w:r>
        <w:rPr>
          <w:rFonts w:ascii="Times New Roman;Times;Serif" w:hAnsi="Times New Roman;Times;Serif"/>
          <w:b w:val="false"/>
          <w:i/>
          <w:caps w:val="false"/>
          <w:smallCaps w:val="false"/>
          <w:sz w:val="20"/>
        </w:rPr>
        <w:t>and Adjusted Free Cash Flow (a non-IFRS measure)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Karooooo reported a healthy increase of 17% in cash generated from operations before working capital changes of ZAR2,408 million (February 28, 2025: ZAR2,060 million), driven by strong subscription revenue growth and earnings.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February 29, 2024 the Group had ZAR486 million in bank fixed deposits with maturity dates exceeding three months. Adjusted free cash flow (a non-IFRS measure) is presented below on the basis that these bank fixed deposits are classified as cash and cash equivalents.</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11"/>
        <w:gridCol w:w="60"/>
        <w:gridCol w:w="69"/>
        <w:gridCol w:w="1242"/>
        <w:gridCol w:w="95"/>
        <w:gridCol w:w="60"/>
        <w:gridCol w:w="69"/>
        <w:gridCol w:w="1242"/>
        <w:gridCol w:w="95"/>
        <w:gridCol w:w="60"/>
        <w:gridCol w:w="69"/>
        <w:gridCol w:w="1025"/>
        <w:gridCol w:w="108"/>
      </w:tblGrid>
      <w:tr>
        <w:trPr/>
        <w:tc>
          <w:tcPr>
            <w:tcW w:w="6011"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311"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As of</w:t>
              <w:br/>
              <w:t>February 28,</w:t>
              <w:br/>
              <w:t>2026</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11"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As of</w:t>
              <w:br/>
              <w:t>February 28,</w:t>
              <w:br/>
              <w:t>2025</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94" w:type="dxa"/>
            <w:gridSpan w:val="2"/>
            <w:tcBorders>
              <w:bottom w:val="single" w:sz="1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As of</w:t>
              <w:br/>
              <w:t>February 29,</w:t>
              <w:br/>
              <w:t>2024</w:t>
            </w:r>
          </w:p>
        </w:tc>
        <w:tc>
          <w:tcPr>
            <w:tcW w:w="108" w:type="dxa"/>
            <w:tcBorders/>
            <w:vAlign w:val="center"/>
          </w:tcPr>
          <w:p>
            <w:pPr>
              <w:pStyle w:val="TableContents"/>
              <w:bidi w:val="0"/>
              <w:spacing w:before="0" w:after="283"/>
              <w:jc w:val="left"/>
              <w:rPr/>
            </w:pPr>
            <w:r>
              <w:rPr/>
              <w:t> </w:t>
            </w:r>
          </w:p>
        </w:tc>
      </w:tr>
      <w:tr>
        <w:trPr/>
        <w:tc>
          <w:tcPr>
            <w:tcW w:w="6011"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311" w:type="dxa"/>
            <w:gridSpan w:val="2"/>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11" w:type="dxa"/>
            <w:gridSpan w:val="2"/>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94" w:type="dxa"/>
            <w:gridSpan w:val="2"/>
            <w:tcBorders/>
            <w:vAlign w:val="center"/>
          </w:tcPr>
          <w:p>
            <w:pPr>
              <w:pStyle w:val="TableContents"/>
              <w:bidi w:val="0"/>
              <w:spacing w:before="0" w:after="283"/>
              <w:jc w:val="left"/>
              <w:rPr/>
            </w:pPr>
            <w:r>
              <w:rPr/>
              <w:t> </w:t>
            </w:r>
          </w:p>
        </w:tc>
        <w:tc>
          <w:tcPr>
            <w:tcW w:w="108" w:type="dxa"/>
            <w:tcBorders/>
            <w:vAlign w:val="center"/>
          </w:tcPr>
          <w:p>
            <w:pPr>
              <w:pStyle w:val="TableContents"/>
              <w:bidi w:val="0"/>
              <w:spacing w:before="0" w:after="283"/>
              <w:ind w:left="0" w:right="0" w:hanging="180"/>
              <w:jc w:val="left"/>
              <w:rPr/>
            </w:pPr>
            <w:r>
              <w:rPr/>
              <w:t> </w:t>
            </w:r>
          </w:p>
        </w:tc>
      </w:tr>
      <w:tr>
        <w:trPr/>
        <w:tc>
          <w:tcPr>
            <w:tcW w:w="6011" w:type="dxa"/>
            <w:tcBorders/>
            <w:shd w:fill="CCEEFF" w:val="clear"/>
            <w:vAlign w:val="center"/>
          </w:tcPr>
          <w:p>
            <w:pPr>
              <w:pStyle w:val="TableContents"/>
              <w:bidi w:val="0"/>
              <w:spacing w:before="0" w:after="283"/>
              <w:jc w:val="both"/>
              <w:rPr/>
            </w:pPr>
            <w:r>
              <w:rPr/>
              <w:t>Net cash generated from operating activities</w:t>
            </w:r>
          </w:p>
        </w:tc>
        <w:tc>
          <w:tcPr>
            <w:tcW w:w="60" w:type="dxa"/>
            <w:tcBorders/>
            <w:shd w:fill="CCEEFF" w:val="clear"/>
            <w:vAlign w:val="center"/>
          </w:tcPr>
          <w:p>
            <w:pPr>
              <w:pStyle w:val="TableContents"/>
              <w:bidi w:val="0"/>
              <w:spacing w:before="0" w:after="283"/>
              <w:jc w:val="left"/>
              <w:rPr/>
            </w:pPr>
            <w:r>
              <w:rPr/>
              <w:t> </w:t>
            </w:r>
          </w:p>
        </w:tc>
        <w:tc>
          <w:tcPr>
            <w:tcW w:w="69" w:type="dxa"/>
            <w:tcBorders/>
            <w:shd w:fill="CCEEFF" w:val="clear"/>
            <w:vAlign w:val="center"/>
          </w:tcPr>
          <w:p>
            <w:pPr>
              <w:pStyle w:val="TableContents"/>
              <w:bidi w:val="0"/>
              <w:spacing w:before="0" w:after="283"/>
              <w:jc w:val="left"/>
              <w:rPr/>
            </w:pPr>
            <w:r>
              <w:rPr/>
              <w:t> </w:t>
            </w:r>
          </w:p>
        </w:tc>
        <w:tc>
          <w:tcPr>
            <w:tcW w:w="1242" w:type="dxa"/>
            <w:tcBorders/>
            <w:shd w:fill="CCEEFF" w:val="clear"/>
            <w:vAlign w:val="center"/>
          </w:tcPr>
          <w:p>
            <w:pPr>
              <w:pStyle w:val="TableContents"/>
              <w:bidi w:val="0"/>
              <w:spacing w:before="0" w:after="283"/>
              <w:jc w:val="right"/>
              <w:rPr/>
            </w:pPr>
            <w:r>
              <w:rPr/>
              <w:t>1,967,060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9" w:type="dxa"/>
            <w:tcBorders/>
            <w:shd w:fill="CCEEFF" w:val="clear"/>
            <w:vAlign w:val="center"/>
          </w:tcPr>
          <w:p>
            <w:pPr>
              <w:pStyle w:val="TableContents"/>
              <w:bidi w:val="0"/>
              <w:spacing w:before="0" w:after="283"/>
              <w:jc w:val="left"/>
              <w:rPr/>
            </w:pPr>
            <w:r>
              <w:rPr/>
              <w:t> </w:t>
            </w:r>
          </w:p>
        </w:tc>
        <w:tc>
          <w:tcPr>
            <w:tcW w:w="1242" w:type="dxa"/>
            <w:tcBorders/>
            <w:shd w:fill="CCEEFF" w:val="clear"/>
            <w:vAlign w:val="center"/>
          </w:tcPr>
          <w:p>
            <w:pPr>
              <w:pStyle w:val="TableContents"/>
              <w:bidi w:val="0"/>
              <w:spacing w:before="0" w:after="283"/>
              <w:jc w:val="right"/>
              <w:rPr/>
            </w:pPr>
            <w:r>
              <w:rPr/>
              <w:t>1,933,295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9" w:type="dxa"/>
            <w:tcBorders/>
            <w:shd w:fill="CCEEFF" w:val="clear"/>
            <w:vAlign w:val="center"/>
          </w:tcPr>
          <w:p>
            <w:pPr>
              <w:pStyle w:val="TableContents"/>
              <w:bidi w:val="0"/>
              <w:spacing w:before="0" w:after="283"/>
              <w:jc w:val="left"/>
              <w:rPr/>
            </w:pPr>
            <w:r>
              <w:rPr/>
              <w:t> </w:t>
            </w:r>
          </w:p>
        </w:tc>
        <w:tc>
          <w:tcPr>
            <w:tcW w:w="1025" w:type="dxa"/>
            <w:tcBorders/>
            <w:shd w:fill="CCEEFF" w:val="clear"/>
            <w:vAlign w:val="center"/>
          </w:tcPr>
          <w:p>
            <w:pPr>
              <w:pStyle w:val="TableContents"/>
              <w:bidi w:val="0"/>
              <w:spacing w:before="0" w:after="283"/>
              <w:jc w:val="right"/>
              <w:rPr/>
            </w:pPr>
            <w:r>
              <w:rPr/>
              <w:t>955,040</w:t>
            </w:r>
          </w:p>
        </w:tc>
        <w:tc>
          <w:tcPr>
            <w:tcW w:w="108" w:type="dxa"/>
            <w:tcBorders/>
            <w:shd w:fill="CCEEFF" w:val="clear"/>
            <w:vAlign w:val="center"/>
          </w:tcPr>
          <w:p>
            <w:pPr>
              <w:pStyle w:val="TableContents"/>
              <w:bidi w:val="0"/>
              <w:spacing w:before="0" w:after="283"/>
              <w:ind w:left="0" w:right="0" w:hanging="180"/>
              <w:jc w:val="left"/>
              <w:rPr/>
            </w:pPr>
            <w:r>
              <w:rPr/>
              <w:t> </w:t>
            </w:r>
          </w:p>
        </w:tc>
      </w:tr>
      <w:tr>
        <w:trPr/>
        <w:tc>
          <w:tcPr>
            <w:tcW w:w="6011" w:type="dxa"/>
            <w:tcBorders/>
            <w:shd w:fill="FFFFFF" w:val="clear"/>
            <w:vAlign w:val="center"/>
          </w:tcPr>
          <w:p>
            <w:pPr>
              <w:pStyle w:val="TableContents"/>
              <w:bidi w:val="0"/>
              <w:spacing w:before="0" w:after="283"/>
              <w:jc w:val="both"/>
              <w:rPr/>
            </w:pPr>
            <w:r>
              <w:rPr/>
              <w:t>Less: purchase of property, plant and equipment</w:t>
            </w:r>
          </w:p>
        </w:tc>
        <w:tc>
          <w:tcPr>
            <w:tcW w:w="60" w:type="dxa"/>
            <w:tcBorders/>
            <w:shd w:fill="FFFFFF" w:val="clear"/>
            <w:vAlign w:val="center"/>
          </w:tcPr>
          <w:p>
            <w:pPr>
              <w:pStyle w:val="TableContents"/>
              <w:bidi w:val="0"/>
              <w:spacing w:before="0" w:after="283"/>
              <w:jc w:val="left"/>
              <w:rPr/>
            </w:pPr>
            <w:r>
              <w:rPr/>
              <w:t> </w:t>
            </w:r>
          </w:p>
        </w:tc>
        <w:tc>
          <w:tcPr>
            <w:tcW w:w="69"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42" w:type="dxa"/>
            <w:tcBorders>
              <w:bottom w:val="single" w:sz="12" w:space="0" w:color="000000"/>
            </w:tcBorders>
            <w:shd w:fill="FFFFFF" w:val="clear"/>
            <w:tcMar>
              <w:bottom w:w="28" w:type="dxa"/>
            </w:tcMar>
            <w:vAlign w:val="center"/>
          </w:tcPr>
          <w:p>
            <w:pPr>
              <w:pStyle w:val="TableContents"/>
              <w:bidi w:val="0"/>
              <w:spacing w:before="0" w:after="283"/>
              <w:jc w:val="right"/>
              <w:rPr/>
            </w:pPr>
            <w:r>
              <w:rPr/>
              <w:t>(1,157,969</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9"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42" w:type="dxa"/>
            <w:tcBorders>
              <w:bottom w:val="single" w:sz="12" w:space="0" w:color="000000"/>
            </w:tcBorders>
            <w:shd w:fill="FFFFFF" w:val="clear"/>
            <w:tcMar>
              <w:bottom w:w="28" w:type="dxa"/>
            </w:tcMar>
            <w:vAlign w:val="center"/>
          </w:tcPr>
          <w:p>
            <w:pPr>
              <w:pStyle w:val="TableContents"/>
              <w:bidi w:val="0"/>
              <w:spacing w:before="0" w:after="283"/>
              <w:jc w:val="right"/>
              <w:rPr/>
            </w:pPr>
            <w:r>
              <w:rPr/>
              <w:t>(1,022,371</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9"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025" w:type="dxa"/>
            <w:tcBorders>
              <w:bottom w:val="single" w:sz="12" w:space="0" w:color="000000"/>
            </w:tcBorders>
            <w:shd w:fill="FFFFFF" w:val="clear"/>
            <w:tcMar>
              <w:bottom w:w="28" w:type="dxa"/>
            </w:tcMar>
            <w:vAlign w:val="center"/>
          </w:tcPr>
          <w:p>
            <w:pPr>
              <w:pStyle w:val="TableContents"/>
              <w:bidi w:val="0"/>
              <w:spacing w:before="0" w:after="283"/>
              <w:jc w:val="right"/>
              <w:rPr/>
            </w:pPr>
            <w:r>
              <w:rPr/>
              <w:t>(876,354</w:t>
            </w:r>
          </w:p>
        </w:tc>
        <w:tc>
          <w:tcPr>
            <w:tcW w:w="108" w:type="dxa"/>
            <w:tcBorders/>
            <w:shd w:fill="FFFFFF" w:val="clear"/>
            <w:vAlign w:val="center"/>
          </w:tcPr>
          <w:p>
            <w:pPr>
              <w:pStyle w:val="TableContents"/>
              <w:bidi w:val="0"/>
              <w:spacing w:before="0" w:after="283"/>
              <w:ind w:left="0" w:right="0" w:hanging="180"/>
              <w:jc w:val="left"/>
              <w:rPr/>
            </w:pPr>
            <w:r>
              <w:rPr/>
              <w:t>)</w:t>
            </w:r>
          </w:p>
        </w:tc>
      </w:tr>
      <w:tr>
        <w:trPr/>
        <w:tc>
          <w:tcPr>
            <w:tcW w:w="6011" w:type="dxa"/>
            <w:tcBorders/>
            <w:shd w:fill="CCEEFF" w:val="clear"/>
            <w:vAlign w:val="center"/>
          </w:tcPr>
          <w:p>
            <w:pPr>
              <w:pStyle w:val="TableContents"/>
              <w:bidi w:val="0"/>
              <w:spacing w:before="0" w:after="283"/>
              <w:jc w:val="both"/>
              <w:rPr/>
            </w:pPr>
            <w:r>
              <w:rPr/>
              <w:t>Free Cash Flow (a non-IFRS measure)</w:t>
            </w:r>
          </w:p>
        </w:tc>
        <w:tc>
          <w:tcPr>
            <w:tcW w:w="60" w:type="dxa"/>
            <w:tcBorders/>
            <w:shd w:fill="CCEEFF" w:val="clear"/>
            <w:vAlign w:val="center"/>
          </w:tcPr>
          <w:p>
            <w:pPr>
              <w:pStyle w:val="TableContents"/>
              <w:bidi w:val="0"/>
              <w:spacing w:before="0" w:after="283"/>
              <w:jc w:val="left"/>
              <w:rPr/>
            </w:pPr>
            <w:r>
              <w:rPr/>
              <w:t> </w:t>
            </w:r>
          </w:p>
        </w:tc>
        <w:tc>
          <w:tcPr>
            <w:tcW w:w="69" w:type="dxa"/>
            <w:tcBorders/>
            <w:shd w:fill="CCEEFF" w:val="clear"/>
            <w:vAlign w:val="center"/>
          </w:tcPr>
          <w:p>
            <w:pPr>
              <w:pStyle w:val="TableContents"/>
              <w:bidi w:val="0"/>
              <w:spacing w:before="0" w:after="283"/>
              <w:jc w:val="left"/>
              <w:rPr/>
            </w:pPr>
            <w:r>
              <w:rPr/>
              <w:t> </w:t>
            </w:r>
          </w:p>
        </w:tc>
        <w:tc>
          <w:tcPr>
            <w:tcW w:w="1242" w:type="dxa"/>
            <w:tcBorders/>
            <w:shd w:fill="CCEEFF" w:val="clear"/>
            <w:vAlign w:val="center"/>
          </w:tcPr>
          <w:p>
            <w:pPr>
              <w:pStyle w:val="TableContents"/>
              <w:bidi w:val="0"/>
              <w:spacing w:before="0" w:after="283"/>
              <w:jc w:val="right"/>
              <w:rPr/>
            </w:pPr>
            <w:r>
              <w:rPr/>
              <w:t>809,091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9" w:type="dxa"/>
            <w:tcBorders/>
            <w:shd w:fill="CCEEFF" w:val="clear"/>
            <w:vAlign w:val="center"/>
          </w:tcPr>
          <w:p>
            <w:pPr>
              <w:pStyle w:val="TableContents"/>
              <w:bidi w:val="0"/>
              <w:spacing w:before="0" w:after="283"/>
              <w:jc w:val="left"/>
              <w:rPr/>
            </w:pPr>
            <w:r>
              <w:rPr/>
              <w:t> </w:t>
            </w:r>
          </w:p>
        </w:tc>
        <w:tc>
          <w:tcPr>
            <w:tcW w:w="1242" w:type="dxa"/>
            <w:tcBorders/>
            <w:shd w:fill="CCEEFF" w:val="clear"/>
            <w:vAlign w:val="center"/>
          </w:tcPr>
          <w:p>
            <w:pPr>
              <w:pStyle w:val="TableContents"/>
              <w:bidi w:val="0"/>
              <w:spacing w:before="0" w:after="283"/>
              <w:jc w:val="right"/>
              <w:rPr/>
            </w:pPr>
            <w:r>
              <w:rPr/>
              <w:t>910,924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9" w:type="dxa"/>
            <w:tcBorders/>
            <w:shd w:fill="CCEEFF" w:val="clear"/>
            <w:vAlign w:val="center"/>
          </w:tcPr>
          <w:p>
            <w:pPr>
              <w:pStyle w:val="TableContents"/>
              <w:bidi w:val="0"/>
              <w:spacing w:before="0" w:after="283"/>
              <w:jc w:val="left"/>
              <w:rPr/>
            </w:pPr>
            <w:r>
              <w:rPr/>
              <w:t> </w:t>
            </w:r>
          </w:p>
        </w:tc>
        <w:tc>
          <w:tcPr>
            <w:tcW w:w="1025" w:type="dxa"/>
            <w:tcBorders/>
            <w:shd w:fill="CCEEFF" w:val="clear"/>
            <w:vAlign w:val="center"/>
          </w:tcPr>
          <w:p>
            <w:pPr>
              <w:pStyle w:val="TableContents"/>
              <w:bidi w:val="0"/>
              <w:spacing w:before="0" w:after="283"/>
              <w:jc w:val="right"/>
              <w:rPr/>
            </w:pPr>
            <w:r>
              <w:rPr/>
              <w:t>78,686</w:t>
            </w:r>
          </w:p>
        </w:tc>
        <w:tc>
          <w:tcPr>
            <w:tcW w:w="108" w:type="dxa"/>
            <w:tcBorders/>
            <w:shd w:fill="CCEEFF" w:val="clear"/>
            <w:vAlign w:val="center"/>
          </w:tcPr>
          <w:p>
            <w:pPr>
              <w:pStyle w:val="TableContents"/>
              <w:bidi w:val="0"/>
              <w:spacing w:before="0" w:after="283"/>
              <w:ind w:left="0" w:right="0" w:hanging="180"/>
              <w:jc w:val="left"/>
              <w:rPr/>
            </w:pPr>
            <w:r>
              <w:rPr/>
              <w:t> </w:t>
            </w:r>
          </w:p>
        </w:tc>
      </w:tr>
      <w:tr>
        <w:trPr/>
        <w:tc>
          <w:tcPr>
            <w:tcW w:w="6011" w:type="dxa"/>
            <w:tcBorders/>
            <w:shd w:fill="FFFFFF" w:val="clear"/>
            <w:vAlign w:val="center"/>
          </w:tcPr>
          <w:p>
            <w:pPr>
              <w:pStyle w:val="TableContents"/>
              <w:bidi w:val="0"/>
              <w:spacing w:before="0" w:after="283"/>
              <w:jc w:val="both"/>
              <w:rPr/>
            </w:pPr>
            <w:r>
              <w:rPr/>
              <w:t>Adjustment for Fixed deposits with maturity dates exceeding three months</w:t>
            </w:r>
          </w:p>
        </w:tc>
        <w:tc>
          <w:tcPr>
            <w:tcW w:w="60" w:type="dxa"/>
            <w:tcBorders/>
            <w:shd w:fill="FFFFFF" w:val="clear"/>
            <w:vAlign w:val="center"/>
          </w:tcPr>
          <w:p>
            <w:pPr>
              <w:pStyle w:val="TableContents"/>
              <w:bidi w:val="0"/>
              <w:spacing w:before="0" w:after="283"/>
              <w:jc w:val="left"/>
              <w:rPr/>
            </w:pPr>
            <w:r>
              <w:rPr/>
              <w:t> </w:t>
            </w:r>
          </w:p>
        </w:tc>
        <w:tc>
          <w:tcPr>
            <w:tcW w:w="69"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42"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9"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42" w:type="dxa"/>
            <w:tcBorders>
              <w:bottom w:val="single" w:sz="12" w:space="0" w:color="000000"/>
            </w:tcBorders>
            <w:shd w:fill="FFFFFF" w:val="clear"/>
            <w:tcMar>
              <w:bottom w:w="28" w:type="dxa"/>
            </w:tcMar>
            <w:vAlign w:val="center"/>
          </w:tcPr>
          <w:p>
            <w:pPr>
              <w:pStyle w:val="TableContents"/>
              <w:bidi w:val="0"/>
              <w:spacing w:before="0" w:after="283"/>
              <w:jc w:val="right"/>
              <w:rPr/>
            </w:pPr>
            <w:r>
              <w:rPr/>
              <w:t>(485,681</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9"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025" w:type="dxa"/>
            <w:tcBorders>
              <w:bottom w:val="single" w:sz="12" w:space="0" w:color="000000"/>
            </w:tcBorders>
            <w:shd w:fill="FFFFFF" w:val="clear"/>
            <w:tcMar>
              <w:bottom w:w="28" w:type="dxa"/>
            </w:tcMar>
            <w:vAlign w:val="center"/>
          </w:tcPr>
          <w:p>
            <w:pPr>
              <w:pStyle w:val="TableContents"/>
              <w:bidi w:val="0"/>
              <w:spacing w:before="0" w:after="283"/>
              <w:jc w:val="right"/>
              <w:rPr/>
            </w:pPr>
            <w:r>
              <w:rPr/>
              <w:t>485,681</w:t>
            </w:r>
          </w:p>
        </w:tc>
        <w:tc>
          <w:tcPr>
            <w:tcW w:w="108" w:type="dxa"/>
            <w:tcBorders/>
            <w:shd w:fill="FFFFFF" w:val="clear"/>
            <w:vAlign w:val="center"/>
          </w:tcPr>
          <w:p>
            <w:pPr>
              <w:pStyle w:val="TableContents"/>
              <w:bidi w:val="0"/>
              <w:spacing w:before="0" w:after="283"/>
              <w:ind w:left="0" w:right="0" w:hanging="180"/>
              <w:jc w:val="left"/>
              <w:rPr/>
            </w:pPr>
            <w:r>
              <w:rPr/>
              <w:t> </w:t>
            </w:r>
          </w:p>
        </w:tc>
      </w:tr>
      <w:tr>
        <w:trPr/>
        <w:tc>
          <w:tcPr>
            <w:tcW w:w="6011" w:type="dxa"/>
            <w:tcBorders/>
            <w:shd w:fill="CCEEFF" w:val="clear"/>
            <w:vAlign w:val="center"/>
          </w:tcPr>
          <w:p>
            <w:pPr>
              <w:pStyle w:val="TableContents"/>
              <w:bidi w:val="0"/>
              <w:spacing w:before="0" w:after="283"/>
              <w:jc w:val="both"/>
              <w:rPr/>
            </w:pPr>
            <w:r>
              <w:rPr/>
              <w:t>Adjusted Free Cash Flow (a non-IFRS measure)</w:t>
            </w:r>
          </w:p>
        </w:tc>
        <w:tc>
          <w:tcPr>
            <w:tcW w:w="60" w:type="dxa"/>
            <w:tcBorders/>
            <w:shd w:fill="CCEEFF" w:val="clear"/>
            <w:vAlign w:val="center"/>
          </w:tcPr>
          <w:p>
            <w:pPr>
              <w:pStyle w:val="TableContents"/>
              <w:bidi w:val="0"/>
              <w:spacing w:before="0" w:after="283"/>
              <w:jc w:val="left"/>
              <w:rPr/>
            </w:pPr>
            <w:r>
              <w:rPr/>
              <w:t> </w:t>
            </w:r>
          </w:p>
        </w:tc>
        <w:tc>
          <w:tcPr>
            <w:tcW w:w="69"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1242" w:type="dxa"/>
            <w:tcBorders>
              <w:bottom w:val="double" w:sz="10" w:space="0" w:color="000000"/>
            </w:tcBorders>
            <w:shd w:fill="CCEEFF" w:val="clear"/>
            <w:tcMar>
              <w:bottom w:w="28" w:type="dxa"/>
            </w:tcMar>
            <w:vAlign w:val="center"/>
          </w:tcPr>
          <w:p>
            <w:pPr>
              <w:pStyle w:val="TableContents"/>
              <w:bidi w:val="0"/>
              <w:spacing w:before="0" w:after="283"/>
              <w:jc w:val="right"/>
              <w:rPr/>
            </w:pPr>
            <w:r>
              <w:rPr/>
              <w:t>809,091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9"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1242" w:type="dxa"/>
            <w:tcBorders>
              <w:bottom w:val="double" w:sz="10" w:space="0" w:color="000000"/>
            </w:tcBorders>
            <w:shd w:fill="CCEEFF" w:val="clear"/>
            <w:tcMar>
              <w:bottom w:w="28" w:type="dxa"/>
            </w:tcMar>
            <w:vAlign w:val="center"/>
          </w:tcPr>
          <w:p>
            <w:pPr>
              <w:pStyle w:val="TableContents"/>
              <w:bidi w:val="0"/>
              <w:spacing w:before="0" w:after="283"/>
              <w:jc w:val="right"/>
              <w:rPr/>
            </w:pPr>
            <w:r>
              <w:rPr/>
              <w:t>425,243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9"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1025" w:type="dxa"/>
            <w:tcBorders>
              <w:bottom w:val="double" w:sz="10" w:space="0" w:color="000000"/>
            </w:tcBorders>
            <w:shd w:fill="CCEEFF" w:val="clear"/>
            <w:tcMar>
              <w:bottom w:w="28" w:type="dxa"/>
            </w:tcMar>
            <w:vAlign w:val="center"/>
          </w:tcPr>
          <w:p>
            <w:pPr>
              <w:pStyle w:val="TableContents"/>
              <w:bidi w:val="0"/>
              <w:spacing w:before="0" w:after="283"/>
              <w:jc w:val="right"/>
              <w:rPr/>
            </w:pPr>
            <w:r>
              <w:rPr/>
              <w:t>564,367</w:t>
            </w:r>
          </w:p>
        </w:tc>
        <w:tc>
          <w:tcPr>
            <w:tcW w:w="108"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10</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Cartrack accelerated customer acquisition, we made an increased investment of ZAR1,078 million (February 28, 2025: ZAR892 million) in both in-vehicle IoT devices and IoT devices for future use.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Free cash flow (a non-IFRS measure) for the year ended February 28, 2026, was ZAR809 million (February 28, 2025: ZAR911 million). The higher free cash flow for FY 2025 was primarily a result of the treatment of fixed deposits made in FY2024 with a long maturity date, as these fixed deposits were categorized as trade and other receivables in FY 2024.</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Adjusted free cash flow (a non-IFRS measure) for the year ended February 28, 2026, increased by 90% to ZAR809 million (February 28, 2025: ZAR425 million).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FY 2026, the debtors’ book improved by ZAR77 million largely driven by strong collections in the month of February 2026. Improved supplier terms and the timing of tax payments also contributed positively to adjusted free cash flow. Our uninstalled IoT devices levels were well managed in FY 2026, following a deliberate build-up in the prior year to support accelerated growth in FY 2026. Adjusted free cash flow also improved as payments related to the construction of the South African head office building decreased significantly following the completion of the building in the prior year.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adjusted free cash flow (a non-IFRS measure) generated is in line with Karooooo’s disciplined capital allocation strategy and supports the group’s growth objectives.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See “Reconciliation of Free Cash Flow (a non-IFRS measure) and Adjusted Free Cash Flow (a non-IFRS measure)” for a reconciliation of free cash flow and adjusted free cash flow to net cash generated from operating activities, their most directly comparable IFRS financial measure.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Share Capital and Reserves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 February 28, 2026, Karooooo had 30,893,300 ordinary shares issued and outstanding, and paid-up share capital of USD505,956,659 plus SGD1,000.</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negative common control reserve of ZAR2.7 billion on the balance sheet relates to a common control transaction on November 18, 2020, in which the loan of USD194 million from Isaias Jose Calisto was converted into Karooooo share capital. Consequently, Karooooo acquired control of Cartrack. On that date, 20,331,894 shares were issued to Isaias Jose Calisto and Karooooo registered ZAR2.7 billion in paid-up capital, resulting in the common control reserve.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ZAR3.6 billion capital reserve on the balance sheet relates to the buyout of 95,350,657 Cartrack shares at ZAR42.00 per share from minorities when Cartrack delisted from the JSE, totaling ZAR4.0 billion. This was offset by the ZAR0.4 billion previously reported in the non-controlling interest. The ZAR0.4 billion relates to the net asset value of 95,350,657 Cartrack minority shares acquired by Karooooo.</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ZAR27.3 million of capital reserve on the balance sheet relates to the cancellation of Karooooo’s treasury shares and ZAR11.4 million of capital reserve relates to the repurchase and cancellation of 279 ordinary shares of Karooooo Logistics, which represented 6.29% of Karooooo Logistics’s issued ordinary shares. A further ZAR18.6 million of capital reserves relates to the repurchase and cancellation of 316 ordinary shares of Karooooo Logistics, which represented 7.60% of Karooooo Logistics’s issued ordinary shares. Finally, ZAR5.2 million relates to the repurchase and cancellation of 150 ordinary shares of Cartrack New Zealand, which represented 15% of Cartrack New Zealand’s issued ordinary shares.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11</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Geographical Overview for Cartrack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 xml:space="preserve">South Africa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Cartrack subscribers in the region increased 16% to 2,005,888 as of February 28, 2026 (February 28, 2025: 1,736,542). In FY 2026 Cartrack’s subscription revenue growth accelerated to 20% reaching ZAR3,468 million, a significant achievement when compared to the growth rate of 15% in the prior year. Importantly, South Africa ended the year with ARR growth of 23%. The pace of growth reflects our deliberate strategy to cement our leadership position in South Africa through a balanced combination of subscriber additions and selling Video and Cartrack-Tag to our existing customers. We are encouraged by the strength of the teams we are building, which positions us well to continue to broaden our customer base and increase product adoption in the region.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committed to continue building our distribution capabilities to service the demand for our products from both new customers and existing customers, and we are confident that our investments in sales capacity this year will have a positive impact on Cartrack subscriber growth in FY 2027.</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optimistic about the market opportunity in South Africa and believe there is a long runway to drive strong subscriber growth as we continue to build our ability to expand.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believe that we are the largest and fastest growing enterprise mobility SaaS provider on the African continent.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 xml:space="preserve">Asia Pacific and Middle East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Cartrack subscribers in the region increased 23% to 335,907 as of February 28, 2026 (February 28, 2025: 273,946). FY 2026 subscription revenue growth was 17% (20% on a constant currency basis, a non-IFRS measure). The pace of subscription revenue growth in the region is impacted by the faster growth of certain countries that generate lower ARPU.</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the second largest contributor to group revenue, Southeast Asia continues to present the most compelling growth opportunity for the group in the medium to long term. We plan to continue with a strong, yet prudent drive to increase sales and marketing in Southeast Asia, and we anticipate our investments to have a positive impact on subscriber growth in the region.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Southeast Asia is a vast underpenetrated market for sophisticated fleet management and video-based solutions, and we are well-positioned to capitalize on the opportunity.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Europe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Cartrack subscribers in the region increased 14% to 228,384 as of February 28, 2026 (February 28, 2025: 200,774). FY 2026 subscription revenue growth was 22% (19% on a constant currency basis, a non-IFRS measure).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continue to expand our customer base and drive our distribution capabilities in the region.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partnered with leading OEMs to provide easy access to our platform, seamlessly integrating their connected vehicle data to our platform through application programming interfaces. We expect these partnerships to contribute to our results in the medium term. In addition, we are experiencing encouraging demand for our proprietary compliance technology in the region as customers seek to simplify compliance with evolving legislation and enforcement.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Africa (excluding South Africa)</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Cartrack’s subscribers in the region increased 1% to 92,043 as of February 28, 2026 (February 28, 2025: 90,974). FY 2026 subscription revenue growth was 14% (17% on a constant currency basis, a non-IFRS measure).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region remains a positive cash generator and is strategic to support our South African customers.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12</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Dividend Policy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Board recognizes the importance of investment in achieving growth at scale, and endeavors to avoid swings in its dividend profile.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However, the payment and timing of dividends in cash or other distributions (such as a return of capital to shareholders through share buy-backs, for example) are determined by the Board after considering factors that include: earnings and free cash flow; current and anticipated capital requirements; economic conditions; contractual, legal, tax and regulatory restrictions (including covenants contained in any financing agreements); the ability of group subsidiaries to distribute funds to Karooooo; and such other factors the Board may deem relevant.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Karooooo aims to reinvest retained earnings to the extent that it aligns with the group’s required return on incrementally reinvested capital, return on equity, and short- to medium-term growth strategy.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Subject to Karooooo’s constitution and in accordance with the Singapore Companies Act, the Board may, without the approval of shareholders, declare and pay interim dividends. Any final dividends must be approved by an ordinary resolution at a general meeting of shareholders.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Board may review and amend the dividend policy from time to time.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Dividend Declaration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Considering the consistent strong earnings, healthy balance sheet and free cash flow of the Company and in accordance with the dividend policy set out above, an interim dividend of USD1.50 per ordinary share , will be paid on July 20, 2026 to JSE shareholders on record as at the close of business on Friday, July 17, 2026 (South African time) and on July 27, 2026 to Nasdaq shareholders on record as at the close of business on July 17, 2026 (New York time). Although Karooooo’s reporting currency is ZAR, its statutory filings in Singapore are reported in USD, as a result of which dividends are declared in USD. The details with respect to the dividends declared for holders of our ordinary shares are as follows: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156"/>
        <w:gridCol w:w="60"/>
        <w:gridCol w:w="1985"/>
        <w:gridCol w:w="60"/>
        <w:gridCol w:w="1944"/>
      </w:tblGrid>
      <w:tr>
        <w:trPr/>
        <w:tc>
          <w:tcPr>
            <w:tcW w:w="6156" w:type="dxa"/>
            <w:tcBorders/>
            <w:vAlign w:val="center"/>
          </w:tcPr>
          <w:p>
            <w:pPr>
              <w:pStyle w:val="TableContents"/>
              <w:bidi w:val="0"/>
              <w:spacing w:before="0" w:after="283"/>
              <w:ind w:left="0" w:right="0" w:hanging="180"/>
              <w:jc w:val="left"/>
              <w:rPr/>
            </w:pPr>
            <w:r>
              <w:rPr/>
              <w:t> </w:t>
            </w:r>
          </w:p>
        </w:tc>
        <w:tc>
          <w:tcPr>
            <w:tcW w:w="60" w:type="dxa"/>
            <w:tcBorders/>
            <w:vAlign w:val="center"/>
          </w:tcPr>
          <w:p>
            <w:pPr>
              <w:pStyle w:val="TableContents"/>
              <w:bidi w:val="0"/>
              <w:spacing w:before="0" w:after="283"/>
              <w:jc w:val="left"/>
              <w:rPr/>
            </w:pPr>
            <w:r>
              <w:rPr/>
              <w:t> </w:t>
            </w:r>
          </w:p>
        </w:tc>
        <w:tc>
          <w:tcPr>
            <w:tcW w:w="1985" w:type="dxa"/>
            <w:tcBorders>
              <w:bottom w:val="single" w:sz="12" w:space="0" w:color="000000"/>
            </w:tcBorders>
            <w:tcMar>
              <w:bottom w:w="28" w:type="dxa"/>
            </w:tcMar>
            <w:vAlign w:val="center"/>
          </w:tcPr>
          <w:p>
            <w:pPr>
              <w:pStyle w:val="TableContents"/>
              <w:bidi w:val="0"/>
              <w:spacing w:before="0" w:after="283"/>
              <w:jc w:val="center"/>
              <w:rPr>
                <w:b/>
                <w:sz w:val="20"/>
              </w:rPr>
            </w:pPr>
            <w:r>
              <w:rPr>
                <w:b/>
                <w:sz w:val="20"/>
              </w:rPr>
              <w:t>NASDAQ</w:t>
            </w:r>
          </w:p>
        </w:tc>
        <w:tc>
          <w:tcPr>
            <w:tcW w:w="60" w:type="dxa"/>
            <w:tcBorders/>
            <w:vAlign w:val="center"/>
          </w:tcPr>
          <w:p>
            <w:pPr>
              <w:pStyle w:val="TableContents"/>
              <w:bidi w:val="0"/>
              <w:spacing w:before="0" w:after="283"/>
              <w:jc w:val="left"/>
              <w:rPr/>
            </w:pPr>
            <w:r>
              <w:rPr/>
              <w:t> </w:t>
            </w:r>
          </w:p>
        </w:tc>
        <w:tc>
          <w:tcPr>
            <w:tcW w:w="1944" w:type="dxa"/>
            <w:tcBorders>
              <w:bottom w:val="single" w:sz="12" w:space="0" w:color="000000"/>
            </w:tcBorders>
            <w:tcMar>
              <w:bottom w:w="28" w:type="dxa"/>
            </w:tcMar>
            <w:vAlign w:val="center"/>
          </w:tcPr>
          <w:p>
            <w:pPr>
              <w:pStyle w:val="TableContents"/>
              <w:bidi w:val="0"/>
              <w:spacing w:before="0" w:after="283"/>
              <w:ind w:left="0" w:right="0" w:hanging="180"/>
              <w:jc w:val="center"/>
              <w:rPr>
                <w:b/>
                <w:sz w:val="20"/>
              </w:rPr>
            </w:pPr>
            <w:r>
              <w:rPr>
                <w:b/>
                <w:sz w:val="20"/>
              </w:rPr>
              <w:t>JSE</w:t>
            </w:r>
          </w:p>
        </w:tc>
      </w:tr>
      <w:tr>
        <w:trPr/>
        <w:tc>
          <w:tcPr>
            <w:tcW w:w="6156" w:type="dxa"/>
            <w:tcBorders/>
            <w:shd w:fill="CCEEFF" w:val="clear"/>
            <w:vAlign w:val="center"/>
          </w:tcPr>
          <w:p>
            <w:pPr>
              <w:pStyle w:val="TableContents"/>
              <w:bidi w:val="0"/>
              <w:spacing w:before="0" w:after="283"/>
              <w:jc w:val="both"/>
              <w:rPr>
                <w:sz w:val="20"/>
              </w:rPr>
            </w:pPr>
            <w:r>
              <w:rPr>
                <w:sz w:val="20"/>
              </w:rPr>
              <w:t>Declaration date</w:t>
            </w:r>
          </w:p>
        </w:tc>
        <w:tc>
          <w:tcPr>
            <w:tcW w:w="60" w:type="dxa"/>
            <w:tcBorders/>
            <w:shd w:fill="CCEEFF" w:val="clear"/>
            <w:vAlign w:val="center"/>
          </w:tcPr>
          <w:p>
            <w:pPr>
              <w:pStyle w:val="TableContents"/>
              <w:bidi w:val="0"/>
              <w:spacing w:before="0" w:after="283"/>
              <w:jc w:val="both"/>
              <w:rPr/>
            </w:pPr>
            <w:r>
              <w:rPr/>
              <w:t> </w:t>
            </w:r>
          </w:p>
        </w:tc>
        <w:tc>
          <w:tcPr>
            <w:tcW w:w="1985" w:type="dxa"/>
            <w:tcBorders/>
            <w:shd w:fill="CCEEFF" w:val="clear"/>
            <w:vAlign w:val="center"/>
          </w:tcPr>
          <w:p>
            <w:pPr>
              <w:pStyle w:val="TableContents"/>
              <w:bidi w:val="0"/>
              <w:spacing w:before="0" w:after="283"/>
              <w:jc w:val="center"/>
              <w:rPr>
                <w:sz w:val="20"/>
              </w:rPr>
            </w:pPr>
            <w:r>
              <w:rPr>
                <w:sz w:val="20"/>
              </w:rPr>
              <w:t>Wednesday, May 13, 2026</w:t>
            </w:r>
          </w:p>
        </w:tc>
        <w:tc>
          <w:tcPr>
            <w:tcW w:w="60" w:type="dxa"/>
            <w:tcBorders/>
            <w:shd w:fill="CCEEFF" w:val="clear"/>
            <w:vAlign w:val="center"/>
          </w:tcPr>
          <w:p>
            <w:pPr>
              <w:pStyle w:val="TableContents"/>
              <w:bidi w:val="0"/>
              <w:spacing w:before="0" w:after="283"/>
              <w:jc w:val="both"/>
              <w:rPr/>
            </w:pPr>
            <w:r>
              <w:rPr/>
              <w:t> </w:t>
            </w:r>
          </w:p>
        </w:tc>
        <w:tc>
          <w:tcPr>
            <w:tcW w:w="1944" w:type="dxa"/>
            <w:tcBorders/>
            <w:shd w:fill="CCEEFF" w:val="clear"/>
            <w:vAlign w:val="center"/>
          </w:tcPr>
          <w:p>
            <w:pPr>
              <w:pStyle w:val="TableContents"/>
              <w:bidi w:val="0"/>
              <w:spacing w:before="0" w:after="283"/>
              <w:ind w:left="0" w:right="0" w:hanging="180"/>
              <w:jc w:val="center"/>
              <w:rPr>
                <w:sz w:val="20"/>
              </w:rPr>
            </w:pPr>
            <w:r>
              <w:rPr>
                <w:sz w:val="20"/>
              </w:rPr>
              <w:t>Thursday, May 14, 2026</w:t>
            </w:r>
          </w:p>
        </w:tc>
      </w:tr>
      <w:tr>
        <w:trPr/>
        <w:tc>
          <w:tcPr>
            <w:tcW w:w="6156" w:type="dxa"/>
            <w:tcBorders/>
            <w:shd w:fill="FFFFFF" w:val="clear"/>
            <w:vAlign w:val="center"/>
          </w:tcPr>
          <w:p>
            <w:pPr>
              <w:pStyle w:val="TableContents"/>
              <w:bidi w:val="0"/>
              <w:spacing w:before="0" w:after="283"/>
              <w:jc w:val="both"/>
              <w:rPr>
                <w:sz w:val="20"/>
              </w:rPr>
            </w:pPr>
            <w:r>
              <w:rPr>
                <w:sz w:val="20"/>
              </w:rPr>
              <w:t>Finalization announcement, date of currency conversion and confirmation of record date</w:t>
            </w:r>
          </w:p>
        </w:tc>
        <w:tc>
          <w:tcPr>
            <w:tcW w:w="60" w:type="dxa"/>
            <w:tcBorders/>
            <w:shd w:fill="FFFFFF" w:val="clear"/>
            <w:vAlign w:val="center"/>
          </w:tcPr>
          <w:p>
            <w:pPr>
              <w:pStyle w:val="TableContents"/>
              <w:bidi w:val="0"/>
              <w:spacing w:before="0" w:after="283"/>
              <w:jc w:val="both"/>
              <w:rPr/>
            </w:pPr>
            <w:r>
              <w:rPr/>
              <w:t> </w:t>
            </w:r>
          </w:p>
        </w:tc>
        <w:tc>
          <w:tcPr>
            <w:tcW w:w="1985" w:type="dxa"/>
            <w:tcBorders/>
            <w:shd w:fill="FFFFFF" w:val="clear"/>
            <w:vAlign w:val="center"/>
          </w:tcPr>
          <w:p>
            <w:pPr>
              <w:pStyle w:val="TableContents"/>
              <w:bidi w:val="0"/>
              <w:spacing w:before="0" w:after="283"/>
              <w:jc w:val="center"/>
              <w:rPr>
                <w:sz w:val="20"/>
              </w:rPr>
            </w:pPr>
            <w:r>
              <w:rPr>
                <w:sz w:val="20"/>
              </w:rPr>
              <w:t>Thursday, July 9, 2026</w:t>
            </w:r>
          </w:p>
        </w:tc>
        <w:tc>
          <w:tcPr>
            <w:tcW w:w="60" w:type="dxa"/>
            <w:tcBorders/>
            <w:shd w:fill="FFFFFF" w:val="clear"/>
            <w:vAlign w:val="center"/>
          </w:tcPr>
          <w:p>
            <w:pPr>
              <w:pStyle w:val="TableContents"/>
              <w:bidi w:val="0"/>
              <w:spacing w:before="0" w:after="283"/>
              <w:jc w:val="both"/>
              <w:rPr/>
            </w:pPr>
            <w:r>
              <w:rPr/>
              <w:t> </w:t>
            </w:r>
          </w:p>
        </w:tc>
        <w:tc>
          <w:tcPr>
            <w:tcW w:w="1944" w:type="dxa"/>
            <w:tcBorders/>
            <w:shd w:fill="FFFFFF" w:val="clear"/>
            <w:vAlign w:val="center"/>
          </w:tcPr>
          <w:p>
            <w:pPr>
              <w:pStyle w:val="TableContents"/>
              <w:bidi w:val="0"/>
              <w:spacing w:before="0" w:after="283"/>
              <w:ind w:left="0" w:right="0" w:hanging="180"/>
              <w:jc w:val="center"/>
              <w:rPr>
                <w:sz w:val="20"/>
              </w:rPr>
            </w:pPr>
            <w:r>
              <w:rPr>
                <w:sz w:val="20"/>
              </w:rPr>
              <w:t>Thursday, July 9, 2026</w:t>
            </w:r>
          </w:p>
        </w:tc>
      </w:tr>
      <w:tr>
        <w:trPr/>
        <w:tc>
          <w:tcPr>
            <w:tcW w:w="6156" w:type="dxa"/>
            <w:tcBorders/>
            <w:shd w:fill="CCEEFF" w:val="clear"/>
            <w:vAlign w:val="center"/>
          </w:tcPr>
          <w:p>
            <w:pPr>
              <w:pStyle w:val="TableContents"/>
              <w:bidi w:val="0"/>
              <w:spacing w:before="0" w:after="283"/>
              <w:jc w:val="both"/>
              <w:rPr>
                <w:sz w:val="20"/>
              </w:rPr>
            </w:pPr>
            <w:r>
              <w:rPr>
                <w:sz w:val="20"/>
              </w:rPr>
              <w:t>Last date to trade cum dividend</w:t>
            </w:r>
          </w:p>
        </w:tc>
        <w:tc>
          <w:tcPr>
            <w:tcW w:w="60" w:type="dxa"/>
            <w:tcBorders/>
            <w:shd w:fill="CCEEFF" w:val="clear"/>
            <w:vAlign w:val="center"/>
          </w:tcPr>
          <w:p>
            <w:pPr>
              <w:pStyle w:val="TableContents"/>
              <w:bidi w:val="0"/>
              <w:spacing w:before="0" w:after="283"/>
              <w:jc w:val="both"/>
              <w:rPr/>
            </w:pPr>
            <w:r>
              <w:rPr/>
              <w:t> </w:t>
            </w:r>
          </w:p>
        </w:tc>
        <w:tc>
          <w:tcPr>
            <w:tcW w:w="1985" w:type="dxa"/>
            <w:tcBorders/>
            <w:shd w:fill="CCEEFF" w:val="clear"/>
            <w:vAlign w:val="center"/>
          </w:tcPr>
          <w:p>
            <w:pPr>
              <w:pStyle w:val="TableContents"/>
              <w:bidi w:val="0"/>
              <w:spacing w:before="0" w:after="283"/>
              <w:jc w:val="center"/>
              <w:rPr>
                <w:sz w:val="20"/>
              </w:rPr>
            </w:pPr>
            <w:r>
              <w:rPr>
                <w:sz w:val="20"/>
              </w:rPr>
              <w:t>Thursday, July 16, 2026</w:t>
            </w:r>
          </w:p>
        </w:tc>
        <w:tc>
          <w:tcPr>
            <w:tcW w:w="60" w:type="dxa"/>
            <w:tcBorders/>
            <w:shd w:fill="CCEEFF" w:val="clear"/>
            <w:vAlign w:val="center"/>
          </w:tcPr>
          <w:p>
            <w:pPr>
              <w:pStyle w:val="TableContents"/>
              <w:bidi w:val="0"/>
              <w:spacing w:before="0" w:after="283"/>
              <w:jc w:val="both"/>
              <w:rPr/>
            </w:pPr>
            <w:r>
              <w:rPr/>
              <w:t> </w:t>
            </w:r>
          </w:p>
        </w:tc>
        <w:tc>
          <w:tcPr>
            <w:tcW w:w="1944" w:type="dxa"/>
            <w:tcBorders/>
            <w:shd w:fill="CCEEFF" w:val="clear"/>
            <w:vAlign w:val="center"/>
          </w:tcPr>
          <w:p>
            <w:pPr>
              <w:pStyle w:val="TableContents"/>
              <w:bidi w:val="0"/>
              <w:spacing w:before="0" w:after="283"/>
              <w:ind w:left="0" w:right="0" w:hanging="180"/>
              <w:jc w:val="center"/>
              <w:rPr>
                <w:sz w:val="20"/>
              </w:rPr>
            </w:pPr>
            <w:r>
              <w:rPr>
                <w:sz w:val="20"/>
              </w:rPr>
              <w:t>Tuesday, July 14, 2026</w:t>
            </w:r>
          </w:p>
        </w:tc>
      </w:tr>
      <w:tr>
        <w:trPr/>
        <w:tc>
          <w:tcPr>
            <w:tcW w:w="6156" w:type="dxa"/>
            <w:tcBorders/>
            <w:shd w:fill="FFFFFF" w:val="clear"/>
            <w:vAlign w:val="center"/>
          </w:tcPr>
          <w:p>
            <w:pPr>
              <w:pStyle w:val="TableContents"/>
              <w:bidi w:val="0"/>
              <w:spacing w:before="0" w:after="283"/>
              <w:jc w:val="both"/>
              <w:rPr>
                <w:sz w:val="20"/>
              </w:rPr>
            </w:pPr>
            <w:r>
              <w:rPr>
                <w:sz w:val="20"/>
              </w:rPr>
              <w:t>Shares commence trading Ex-dividend</w:t>
            </w:r>
          </w:p>
        </w:tc>
        <w:tc>
          <w:tcPr>
            <w:tcW w:w="60" w:type="dxa"/>
            <w:tcBorders/>
            <w:shd w:fill="FFFFFF" w:val="clear"/>
            <w:vAlign w:val="center"/>
          </w:tcPr>
          <w:p>
            <w:pPr>
              <w:pStyle w:val="TableContents"/>
              <w:bidi w:val="0"/>
              <w:spacing w:before="0" w:after="283"/>
              <w:jc w:val="both"/>
              <w:rPr/>
            </w:pPr>
            <w:r>
              <w:rPr/>
              <w:t> </w:t>
            </w:r>
          </w:p>
        </w:tc>
        <w:tc>
          <w:tcPr>
            <w:tcW w:w="1985" w:type="dxa"/>
            <w:tcBorders/>
            <w:shd w:fill="FFFFFF" w:val="clear"/>
            <w:vAlign w:val="center"/>
          </w:tcPr>
          <w:p>
            <w:pPr>
              <w:pStyle w:val="TableContents"/>
              <w:bidi w:val="0"/>
              <w:spacing w:before="0" w:after="283"/>
              <w:jc w:val="center"/>
              <w:rPr>
                <w:sz w:val="20"/>
              </w:rPr>
            </w:pPr>
            <w:r>
              <w:rPr>
                <w:sz w:val="20"/>
              </w:rPr>
              <w:t>Friday, July 17, 2026</w:t>
            </w:r>
          </w:p>
        </w:tc>
        <w:tc>
          <w:tcPr>
            <w:tcW w:w="60" w:type="dxa"/>
            <w:tcBorders/>
            <w:shd w:fill="FFFFFF" w:val="clear"/>
            <w:vAlign w:val="center"/>
          </w:tcPr>
          <w:p>
            <w:pPr>
              <w:pStyle w:val="TableContents"/>
              <w:bidi w:val="0"/>
              <w:spacing w:before="0" w:after="283"/>
              <w:jc w:val="both"/>
              <w:rPr/>
            </w:pPr>
            <w:r>
              <w:rPr/>
              <w:t> </w:t>
            </w:r>
          </w:p>
        </w:tc>
        <w:tc>
          <w:tcPr>
            <w:tcW w:w="1944" w:type="dxa"/>
            <w:tcBorders/>
            <w:shd w:fill="FFFFFF" w:val="clear"/>
            <w:vAlign w:val="center"/>
          </w:tcPr>
          <w:p>
            <w:pPr>
              <w:pStyle w:val="TableContents"/>
              <w:bidi w:val="0"/>
              <w:spacing w:before="0" w:after="283"/>
              <w:ind w:left="0" w:right="0" w:hanging="180"/>
              <w:jc w:val="center"/>
              <w:rPr>
                <w:sz w:val="20"/>
              </w:rPr>
            </w:pPr>
            <w:r>
              <w:rPr>
                <w:sz w:val="20"/>
              </w:rPr>
              <w:t>Wednesday, July 15, 2026</w:t>
            </w:r>
          </w:p>
        </w:tc>
      </w:tr>
      <w:tr>
        <w:trPr/>
        <w:tc>
          <w:tcPr>
            <w:tcW w:w="6156" w:type="dxa"/>
            <w:tcBorders/>
            <w:shd w:fill="CCEEFF" w:val="clear"/>
            <w:vAlign w:val="center"/>
          </w:tcPr>
          <w:p>
            <w:pPr>
              <w:pStyle w:val="TableContents"/>
              <w:bidi w:val="0"/>
              <w:spacing w:before="0" w:after="283"/>
              <w:jc w:val="both"/>
              <w:rPr>
                <w:sz w:val="20"/>
              </w:rPr>
            </w:pPr>
            <w:r>
              <w:rPr>
                <w:sz w:val="20"/>
              </w:rPr>
              <w:t>Record date</w:t>
            </w:r>
          </w:p>
        </w:tc>
        <w:tc>
          <w:tcPr>
            <w:tcW w:w="60" w:type="dxa"/>
            <w:tcBorders/>
            <w:shd w:fill="CCEEFF" w:val="clear"/>
            <w:vAlign w:val="center"/>
          </w:tcPr>
          <w:p>
            <w:pPr>
              <w:pStyle w:val="TableContents"/>
              <w:bidi w:val="0"/>
              <w:spacing w:before="0" w:after="283"/>
              <w:jc w:val="both"/>
              <w:rPr/>
            </w:pPr>
            <w:r>
              <w:rPr/>
              <w:t> </w:t>
            </w:r>
          </w:p>
        </w:tc>
        <w:tc>
          <w:tcPr>
            <w:tcW w:w="1985" w:type="dxa"/>
            <w:tcBorders/>
            <w:shd w:fill="CCEEFF" w:val="clear"/>
            <w:vAlign w:val="center"/>
          </w:tcPr>
          <w:p>
            <w:pPr>
              <w:pStyle w:val="TableContents"/>
              <w:bidi w:val="0"/>
              <w:spacing w:before="0" w:after="283"/>
              <w:jc w:val="center"/>
              <w:rPr>
                <w:sz w:val="20"/>
              </w:rPr>
            </w:pPr>
            <w:r>
              <w:rPr>
                <w:sz w:val="20"/>
              </w:rPr>
              <w:t>Friday, July 17, 2026</w:t>
            </w:r>
          </w:p>
        </w:tc>
        <w:tc>
          <w:tcPr>
            <w:tcW w:w="60" w:type="dxa"/>
            <w:tcBorders/>
            <w:shd w:fill="CCEEFF" w:val="clear"/>
            <w:vAlign w:val="center"/>
          </w:tcPr>
          <w:p>
            <w:pPr>
              <w:pStyle w:val="TableContents"/>
              <w:bidi w:val="0"/>
              <w:spacing w:before="0" w:after="283"/>
              <w:jc w:val="both"/>
              <w:rPr/>
            </w:pPr>
            <w:r>
              <w:rPr/>
              <w:t> </w:t>
            </w:r>
          </w:p>
        </w:tc>
        <w:tc>
          <w:tcPr>
            <w:tcW w:w="1944" w:type="dxa"/>
            <w:tcBorders/>
            <w:shd w:fill="CCEEFF" w:val="clear"/>
            <w:vAlign w:val="center"/>
          </w:tcPr>
          <w:p>
            <w:pPr>
              <w:pStyle w:val="TableContents"/>
              <w:bidi w:val="0"/>
              <w:spacing w:before="0" w:after="283"/>
              <w:ind w:left="0" w:right="0" w:hanging="180"/>
              <w:jc w:val="center"/>
              <w:rPr>
                <w:sz w:val="20"/>
              </w:rPr>
            </w:pPr>
            <w:r>
              <w:rPr>
                <w:sz w:val="20"/>
              </w:rPr>
              <w:t>Friday, July 17, 2026</w:t>
            </w:r>
          </w:p>
        </w:tc>
      </w:tr>
      <w:tr>
        <w:trPr/>
        <w:tc>
          <w:tcPr>
            <w:tcW w:w="6156" w:type="dxa"/>
            <w:tcBorders/>
            <w:shd w:fill="FFFFFF" w:val="clear"/>
            <w:vAlign w:val="center"/>
          </w:tcPr>
          <w:p>
            <w:pPr>
              <w:pStyle w:val="TableContents"/>
              <w:bidi w:val="0"/>
              <w:spacing w:before="0" w:after="283"/>
              <w:jc w:val="both"/>
              <w:rPr>
                <w:sz w:val="20"/>
              </w:rPr>
            </w:pPr>
            <w:r>
              <w:rPr>
                <w:sz w:val="20"/>
              </w:rPr>
              <w:t>Dividend payment date</w:t>
            </w:r>
          </w:p>
        </w:tc>
        <w:tc>
          <w:tcPr>
            <w:tcW w:w="60" w:type="dxa"/>
            <w:tcBorders/>
            <w:shd w:fill="FFFFFF" w:val="clear"/>
            <w:vAlign w:val="center"/>
          </w:tcPr>
          <w:p>
            <w:pPr>
              <w:pStyle w:val="TableContents"/>
              <w:bidi w:val="0"/>
              <w:spacing w:before="0" w:after="283"/>
              <w:jc w:val="both"/>
              <w:rPr/>
            </w:pPr>
            <w:r>
              <w:rPr/>
              <w:t> </w:t>
            </w:r>
          </w:p>
        </w:tc>
        <w:tc>
          <w:tcPr>
            <w:tcW w:w="1985" w:type="dxa"/>
            <w:tcBorders/>
            <w:shd w:fill="FFFFFF" w:val="clear"/>
            <w:vAlign w:val="center"/>
          </w:tcPr>
          <w:p>
            <w:pPr>
              <w:pStyle w:val="TableContents"/>
              <w:bidi w:val="0"/>
              <w:spacing w:before="0" w:after="283"/>
              <w:jc w:val="center"/>
              <w:rPr>
                <w:sz w:val="20"/>
              </w:rPr>
            </w:pPr>
            <w:r>
              <w:rPr>
                <w:sz w:val="20"/>
              </w:rPr>
              <w:t>Monday, July 27, 2026</w:t>
            </w:r>
          </w:p>
        </w:tc>
        <w:tc>
          <w:tcPr>
            <w:tcW w:w="60" w:type="dxa"/>
            <w:tcBorders/>
            <w:shd w:fill="FFFFFF" w:val="clear"/>
            <w:vAlign w:val="center"/>
          </w:tcPr>
          <w:p>
            <w:pPr>
              <w:pStyle w:val="TableContents"/>
              <w:bidi w:val="0"/>
              <w:spacing w:before="0" w:after="283"/>
              <w:jc w:val="both"/>
              <w:rPr/>
            </w:pPr>
            <w:r>
              <w:rPr/>
              <w:t> </w:t>
            </w:r>
          </w:p>
        </w:tc>
        <w:tc>
          <w:tcPr>
            <w:tcW w:w="1944" w:type="dxa"/>
            <w:tcBorders/>
            <w:shd w:fill="FFFFFF" w:val="clear"/>
            <w:vAlign w:val="center"/>
          </w:tcPr>
          <w:p>
            <w:pPr>
              <w:pStyle w:val="TableContents"/>
              <w:bidi w:val="0"/>
              <w:spacing w:before="0" w:after="283"/>
              <w:jc w:val="center"/>
              <w:rPr>
                <w:sz w:val="20"/>
              </w:rPr>
            </w:pPr>
            <w:r>
              <w:rPr>
                <w:sz w:val="20"/>
              </w:rPr>
              <w:t>Monday, July 20, 2026</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Shareholders registered on the South African section of the share register will not be allowed to dematerialize or rematerialize their shareholdings between Wednesday, July 15, 2026 and Friday, July 17, 2026, both dates inclusive, and transfers between the Nasdaq and South African register will not be permitted between Thursday, July 9, 2026 and Friday July 17, 2026, both days inclusive.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summary of the tax considerations applicable to South African shareholders will be included in the currency conversion and confirmation of record date announcement which is expected to be published on Thursday, July 9,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13</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Corruption, Bribery and Whistleblowing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Karooooo Anti-Bribery and Corruption policy, Code of Ethics, Whistleblowing policy and employment contracts contain clear guidelines with regard to bribery, corruption, client confidentiality and acceptable behavior towards fellow employees, customers, contractors and suppliers. Annual awareness and practical training are provided to all employees, reinforced by individual affirmations on an annual basis. These measures ensure awareness and understanding of our business principles and the consequences of non-compliance. Our policies also apply to third-party providers.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provide a contact email and hotline for whistleblowing and reporters are assured of confidentiality.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Webinar Information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Karooooo management will host a Zoom webinar on Thursday, May 14, 2026 at 08:00 a.m. Eastern Time (02:00 p.m. South African time; 08:00 p.m. Singaporean time).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Investors are invited to join the Zoom at: https://us02web.zoom.us/j/85491513081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Webinar ID: </w:t>
      </w:r>
      <w:r>
        <w:rPr>
          <w:rFonts w:ascii="Times New Roman;Times;Serif" w:hAnsi="Times New Roman;Times;Serif"/>
          <w:b/>
          <w:i w:val="false"/>
          <w:caps w:val="false"/>
          <w:smallCaps w:val="false"/>
          <w:sz w:val="20"/>
        </w:rPr>
        <w:t>854 9151 3081</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Telephone:</w:t>
      </w:r>
    </w:p>
    <w:p>
      <w:pPr>
        <w:pStyle w:val="TextBody"/>
        <w:bidi w:val="0"/>
        <w:spacing w:before="0" w:after="0"/>
        <w:ind w:left="0" w:right="0" w:hanging="0"/>
        <w:jc w:val="both"/>
        <w:rPr>
          <w:caps w:val="false"/>
          <w:smallCaps w:val="false"/>
        </w:rPr>
      </w:pPr>
      <w:r>
        <w:rPr>
          <w:caps w:val="false"/>
          <w:smallCaps w:val="false"/>
        </w:rPr>
        <w:t> </w:t>
      </w:r>
    </w:p>
    <w:tbl>
      <w:tblPr>
        <w:tblW w:w="3745" w:type="dxa"/>
        <w:jc w:val="left"/>
        <w:tblInd w:w="0" w:type="dxa"/>
        <w:tblLayout w:type="fixed"/>
        <w:tblCellMar>
          <w:top w:w="0" w:type="dxa"/>
          <w:left w:w="0" w:type="dxa"/>
          <w:bottom w:w="0" w:type="dxa"/>
          <w:right w:w="0" w:type="dxa"/>
        </w:tblCellMar>
      </w:tblPr>
      <w:tblGrid>
        <w:gridCol w:w="75"/>
        <w:gridCol w:w="170"/>
        <w:gridCol w:w="350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350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US (New York) Toll-free: +1 646 558 8656</w:t>
            </w:r>
          </w:p>
        </w:tc>
      </w:tr>
    </w:tbl>
    <w:p>
      <w:pPr>
        <w:pStyle w:val="TextBody"/>
        <w:bidi w:val="0"/>
        <w:spacing w:before="0" w:after="0"/>
        <w:ind w:left="0" w:right="0" w:hanging="0"/>
        <w:jc w:val="both"/>
        <w:rPr>
          <w:caps w:val="false"/>
          <w:smallCaps w:val="false"/>
        </w:rPr>
      </w:pPr>
      <w:r>
        <w:rPr>
          <w:caps w:val="false"/>
          <w:smallCaps w:val="false"/>
        </w:rPr>
        <w:t> </w:t>
      </w:r>
    </w:p>
    <w:tbl>
      <w:tblPr>
        <w:tblW w:w="3550" w:type="dxa"/>
        <w:jc w:val="left"/>
        <w:tblInd w:w="0" w:type="dxa"/>
        <w:tblLayout w:type="fixed"/>
        <w:tblCellMar>
          <w:top w:w="0" w:type="dxa"/>
          <w:left w:w="0" w:type="dxa"/>
          <w:bottom w:w="0" w:type="dxa"/>
          <w:right w:w="0" w:type="dxa"/>
        </w:tblCellMar>
      </w:tblPr>
      <w:tblGrid>
        <w:gridCol w:w="75"/>
        <w:gridCol w:w="170"/>
        <w:gridCol w:w="330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330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South Africa Toll-free: +27 87 551 7702</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replay will be available at www.karooooo.com approximately three hours after the conclusion of the live event.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IFRS Accounting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prepare our consolidated financial statements in accordance with IFRS Accounting Standards as issued by the IASB. The summary consolidated financial information presented has been derived from the consolidated financial statements of Karooooo.</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About Karooooo</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Karooooo digitally transforms physical operations by simplifying decision making. Through its operational intelligence cloud platform, Karooooo empowers businesses to conquer operations including fleet maintenance, fuel management and asset utilization, workforce management, logistics, safety including video and AI video, compliance, risk and environmental impact. Karooooo’s differentiated insights and analytics simplify day-to-day operations and enable businesses to decrease costs, increase efficiency, improve safety and strengthen workforce and customer satisfaction.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Karooooo is headquartered in Singapore and services more than 125,000 commercial customers and more than 2.7 million active subscribers in more than 20 countries.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more information, visit www.karooooo.com.</w:t>
      </w:r>
    </w:p>
    <w:p>
      <w:pPr>
        <w:pStyle w:val="TextBody"/>
        <w:bidi w:val="0"/>
        <w:spacing w:before="0" w:after="0"/>
        <w:ind w:left="0" w:right="0" w:hanging="0"/>
        <w:jc w:val="both"/>
        <w:rPr>
          <w:caps w:val="false"/>
          <w:smallCaps w:val="false"/>
        </w:rPr>
      </w:pPr>
      <w:r>
        <w:rPr>
          <w:caps w:val="false"/>
          <w:smallCaps w:val="false"/>
        </w:rPr>
        <w:t> </w:t>
      </w:r>
    </w:p>
    <w:tbl>
      <w:tblPr>
        <w:tblW w:w="4165" w:type="dxa"/>
        <w:jc w:val="left"/>
        <w:tblInd w:w="0" w:type="dxa"/>
        <w:tblLayout w:type="fixed"/>
        <w:tblCellMar>
          <w:top w:w="0" w:type="dxa"/>
          <w:left w:w="0" w:type="dxa"/>
          <w:bottom w:w="0" w:type="dxa"/>
          <w:right w:w="0" w:type="dxa"/>
        </w:tblCellMar>
      </w:tblPr>
      <w:tblGrid>
        <w:gridCol w:w="2285"/>
        <w:gridCol w:w="1880"/>
      </w:tblGrid>
      <w:tr>
        <w:trPr/>
        <w:tc>
          <w:tcPr>
            <w:tcW w:w="2285" w:type="dxa"/>
            <w:tcBorders/>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Investor Relations Contact</w:t>
            </w:r>
          </w:p>
        </w:tc>
        <w:tc>
          <w:tcPr>
            <w:tcW w:w="188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IR@karooooo.com</w:t>
            </w:r>
          </w:p>
        </w:tc>
      </w:tr>
      <w:tr>
        <w:trPr/>
        <w:tc>
          <w:tcPr>
            <w:tcW w:w="2285" w:type="dxa"/>
            <w:tcBorders/>
            <w:vAlign w:val="center"/>
          </w:tcPr>
          <w:p>
            <w:pPr>
              <w:pStyle w:val="TableContents"/>
              <w:bidi w:val="0"/>
              <w:spacing w:before="0" w:after="283"/>
              <w:jc w:val="both"/>
              <w:rPr/>
            </w:pPr>
            <w:r>
              <w:rPr/>
              <w:t> </w:t>
            </w:r>
          </w:p>
        </w:tc>
        <w:tc>
          <w:tcPr>
            <w:tcW w:w="1880" w:type="dxa"/>
            <w:tcBorders/>
            <w:vAlign w:val="center"/>
          </w:tcPr>
          <w:p>
            <w:pPr>
              <w:pStyle w:val="TableContents"/>
              <w:bidi w:val="0"/>
              <w:spacing w:before="0" w:after="283"/>
              <w:jc w:val="both"/>
              <w:rPr/>
            </w:pPr>
            <w:r>
              <w:rPr/>
              <w:t> </w:t>
            </w:r>
          </w:p>
        </w:tc>
      </w:tr>
      <w:tr>
        <w:trPr/>
        <w:tc>
          <w:tcPr>
            <w:tcW w:w="2285" w:type="dxa"/>
            <w:tcBorders/>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Media Contact</w:t>
            </w:r>
          </w:p>
        </w:tc>
        <w:tc>
          <w:tcPr>
            <w:tcW w:w="188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media@karooooo.com</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14</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KAROOOOO LTD.</w:t>
        <w:br/>
        <w:t>CONSOLIDATED STATEMENT OF PROFIT AND LOSS</w:t>
        <w:br/>
        <w:t>(UNAUDITED)</w:t>
      </w:r>
    </w:p>
    <w:p>
      <w:pPr>
        <w:pStyle w:val="TextBody"/>
        <w:bidi w:val="0"/>
        <w:spacing w:before="0" w:after="0"/>
        <w:ind w:left="0" w:right="0" w:hanging="0"/>
        <w:jc w:val="center"/>
        <w:rPr>
          <w:caps w:val="false"/>
          <w:smallCaps w:val="false"/>
        </w:rPr>
      </w:pPr>
      <w:r>
        <w:rPr>
          <w:caps w:val="false"/>
          <w:smallCaps w:val="false"/>
        </w:rPr>
        <w:t> </w:t>
      </w:r>
    </w:p>
    <w:tbl>
      <w:tblPr>
        <w:tblW w:w="9090" w:type="dxa"/>
        <w:jc w:val="left"/>
        <w:tblInd w:w="0" w:type="dxa"/>
        <w:tblLayout w:type="fixed"/>
        <w:tblCellMar>
          <w:top w:w="0" w:type="dxa"/>
          <w:left w:w="0" w:type="dxa"/>
          <w:bottom w:w="0" w:type="dxa"/>
          <w:right w:w="0" w:type="dxa"/>
        </w:tblCellMar>
      </w:tblPr>
      <w:tblGrid>
        <w:gridCol w:w="4145"/>
        <w:gridCol w:w="60"/>
        <w:gridCol w:w="60"/>
        <w:gridCol w:w="980"/>
        <w:gridCol w:w="95"/>
        <w:gridCol w:w="60"/>
        <w:gridCol w:w="60"/>
        <w:gridCol w:w="980"/>
        <w:gridCol w:w="95"/>
        <w:gridCol w:w="60"/>
        <w:gridCol w:w="60"/>
        <w:gridCol w:w="1055"/>
        <w:gridCol w:w="95"/>
        <w:gridCol w:w="60"/>
        <w:gridCol w:w="60"/>
        <w:gridCol w:w="1055"/>
        <w:gridCol w:w="110"/>
      </w:tblGrid>
      <w:tr>
        <w:trPr/>
        <w:tc>
          <w:tcPr>
            <w:tcW w:w="4145"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2235"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Three Months Ended</w:t>
              <w:br/>
              <w:t>February 28,</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385"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 xml:space="preserve">Year Ended </w:t>
              <w:br/>
              <w:t>February 28,</w:t>
            </w:r>
          </w:p>
        </w:tc>
        <w:tc>
          <w:tcPr>
            <w:tcW w:w="110" w:type="dxa"/>
            <w:tcBorders/>
            <w:vAlign w:val="center"/>
          </w:tcPr>
          <w:p>
            <w:pPr>
              <w:pStyle w:val="TableContents"/>
              <w:bidi w:val="0"/>
              <w:spacing w:before="0" w:after="283"/>
              <w:jc w:val="left"/>
              <w:rPr/>
            </w:pPr>
            <w:r>
              <w:rPr/>
              <w:t> </w:t>
            </w:r>
          </w:p>
        </w:tc>
      </w:tr>
      <w:tr>
        <w:trPr/>
        <w:tc>
          <w:tcPr>
            <w:tcW w:w="414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04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2026</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4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2025</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1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2026</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1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2025</w:t>
            </w:r>
          </w:p>
        </w:tc>
        <w:tc>
          <w:tcPr>
            <w:tcW w:w="110" w:type="dxa"/>
            <w:tcBorders/>
            <w:vAlign w:val="center"/>
          </w:tcPr>
          <w:p>
            <w:pPr>
              <w:pStyle w:val="TableContents"/>
              <w:bidi w:val="0"/>
              <w:spacing w:before="0" w:after="283"/>
              <w:jc w:val="left"/>
              <w:rPr/>
            </w:pPr>
            <w:r>
              <w:rPr/>
              <w:t> </w:t>
            </w:r>
          </w:p>
        </w:tc>
      </w:tr>
      <w:tr>
        <w:trPr/>
        <w:tc>
          <w:tcPr>
            <w:tcW w:w="4145"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4775" w:type="dxa"/>
            <w:gridSpan w:val="14"/>
            <w:tcBorders/>
            <w:vAlign w:val="center"/>
          </w:tcPr>
          <w:p>
            <w:pPr>
              <w:pStyle w:val="TableContents"/>
              <w:bidi w:val="0"/>
              <w:spacing w:before="0" w:after="283"/>
              <w:jc w:val="center"/>
              <w:rPr>
                <w:b/>
              </w:rPr>
            </w:pPr>
            <w:r>
              <w:rPr>
                <w:b/>
              </w:rPr>
              <w:t>(Rand Thousands)</w:t>
            </w:r>
          </w:p>
        </w:tc>
        <w:tc>
          <w:tcPr>
            <w:tcW w:w="110" w:type="dxa"/>
            <w:tcBorders/>
            <w:vAlign w:val="center"/>
          </w:tcPr>
          <w:p>
            <w:pPr>
              <w:pStyle w:val="TableContents"/>
              <w:bidi w:val="0"/>
              <w:spacing w:before="0" w:after="283"/>
              <w:ind w:left="0" w:right="0" w:hanging="180"/>
              <w:jc w:val="left"/>
              <w:rPr/>
            </w:pPr>
            <w:r>
              <w:rPr/>
              <w:t> </w:t>
            </w:r>
          </w:p>
        </w:tc>
      </w:tr>
      <w:tr>
        <w:trPr/>
        <w:tc>
          <w:tcPr>
            <w:tcW w:w="4145" w:type="dxa"/>
            <w:tcBorders/>
            <w:shd w:fill="CCEEFF" w:val="clear"/>
            <w:vAlign w:val="center"/>
          </w:tcPr>
          <w:p>
            <w:pPr>
              <w:pStyle w:val="TableContents"/>
              <w:bidi w:val="0"/>
              <w:spacing w:before="0" w:after="283"/>
              <w:jc w:val="left"/>
              <w:rPr>
                <w:b/>
              </w:rPr>
            </w:pPr>
            <w:r>
              <w:rPr>
                <w:b/>
              </w:rPr>
              <w:t>Revenue</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1,448,379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1,219,523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5,479,120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4,567,459</w:t>
            </w:r>
          </w:p>
        </w:tc>
        <w:tc>
          <w:tcPr>
            <w:tcW w:w="110" w:type="dxa"/>
            <w:tcBorders/>
            <w:shd w:fill="CCEEFF" w:val="clear"/>
            <w:vAlign w:val="center"/>
          </w:tcPr>
          <w:p>
            <w:pPr>
              <w:pStyle w:val="TableContents"/>
              <w:bidi w:val="0"/>
              <w:spacing w:before="0" w:after="283"/>
              <w:ind w:left="0" w:right="0" w:hanging="180"/>
              <w:jc w:val="left"/>
              <w:rPr/>
            </w:pPr>
            <w:r>
              <w:rPr/>
              <w:t> </w:t>
            </w:r>
          </w:p>
        </w:tc>
      </w:tr>
      <w:tr>
        <w:trPr/>
        <w:tc>
          <w:tcPr>
            <w:tcW w:w="4145" w:type="dxa"/>
            <w:tcBorders/>
            <w:shd w:fill="FFFFFF" w:val="clear"/>
            <w:vAlign w:val="center"/>
          </w:tcPr>
          <w:p>
            <w:pPr>
              <w:pStyle w:val="TableContents"/>
              <w:bidi w:val="0"/>
              <w:spacing w:before="0" w:after="283"/>
              <w:jc w:val="left"/>
              <w:rPr/>
            </w:pPr>
            <w:r>
              <w:rPr/>
              <w:t>Cost of sales</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980" w:type="dxa"/>
            <w:tcBorders>
              <w:bottom w:val="single" w:sz="12" w:space="0" w:color="000000"/>
            </w:tcBorders>
            <w:shd w:fill="FFFFFF" w:val="clear"/>
            <w:tcMar>
              <w:bottom w:w="28" w:type="dxa"/>
            </w:tcMar>
            <w:vAlign w:val="center"/>
          </w:tcPr>
          <w:p>
            <w:pPr>
              <w:pStyle w:val="TableContents"/>
              <w:bidi w:val="0"/>
              <w:spacing w:before="0" w:after="283"/>
              <w:jc w:val="right"/>
              <w:rPr/>
            </w:pPr>
            <w:r>
              <w:rPr/>
              <w:t>(488,793</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980" w:type="dxa"/>
            <w:tcBorders>
              <w:bottom w:val="single" w:sz="12" w:space="0" w:color="000000"/>
            </w:tcBorders>
            <w:shd w:fill="FFFFFF" w:val="clear"/>
            <w:tcMar>
              <w:bottom w:w="28" w:type="dxa"/>
            </w:tcMar>
            <w:vAlign w:val="center"/>
          </w:tcPr>
          <w:p>
            <w:pPr>
              <w:pStyle w:val="TableContents"/>
              <w:bidi w:val="0"/>
              <w:spacing w:before="0" w:after="283"/>
              <w:jc w:val="right"/>
              <w:rPr/>
            </w:pPr>
            <w:r>
              <w:rPr/>
              <w:t>(350,579</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055" w:type="dxa"/>
            <w:tcBorders>
              <w:bottom w:val="single" w:sz="12" w:space="0" w:color="000000"/>
            </w:tcBorders>
            <w:shd w:fill="FFFFFF" w:val="clear"/>
            <w:tcMar>
              <w:bottom w:w="28" w:type="dxa"/>
            </w:tcMar>
            <w:vAlign w:val="center"/>
          </w:tcPr>
          <w:p>
            <w:pPr>
              <w:pStyle w:val="TableContents"/>
              <w:bidi w:val="0"/>
              <w:spacing w:before="0" w:after="283"/>
              <w:jc w:val="right"/>
              <w:rPr/>
            </w:pPr>
            <w:r>
              <w:rPr/>
              <w:t>(1,754,950</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055" w:type="dxa"/>
            <w:tcBorders>
              <w:bottom w:val="single" w:sz="12" w:space="0" w:color="000000"/>
            </w:tcBorders>
            <w:shd w:fill="FFFFFF" w:val="clear"/>
            <w:tcMar>
              <w:bottom w:w="28" w:type="dxa"/>
            </w:tcMar>
            <w:vAlign w:val="center"/>
          </w:tcPr>
          <w:p>
            <w:pPr>
              <w:pStyle w:val="TableContents"/>
              <w:bidi w:val="0"/>
              <w:spacing w:before="0" w:after="283"/>
              <w:jc w:val="right"/>
              <w:rPr/>
            </w:pPr>
            <w:r>
              <w:rPr/>
              <w:t>(1,364,407</w:t>
            </w:r>
          </w:p>
        </w:tc>
        <w:tc>
          <w:tcPr>
            <w:tcW w:w="110" w:type="dxa"/>
            <w:tcBorders/>
            <w:shd w:fill="FFFFFF" w:val="clear"/>
            <w:vAlign w:val="center"/>
          </w:tcPr>
          <w:p>
            <w:pPr>
              <w:pStyle w:val="TableContents"/>
              <w:bidi w:val="0"/>
              <w:spacing w:before="0" w:after="283"/>
              <w:ind w:left="0" w:right="0" w:hanging="180"/>
              <w:jc w:val="left"/>
              <w:rPr/>
            </w:pPr>
            <w:r>
              <w:rPr/>
              <w:t>)</w:t>
            </w:r>
          </w:p>
        </w:tc>
      </w:tr>
      <w:tr>
        <w:trPr/>
        <w:tc>
          <w:tcPr>
            <w:tcW w:w="4145" w:type="dxa"/>
            <w:tcBorders/>
            <w:shd w:fill="CCEEFF" w:val="clear"/>
            <w:vAlign w:val="center"/>
          </w:tcPr>
          <w:p>
            <w:pPr>
              <w:pStyle w:val="TableContents"/>
              <w:bidi w:val="0"/>
              <w:spacing w:before="0" w:after="283"/>
              <w:jc w:val="left"/>
              <w:rPr>
                <w:b/>
              </w:rPr>
            </w:pPr>
            <w:r>
              <w:rPr>
                <w:b/>
              </w:rPr>
              <w:t>Gross profit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959,586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868,944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3,724,170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3,203,052</w:t>
            </w:r>
          </w:p>
        </w:tc>
        <w:tc>
          <w:tcPr>
            <w:tcW w:w="110" w:type="dxa"/>
            <w:tcBorders/>
            <w:shd w:fill="CCEEFF" w:val="clear"/>
            <w:vAlign w:val="center"/>
          </w:tcPr>
          <w:p>
            <w:pPr>
              <w:pStyle w:val="TableContents"/>
              <w:bidi w:val="0"/>
              <w:spacing w:before="0" w:after="283"/>
              <w:ind w:left="0" w:right="0" w:hanging="180"/>
              <w:jc w:val="left"/>
              <w:rPr/>
            </w:pPr>
            <w:r>
              <w:rPr/>
              <w:t> </w:t>
            </w:r>
          </w:p>
        </w:tc>
      </w:tr>
      <w:tr>
        <w:trPr/>
        <w:tc>
          <w:tcPr>
            <w:tcW w:w="4145" w:type="dxa"/>
            <w:tcBorders/>
            <w:shd w:fill="FFFFFF" w:val="clear"/>
            <w:vAlign w:val="center"/>
          </w:tcPr>
          <w:p>
            <w:pPr>
              <w:pStyle w:val="TableContents"/>
              <w:bidi w:val="0"/>
              <w:spacing w:before="0" w:after="283"/>
              <w:jc w:val="left"/>
              <w:rPr/>
            </w:pPr>
            <w:r>
              <w:rPr/>
              <w:t>Other income</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1,453</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995</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14,975</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10,369</w:t>
            </w:r>
          </w:p>
        </w:tc>
        <w:tc>
          <w:tcPr>
            <w:tcW w:w="110" w:type="dxa"/>
            <w:tcBorders/>
            <w:shd w:fill="FFFFFF" w:val="clear"/>
            <w:vAlign w:val="center"/>
          </w:tcPr>
          <w:p>
            <w:pPr>
              <w:pStyle w:val="TableContents"/>
              <w:bidi w:val="0"/>
              <w:spacing w:before="0" w:after="283"/>
              <w:ind w:left="0" w:right="0" w:hanging="180"/>
              <w:jc w:val="left"/>
              <w:rPr/>
            </w:pPr>
            <w:r>
              <w:rPr/>
              <w:t> </w:t>
            </w:r>
          </w:p>
        </w:tc>
      </w:tr>
      <w:tr>
        <w:trPr/>
        <w:tc>
          <w:tcPr>
            <w:tcW w:w="4145" w:type="dxa"/>
            <w:tcBorders/>
            <w:shd w:fill="CCEEFF" w:val="clear"/>
            <w:vAlign w:val="center"/>
          </w:tcPr>
          <w:p>
            <w:pPr>
              <w:pStyle w:val="TableContents"/>
              <w:bidi w:val="0"/>
              <w:spacing w:before="0" w:after="283"/>
              <w:jc w:val="left"/>
              <w:rPr>
                <w:b/>
              </w:rPr>
            </w:pPr>
            <w:r>
              <w:rPr>
                <w:b/>
              </w:rPr>
              <w:t>Operating expenses</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single" w:sz="12" w:space="0" w:color="000000"/>
            </w:tcBorders>
            <w:shd w:fill="CCEEFF" w:val="clear"/>
            <w:tcMar>
              <w:bottom w:w="28" w:type="dxa"/>
            </w:tcMar>
            <w:vAlign w:val="center"/>
          </w:tcPr>
          <w:p>
            <w:pPr>
              <w:pStyle w:val="TableContents"/>
              <w:bidi w:val="0"/>
              <w:spacing w:before="0" w:after="283"/>
              <w:jc w:val="right"/>
              <w:rPr/>
            </w:pPr>
            <w:r>
              <w:rPr/>
              <w:t>(623,319</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single" w:sz="12" w:space="0" w:color="000000"/>
            </w:tcBorders>
            <w:shd w:fill="CCEEFF" w:val="clear"/>
            <w:tcMar>
              <w:bottom w:w="28" w:type="dxa"/>
            </w:tcMar>
            <w:vAlign w:val="center"/>
          </w:tcPr>
          <w:p>
            <w:pPr>
              <w:pStyle w:val="TableContents"/>
              <w:bidi w:val="0"/>
              <w:spacing w:before="0" w:after="283"/>
              <w:jc w:val="right"/>
              <w:rPr/>
            </w:pPr>
            <w:r>
              <w:rPr/>
              <w:t>(484,726</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55" w:type="dxa"/>
            <w:tcBorders>
              <w:bottom w:val="single" w:sz="12" w:space="0" w:color="000000"/>
            </w:tcBorders>
            <w:shd w:fill="CCEEFF" w:val="clear"/>
            <w:tcMar>
              <w:bottom w:w="28" w:type="dxa"/>
            </w:tcMar>
            <w:vAlign w:val="center"/>
          </w:tcPr>
          <w:p>
            <w:pPr>
              <w:pStyle w:val="TableContents"/>
              <w:bidi w:val="0"/>
              <w:spacing w:before="0" w:after="283"/>
              <w:jc w:val="right"/>
              <w:rPr/>
            </w:pPr>
            <w:r>
              <w:rPr/>
              <w:t>(2,324,433</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55" w:type="dxa"/>
            <w:tcBorders>
              <w:bottom w:val="single" w:sz="12" w:space="0" w:color="000000"/>
            </w:tcBorders>
            <w:shd w:fill="CCEEFF" w:val="clear"/>
            <w:tcMar>
              <w:bottom w:w="28" w:type="dxa"/>
            </w:tcMar>
            <w:vAlign w:val="center"/>
          </w:tcPr>
          <w:p>
            <w:pPr>
              <w:pStyle w:val="TableContents"/>
              <w:bidi w:val="0"/>
              <w:spacing w:before="0" w:after="283"/>
              <w:jc w:val="right"/>
              <w:rPr/>
            </w:pPr>
            <w:r>
              <w:rPr/>
              <w:t>(1,901,088</w:t>
            </w:r>
          </w:p>
        </w:tc>
        <w:tc>
          <w:tcPr>
            <w:tcW w:w="110" w:type="dxa"/>
            <w:tcBorders/>
            <w:shd w:fill="CCEEFF" w:val="clear"/>
            <w:vAlign w:val="center"/>
          </w:tcPr>
          <w:p>
            <w:pPr>
              <w:pStyle w:val="TableContents"/>
              <w:bidi w:val="0"/>
              <w:spacing w:before="0" w:after="283"/>
              <w:ind w:left="0" w:right="0" w:hanging="180"/>
              <w:jc w:val="left"/>
              <w:rPr/>
            </w:pPr>
            <w:r>
              <w:rPr/>
              <w:t>)</w:t>
            </w:r>
          </w:p>
        </w:tc>
      </w:tr>
      <w:tr>
        <w:trPr/>
        <w:tc>
          <w:tcPr>
            <w:tcW w:w="4145" w:type="dxa"/>
            <w:tcBorders/>
            <w:shd w:fill="FFFFFF" w:val="clear"/>
            <w:vAlign w:val="center"/>
          </w:tcPr>
          <w:p>
            <w:pPr>
              <w:pStyle w:val="TableContents"/>
              <w:bidi w:val="0"/>
              <w:spacing w:before="0" w:after="283"/>
              <w:jc w:val="left"/>
              <w:rPr/>
            </w:pPr>
            <w:r>
              <w:rPr/>
              <w:t>Sales and marketing</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(220,470</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(160,638</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(841,453</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(614,765</w:t>
            </w:r>
          </w:p>
        </w:tc>
        <w:tc>
          <w:tcPr>
            <w:tcW w:w="110" w:type="dxa"/>
            <w:tcBorders/>
            <w:shd w:fill="FFFFFF" w:val="clear"/>
            <w:vAlign w:val="center"/>
          </w:tcPr>
          <w:p>
            <w:pPr>
              <w:pStyle w:val="TableContents"/>
              <w:bidi w:val="0"/>
              <w:spacing w:before="0" w:after="283"/>
              <w:ind w:left="0" w:right="0" w:hanging="180"/>
              <w:jc w:val="left"/>
              <w:rPr/>
            </w:pPr>
            <w:r>
              <w:rPr/>
              <w:t>)</w:t>
            </w:r>
          </w:p>
        </w:tc>
      </w:tr>
      <w:tr>
        <w:trPr/>
        <w:tc>
          <w:tcPr>
            <w:tcW w:w="4145" w:type="dxa"/>
            <w:tcBorders/>
            <w:shd w:fill="CCEEFF" w:val="clear"/>
            <w:vAlign w:val="center"/>
          </w:tcPr>
          <w:p>
            <w:pPr>
              <w:pStyle w:val="TableContents"/>
              <w:bidi w:val="0"/>
              <w:spacing w:before="0" w:after="283"/>
              <w:jc w:val="left"/>
              <w:rPr/>
            </w:pPr>
            <w:r>
              <w:rPr/>
              <w:t>General and administration</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(289,714</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(234,413</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(1,096,981</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(944,833</w:t>
            </w:r>
          </w:p>
        </w:tc>
        <w:tc>
          <w:tcPr>
            <w:tcW w:w="110" w:type="dxa"/>
            <w:tcBorders/>
            <w:shd w:fill="CCEEFF" w:val="clear"/>
            <w:vAlign w:val="center"/>
          </w:tcPr>
          <w:p>
            <w:pPr>
              <w:pStyle w:val="TableContents"/>
              <w:bidi w:val="0"/>
              <w:spacing w:before="0" w:after="283"/>
              <w:ind w:left="0" w:right="0" w:hanging="180"/>
              <w:jc w:val="left"/>
              <w:rPr/>
            </w:pPr>
            <w:r>
              <w:rPr/>
              <w:t>)</w:t>
            </w:r>
          </w:p>
        </w:tc>
      </w:tr>
      <w:tr>
        <w:trPr/>
        <w:tc>
          <w:tcPr>
            <w:tcW w:w="4145" w:type="dxa"/>
            <w:tcBorders/>
            <w:shd w:fill="FFFFFF" w:val="clear"/>
            <w:vAlign w:val="center"/>
          </w:tcPr>
          <w:p>
            <w:pPr>
              <w:pStyle w:val="TableContents"/>
              <w:bidi w:val="0"/>
              <w:spacing w:before="0" w:after="283"/>
              <w:jc w:val="left"/>
              <w:rPr/>
            </w:pPr>
            <w:r>
              <w:rPr/>
              <w:t>Research and development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(75,019</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(57,770</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(261,467</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(226,935</w:t>
            </w:r>
          </w:p>
        </w:tc>
        <w:tc>
          <w:tcPr>
            <w:tcW w:w="110" w:type="dxa"/>
            <w:tcBorders/>
            <w:shd w:fill="FFFFFF" w:val="clear"/>
            <w:vAlign w:val="center"/>
          </w:tcPr>
          <w:p>
            <w:pPr>
              <w:pStyle w:val="TableContents"/>
              <w:bidi w:val="0"/>
              <w:spacing w:before="0" w:after="283"/>
              <w:ind w:left="0" w:right="0" w:hanging="180"/>
              <w:jc w:val="left"/>
              <w:rPr/>
            </w:pPr>
            <w:r>
              <w:rPr/>
              <w:t>)</w:t>
            </w:r>
          </w:p>
        </w:tc>
      </w:tr>
      <w:tr>
        <w:trPr/>
        <w:tc>
          <w:tcPr>
            <w:tcW w:w="4145" w:type="dxa"/>
            <w:tcBorders/>
            <w:shd w:fill="CCEEFF" w:val="clear"/>
            <w:vAlign w:val="center"/>
          </w:tcPr>
          <w:p>
            <w:pPr>
              <w:pStyle w:val="TableContents"/>
              <w:bidi w:val="0"/>
              <w:spacing w:before="0" w:after="283"/>
              <w:jc w:val="left"/>
              <w:rPr/>
            </w:pPr>
            <w:r>
              <w:rPr/>
              <w:t>Expected credit losses on financial assets</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single" w:sz="12" w:space="0" w:color="000000"/>
            </w:tcBorders>
            <w:shd w:fill="CCEEFF" w:val="clear"/>
            <w:tcMar>
              <w:bottom w:w="28" w:type="dxa"/>
            </w:tcMar>
            <w:vAlign w:val="center"/>
          </w:tcPr>
          <w:p>
            <w:pPr>
              <w:pStyle w:val="TableContents"/>
              <w:bidi w:val="0"/>
              <w:spacing w:before="0" w:after="283"/>
              <w:jc w:val="right"/>
              <w:rPr/>
            </w:pPr>
            <w:r>
              <w:rPr/>
              <w:t>(38,116</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single" w:sz="12" w:space="0" w:color="000000"/>
            </w:tcBorders>
            <w:shd w:fill="CCEEFF" w:val="clear"/>
            <w:tcMar>
              <w:bottom w:w="28" w:type="dxa"/>
            </w:tcMar>
            <w:vAlign w:val="center"/>
          </w:tcPr>
          <w:p>
            <w:pPr>
              <w:pStyle w:val="TableContents"/>
              <w:bidi w:val="0"/>
              <w:spacing w:before="0" w:after="283"/>
              <w:jc w:val="right"/>
              <w:rPr/>
            </w:pPr>
            <w:r>
              <w:rPr/>
              <w:t>(31,905</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55" w:type="dxa"/>
            <w:tcBorders>
              <w:bottom w:val="single" w:sz="12" w:space="0" w:color="000000"/>
            </w:tcBorders>
            <w:shd w:fill="CCEEFF" w:val="clear"/>
            <w:tcMar>
              <w:bottom w:w="28" w:type="dxa"/>
            </w:tcMar>
            <w:vAlign w:val="center"/>
          </w:tcPr>
          <w:p>
            <w:pPr>
              <w:pStyle w:val="TableContents"/>
              <w:bidi w:val="0"/>
              <w:spacing w:before="0" w:after="283"/>
              <w:jc w:val="right"/>
              <w:rPr/>
            </w:pPr>
            <w:r>
              <w:rPr/>
              <w:t>(124,532</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55" w:type="dxa"/>
            <w:tcBorders>
              <w:bottom w:val="single" w:sz="12" w:space="0" w:color="000000"/>
            </w:tcBorders>
            <w:shd w:fill="CCEEFF" w:val="clear"/>
            <w:tcMar>
              <w:bottom w:w="28" w:type="dxa"/>
            </w:tcMar>
            <w:vAlign w:val="center"/>
          </w:tcPr>
          <w:p>
            <w:pPr>
              <w:pStyle w:val="TableContents"/>
              <w:bidi w:val="0"/>
              <w:spacing w:before="0" w:after="283"/>
              <w:jc w:val="right"/>
              <w:rPr/>
            </w:pPr>
            <w:r>
              <w:rPr/>
              <w:t>(114,555</w:t>
            </w:r>
          </w:p>
        </w:tc>
        <w:tc>
          <w:tcPr>
            <w:tcW w:w="110" w:type="dxa"/>
            <w:tcBorders/>
            <w:shd w:fill="CCEEFF" w:val="clear"/>
            <w:vAlign w:val="center"/>
          </w:tcPr>
          <w:p>
            <w:pPr>
              <w:pStyle w:val="TableContents"/>
              <w:bidi w:val="0"/>
              <w:spacing w:before="0" w:after="283"/>
              <w:ind w:left="0" w:right="0" w:hanging="180"/>
              <w:jc w:val="left"/>
              <w:rPr/>
            </w:pPr>
            <w:r>
              <w:rPr/>
              <w:t>)</w:t>
            </w:r>
          </w:p>
        </w:tc>
      </w:tr>
      <w:tr>
        <w:trPr/>
        <w:tc>
          <w:tcPr>
            <w:tcW w:w="4145" w:type="dxa"/>
            <w:tcBorders/>
            <w:shd w:fill="FFFFFF" w:val="clear"/>
            <w:vAlign w:val="center"/>
          </w:tcPr>
          <w:p>
            <w:pPr>
              <w:pStyle w:val="TableContents"/>
              <w:bidi w:val="0"/>
              <w:spacing w:before="0" w:after="283"/>
              <w:jc w:val="left"/>
              <w:rPr>
                <w:b/>
              </w:rPr>
            </w:pPr>
            <w:r>
              <w:rPr>
                <w:b/>
              </w:rPr>
              <w:t>Operating profit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337,720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385,213</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1,414,712</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1,312,333</w:t>
            </w:r>
          </w:p>
        </w:tc>
        <w:tc>
          <w:tcPr>
            <w:tcW w:w="110" w:type="dxa"/>
            <w:tcBorders/>
            <w:shd w:fill="FFFFFF" w:val="clear"/>
            <w:vAlign w:val="center"/>
          </w:tcPr>
          <w:p>
            <w:pPr>
              <w:pStyle w:val="TableContents"/>
              <w:bidi w:val="0"/>
              <w:spacing w:before="0" w:after="283"/>
              <w:ind w:left="0" w:right="0" w:hanging="180"/>
              <w:jc w:val="left"/>
              <w:rPr/>
            </w:pPr>
            <w:r>
              <w:rPr/>
              <w:t> </w:t>
            </w:r>
          </w:p>
        </w:tc>
      </w:tr>
      <w:tr>
        <w:trPr/>
        <w:tc>
          <w:tcPr>
            <w:tcW w:w="4145" w:type="dxa"/>
            <w:tcBorders/>
            <w:shd w:fill="CCEEFF" w:val="clear"/>
            <w:vAlign w:val="center"/>
          </w:tcPr>
          <w:p>
            <w:pPr>
              <w:pStyle w:val="TableContents"/>
              <w:bidi w:val="0"/>
              <w:spacing w:before="0" w:after="283"/>
              <w:jc w:val="left"/>
              <w:rPr/>
            </w:pPr>
            <w:r>
              <w:rPr/>
              <w:t>Offering costs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302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(50</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(11,667</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(15,113</w:t>
            </w:r>
          </w:p>
        </w:tc>
        <w:tc>
          <w:tcPr>
            <w:tcW w:w="110" w:type="dxa"/>
            <w:tcBorders/>
            <w:shd w:fill="CCEEFF" w:val="clear"/>
            <w:vAlign w:val="center"/>
          </w:tcPr>
          <w:p>
            <w:pPr>
              <w:pStyle w:val="TableContents"/>
              <w:bidi w:val="0"/>
              <w:spacing w:before="0" w:after="283"/>
              <w:ind w:left="0" w:right="0" w:hanging="180"/>
              <w:jc w:val="left"/>
              <w:rPr/>
            </w:pPr>
            <w:r>
              <w:rPr/>
              <w:t>)</w:t>
            </w:r>
          </w:p>
        </w:tc>
      </w:tr>
      <w:tr>
        <w:trPr/>
        <w:tc>
          <w:tcPr>
            <w:tcW w:w="4145" w:type="dxa"/>
            <w:tcBorders/>
            <w:shd w:fill="FFFFFF" w:val="clear"/>
            <w:vAlign w:val="center"/>
          </w:tcPr>
          <w:p>
            <w:pPr>
              <w:pStyle w:val="TableContents"/>
              <w:bidi w:val="0"/>
              <w:spacing w:before="0" w:after="283"/>
              <w:jc w:val="left"/>
              <w:rPr/>
            </w:pPr>
            <w:r>
              <w:rPr/>
              <w:t>Impairment of goodwill</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(43,600</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(43,600</w:t>
            </w:r>
          </w:p>
        </w:tc>
        <w:tc>
          <w:tcPr>
            <w:tcW w:w="110" w:type="dxa"/>
            <w:tcBorders/>
            <w:shd w:fill="FFFFFF" w:val="clear"/>
            <w:vAlign w:val="center"/>
          </w:tcPr>
          <w:p>
            <w:pPr>
              <w:pStyle w:val="TableContents"/>
              <w:bidi w:val="0"/>
              <w:spacing w:before="0" w:after="283"/>
              <w:ind w:left="0" w:right="0" w:hanging="180"/>
              <w:jc w:val="left"/>
              <w:rPr/>
            </w:pPr>
            <w:r>
              <w:rPr/>
              <w:t>)</w:t>
            </w:r>
          </w:p>
        </w:tc>
      </w:tr>
      <w:tr>
        <w:trPr/>
        <w:tc>
          <w:tcPr>
            <w:tcW w:w="4145" w:type="dxa"/>
            <w:tcBorders/>
            <w:shd w:fill="CCEEFF" w:val="clear"/>
            <w:vAlign w:val="center"/>
          </w:tcPr>
          <w:p>
            <w:pPr>
              <w:pStyle w:val="TableContents"/>
              <w:bidi w:val="0"/>
              <w:spacing w:before="0" w:after="283"/>
              <w:jc w:val="left"/>
              <w:rPr/>
            </w:pPr>
            <w:r>
              <w:rPr/>
              <w:t>Finance income</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7,617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10,422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34,476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44,167</w:t>
            </w:r>
          </w:p>
        </w:tc>
        <w:tc>
          <w:tcPr>
            <w:tcW w:w="110" w:type="dxa"/>
            <w:tcBorders/>
            <w:shd w:fill="CCEEFF" w:val="clear"/>
            <w:vAlign w:val="center"/>
          </w:tcPr>
          <w:p>
            <w:pPr>
              <w:pStyle w:val="TableContents"/>
              <w:bidi w:val="0"/>
              <w:spacing w:before="0" w:after="283"/>
              <w:ind w:left="0" w:right="0" w:hanging="180"/>
              <w:jc w:val="left"/>
              <w:rPr/>
            </w:pPr>
            <w:r>
              <w:rPr/>
              <w:t> </w:t>
            </w:r>
          </w:p>
        </w:tc>
      </w:tr>
      <w:tr>
        <w:trPr/>
        <w:tc>
          <w:tcPr>
            <w:tcW w:w="4145" w:type="dxa"/>
            <w:tcBorders/>
            <w:shd w:fill="FFFFFF" w:val="clear"/>
            <w:vAlign w:val="center"/>
          </w:tcPr>
          <w:p>
            <w:pPr>
              <w:pStyle w:val="TableContents"/>
              <w:bidi w:val="0"/>
              <w:spacing w:before="0" w:after="283"/>
              <w:jc w:val="left"/>
              <w:rPr/>
            </w:pPr>
            <w:r>
              <w:rPr/>
              <w:t>Finance costs</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980" w:type="dxa"/>
            <w:tcBorders>
              <w:bottom w:val="single" w:sz="12" w:space="0" w:color="000000"/>
            </w:tcBorders>
            <w:shd w:fill="FFFFFF" w:val="clear"/>
            <w:tcMar>
              <w:bottom w:w="28" w:type="dxa"/>
            </w:tcMar>
            <w:vAlign w:val="center"/>
          </w:tcPr>
          <w:p>
            <w:pPr>
              <w:pStyle w:val="TableContents"/>
              <w:bidi w:val="0"/>
              <w:spacing w:before="0" w:after="283"/>
              <w:jc w:val="right"/>
              <w:rPr/>
            </w:pPr>
            <w:r>
              <w:rPr/>
              <w:t>(25,085</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980" w:type="dxa"/>
            <w:tcBorders>
              <w:bottom w:val="single" w:sz="12" w:space="0" w:color="000000"/>
            </w:tcBorders>
            <w:shd w:fill="FFFFFF" w:val="clear"/>
            <w:tcMar>
              <w:bottom w:w="28" w:type="dxa"/>
            </w:tcMar>
            <w:vAlign w:val="center"/>
          </w:tcPr>
          <w:p>
            <w:pPr>
              <w:pStyle w:val="TableContents"/>
              <w:bidi w:val="0"/>
              <w:spacing w:before="0" w:after="283"/>
              <w:jc w:val="right"/>
              <w:rPr/>
            </w:pPr>
            <w:r>
              <w:rPr/>
              <w:t>(16,622</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055" w:type="dxa"/>
            <w:tcBorders>
              <w:bottom w:val="single" w:sz="12" w:space="0" w:color="000000"/>
            </w:tcBorders>
            <w:shd w:fill="FFFFFF" w:val="clear"/>
            <w:tcMar>
              <w:bottom w:w="28" w:type="dxa"/>
            </w:tcMar>
            <w:vAlign w:val="center"/>
          </w:tcPr>
          <w:p>
            <w:pPr>
              <w:pStyle w:val="TableContents"/>
              <w:bidi w:val="0"/>
              <w:spacing w:before="0" w:after="283"/>
              <w:jc w:val="right"/>
              <w:rPr/>
            </w:pPr>
            <w:r>
              <w:rPr/>
              <w:t>(77,874</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055" w:type="dxa"/>
            <w:tcBorders>
              <w:bottom w:val="single" w:sz="12" w:space="0" w:color="000000"/>
            </w:tcBorders>
            <w:shd w:fill="FFFFFF" w:val="clear"/>
            <w:tcMar>
              <w:bottom w:w="28" w:type="dxa"/>
            </w:tcMar>
            <w:vAlign w:val="center"/>
          </w:tcPr>
          <w:p>
            <w:pPr>
              <w:pStyle w:val="TableContents"/>
              <w:bidi w:val="0"/>
              <w:spacing w:before="0" w:after="283"/>
              <w:jc w:val="right"/>
              <w:rPr/>
            </w:pPr>
            <w:r>
              <w:rPr/>
              <w:t>(50,866</w:t>
            </w:r>
          </w:p>
        </w:tc>
        <w:tc>
          <w:tcPr>
            <w:tcW w:w="110" w:type="dxa"/>
            <w:tcBorders/>
            <w:shd w:fill="FFFFFF" w:val="clear"/>
            <w:vAlign w:val="center"/>
          </w:tcPr>
          <w:p>
            <w:pPr>
              <w:pStyle w:val="TableContents"/>
              <w:bidi w:val="0"/>
              <w:spacing w:before="0" w:after="283"/>
              <w:ind w:left="0" w:right="0" w:hanging="180"/>
              <w:jc w:val="left"/>
              <w:rPr/>
            </w:pPr>
            <w:r>
              <w:rPr/>
              <w:t>)</w:t>
            </w:r>
          </w:p>
        </w:tc>
      </w:tr>
      <w:tr>
        <w:trPr/>
        <w:tc>
          <w:tcPr>
            <w:tcW w:w="4145" w:type="dxa"/>
            <w:tcBorders/>
            <w:shd w:fill="CCEEFF" w:val="clear"/>
            <w:vAlign w:val="center"/>
          </w:tcPr>
          <w:p>
            <w:pPr>
              <w:pStyle w:val="TableContents"/>
              <w:bidi w:val="0"/>
              <w:spacing w:before="0" w:after="283"/>
              <w:jc w:val="left"/>
              <w:rPr>
                <w:b/>
              </w:rPr>
            </w:pPr>
            <w:r>
              <w:rPr>
                <w:b/>
              </w:rPr>
              <w:t>Profit before taxation</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320,554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335,363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1,359,647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1,246,921</w:t>
            </w:r>
          </w:p>
        </w:tc>
        <w:tc>
          <w:tcPr>
            <w:tcW w:w="110" w:type="dxa"/>
            <w:tcBorders/>
            <w:shd w:fill="CCEEFF" w:val="clear"/>
            <w:vAlign w:val="center"/>
          </w:tcPr>
          <w:p>
            <w:pPr>
              <w:pStyle w:val="TableContents"/>
              <w:bidi w:val="0"/>
              <w:spacing w:before="0" w:after="283"/>
              <w:ind w:left="0" w:right="0" w:hanging="180"/>
              <w:jc w:val="left"/>
              <w:rPr/>
            </w:pPr>
            <w:r>
              <w:rPr/>
              <w:t> </w:t>
            </w:r>
          </w:p>
        </w:tc>
      </w:tr>
      <w:tr>
        <w:trPr/>
        <w:tc>
          <w:tcPr>
            <w:tcW w:w="4145" w:type="dxa"/>
            <w:tcBorders/>
            <w:shd w:fill="FFFFFF" w:val="clear"/>
            <w:vAlign w:val="center"/>
          </w:tcPr>
          <w:p>
            <w:pPr>
              <w:pStyle w:val="TableContents"/>
              <w:bidi w:val="0"/>
              <w:spacing w:before="0" w:after="283"/>
              <w:jc w:val="left"/>
              <w:rPr/>
            </w:pPr>
            <w:r>
              <w:rPr/>
              <w:t>Taxation</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980" w:type="dxa"/>
            <w:tcBorders>
              <w:bottom w:val="single" w:sz="12" w:space="0" w:color="000000"/>
            </w:tcBorders>
            <w:shd w:fill="FFFFFF" w:val="clear"/>
            <w:tcMar>
              <w:bottom w:w="28" w:type="dxa"/>
            </w:tcMar>
            <w:vAlign w:val="center"/>
          </w:tcPr>
          <w:p>
            <w:pPr>
              <w:pStyle w:val="TableContents"/>
              <w:bidi w:val="0"/>
              <w:spacing w:before="0" w:after="283"/>
              <w:jc w:val="right"/>
              <w:rPr/>
            </w:pPr>
            <w:r>
              <w:rPr/>
              <w:t>(95,371</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980" w:type="dxa"/>
            <w:tcBorders>
              <w:bottom w:val="single" w:sz="12" w:space="0" w:color="000000"/>
            </w:tcBorders>
            <w:shd w:fill="FFFFFF" w:val="clear"/>
            <w:tcMar>
              <w:bottom w:w="28" w:type="dxa"/>
            </w:tcMar>
            <w:vAlign w:val="center"/>
          </w:tcPr>
          <w:p>
            <w:pPr>
              <w:pStyle w:val="TableContents"/>
              <w:bidi w:val="0"/>
              <w:spacing w:before="0" w:after="283"/>
              <w:jc w:val="right"/>
              <w:rPr/>
            </w:pPr>
            <w:r>
              <w:rPr/>
              <w:t>(80,027</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055" w:type="dxa"/>
            <w:tcBorders>
              <w:bottom w:val="single" w:sz="12" w:space="0" w:color="000000"/>
            </w:tcBorders>
            <w:shd w:fill="FFFFFF" w:val="clear"/>
            <w:tcMar>
              <w:bottom w:w="28" w:type="dxa"/>
            </w:tcMar>
            <w:vAlign w:val="center"/>
          </w:tcPr>
          <w:p>
            <w:pPr>
              <w:pStyle w:val="TableContents"/>
              <w:bidi w:val="0"/>
              <w:spacing w:before="0" w:after="283"/>
              <w:jc w:val="right"/>
              <w:rPr/>
            </w:pPr>
            <w:r>
              <w:rPr/>
              <w:t>(348,535</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055" w:type="dxa"/>
            <w:tcBorders>
              <w:bottom w:val="single" w:sz="12" w:space="0" w:color="000000"/>
            </w:tcBorders>
            <w:shd w:fill="FFFFFF" w:val="clear"/>
            <w:tcMar>
              <w:bottom w:w="28" w:type="dxa"/>
            </w:tcMar>
            <w:vAlign w:val="center"/>
          </w:tcPr>
          <w:p>
            <w:pPr>
              <w:pStyle w:val="TableContents"/>
              <w:bidi w:val="0"/>
              <w:spacing w:before="0" w:after="283"/>
              <w:jc w:val="right"/>
              <w:rPr/>
            </w:pPr>
            <w:r>
              <w:rPr/>
              <w:t>(309,811</w:t>
            </w:r>
          </w:p>
        </w:tc>
        <w:tc>
          <w:tcPr>
            <w:tcW w:w="110" w:type="dxa"/>
            <w:tcBorders/>
            <w:shd w:fill="FFFFFF" w:val="clear"/>
            <w:vAlign w:val="center"/>
          </w:tcPr>
          <w:p>
            <w:pPr>
              <w:pStyle w:val="TableContents"/>
              <w:bidi w:val="0"/>
              <w:spacing w:before="0" w:after="283"/>
              <w:ind w:left="0" w:right="0" w:hanging="180"/>
              <w:jc w:val="left"/>
              <w:rPr/>
            </w:pPr>
            <w:r>
              <w:rPr/>
              <w:t>)</w:t>
            </w:r>
          </w:p>
        </w:tc>
      </w:tr>
      <w:tr>
        <w:trPr/>
        <w:tc>
          <w:tcPr>
            <w:tcW w:w="4145" w:type="dxa"/>
            <w:tcBorders/>
            <w:shd w:fill="CCEEFF" w:val="clear"/>
            <w:vAlign w:val="center"/>
          </w:tcPr>
          <w:p>
            <w:pPr>
              <w:pStyle w:val="TableContents"/>
              <w:bidi w:val="0"/>
              <w:spacing w:before="0" w:after="283"/>
              <w:jc w:val="left"/>
              <w:rPr>
                <w:b/>
              </w:rPr>
            </w:pPr>
            <w:r>
              <w:rPr>
                <w:b/>
              </w:rPr>
              <w:t>Profit for the period</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double" w:sz="10" w:space="0" w:color="000000"/>
            </w:tcBorders>
            <w:shd w:fill="CCEEFF" w:val="clear"/>
            <w:tcMar>
              <w:bottom w:w="28" w:type="dxa"/>
            </w:tcMar>
            <w:vAlign w:val="center"/>
          </w:tcPr>
          <w:p>
            <w:pPr>
              <w:pStyle w:val="TableContents"/>
              <w:bidi w:val="0"/>
              <w:spacing w:before="0" w:after="283"/>
              <w:jc w:val="right"/>
              <w:rPr/>
            </w:pPr>
            <w:r>
              <w:rPr/>
              <w:t>225,183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double" w:sz="10" w:space="0" w:color="000000"/>
            </w:tcBorders>
            <w:shd w:fill="CCEEFF" w:val="clear"/>
            <w:tcMar>
              <w:bottom w:w="28" w:type="dxa"/>
            </w:tcMar>
            <w:vAlign w:val="center"/>
          </w:tcPr>
          <w:p>
            <w:pPr>
              <w:pStyle w:val="TableContents"/>
              <w:bidi w:val="0"/>
              <w:spacing w:before="0" w:after="283"/>
              <w:jc w:val="right"/>
              <w:rPr/>
            </w:pPr>
            <w:r>
              <w:rPr/>
              <w:t>255,336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1055" w:type="dxa"/>
            <w:tcBorders>
              <w:bottom w:val="double" w:sz="10" w:space="0" w:color="000000"/>
            </w:tcBorders>
            <w:shd w:fill="CCEEFF" w:val="clear"/>
            <w:tcMar>
              <w:bottom w:w="28" w:type="dxa"/>
            </w:tcMar>
            <w:vAlign w:val="center"/>
          </w:tcPr>
          <w:p>
            <w:pPr>
              <w:pStyle w:val="TableContents"/>
              <w:bidi w:val="0"/>
              <w:spacing w:before="0" w:after="283"/>
              <w:jc w:val="right"/>
              <w:rPr/>
            </w:pPr>
            <w:r>
              <w:rPr/>
              <w:t>1,011,112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1055" w:type="dxa"/>
            <w:tcBorders>
              <w:bottom w:val="double" w:sz="10" w:space="0" w:color="000000"/>
            </w:tcBorders>
            <w:shd w:fill="CCEEFF" w:val="clear"/>
            <w:tcMar>
              <w:bottom w:w="28" w:type="dxa"/>
            </w:tcMar>
            <w:vAlign w:val="center"/>
          </w:tcPr>
          <w:p>
            <w:pPr>
              <w:pStyle w:val="TableContents"/>
              <w:bidi w:val="0"/>
              <w:spacing w:before="0" w:after="283"/>
              <w:jc w:val="right"/>
              <w:rPr/>
            </w:pPr>
            <w:r>
              <w:rPr/>
              <w:t>937,110</w:t>
            </w:r>
          </w:p>
        </w:tc>
        <w:tc>
          <w:tcPr>
            <w:tcW w:w="110" w:type="dxa"/>
            <w:tcBorders/>
            <w:shd w:fill="CCEEFF" w:val="clear"/>
            <w:vAlign w:val="center"/>
          </w:tcPr>
          <w:p>
            <w:pPr>
              <w:pStyle w:val="TableContents"/>
              <w:bidi w:val="0"/>
              <w:spacing w:before="0" w:after="283"/>
              <w:ind w:left="0" w:right="0" w:hanging="180"/>
              <w:jc w:val="left"/>
              <w:rPr/>
            </w:pPr>
            <w:r>
              <w:rPr/>
              <w:t> </w:t>
            </w:r>
          </w:p>
        </w:tc>
      </w:tr>
      <w:tr>
        <w:trPr/>
        <w:tc>
          <w:tcPr>
            <w:tcW w:w="414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ind w:left="0" w:right="0" w:hanging="180"/>
              <w:jc w:val="left"/>
              <w:rPr/>
            </w:pPr>
            <w:r>
              <w:rPr/>
              <w:t> </w:t>
            </w:r>
          </w:p>
        </w:tc>
      </w:tr>
      <w:tr>
        <w:trPr/>
        <w:tc>
          <w:tcPr>
            <w:tcW w:w="4145" w:type="dxa"/>
            <w:tcBorders/>
            <w:shd w:fill="CCEEFF" w:val="clear"/>
            <w:vAlign w:val="center"/>
          </w:tcPr>
          <w:p>
            <w:pPr>
              <w:pStyle w:val="TableContents"/>
              <w:bidi w:val="0"/>
              <w:spacing w:before="0" w:after="283"/>
              <w:jc w:val="left"/>
              <w:rPr>
                <w:b/>
              </w:rPr>
            </w:pPr>
            <w:r>
              <w:rPr>
                <w:b/>
              </w:rPr>
              <w:t>Profit attributable to:</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ind w:left="0" w:right="0" w:hanging="180"/>
              <w:jc w:val="left"/>
              <w:rPr/>
            </w:pPr>
            <w:r>
              <w:rPr/>
              <w:t> </w:t>
            </w:r>
          </w:p>
        </w:tc>
      </w:tr>
      <w:tr>
        <w:trPr/>
        <w:tc>
          <w:tcPr>
            <w:tcW w:w="4145" w:type="dxa"/>
            <w:tcBorders/>
            <w:shd w:fill="FFFFFF" w:val="clear"/>
            <w:vAlign w:val="center"/>
          </w:tcPr>
          <w:p>
            <w:pPr>
              <w:pStyle w:val="TableContents"/>
              <w:bidi w:val="0"/>
              <w:spacing w:before="0" w:after="283"/>
              <w:jc w:val="left"/>
              <w:rPr/>
            </w:pPr>
            <w:r>
              <w:rPr/>
              <w:t>Owners of the parent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222,140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250,640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993,920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921,031</w:t>
            </w:r>
          </w:p>
        </w:tc>
        <w:tc>
          <w:tcPr>
            <w:tcW w:w="110" w:type="dxa"/>
            <w:tcBorders/>
            <w:shd w:fill="FFFFFF" w:val="clear"/>
            <w:vAlign w:val="center"/>
          </w:tcPr>
          <w:p>
            <w:pPr>
              <w:pStyle w:val="TableContents"/>
              <w:bidi w:val="0"/>
              <w:spacing w:before="0" w:after="283"/>
              <w:ind w:left="0" w:right="0" w:hanging="180"/>
              <w:jc w:val="left"/>
              <w:rPr/>
            </w:pPr>
            <w:r>
              <w:rPr/>
              <w:t> </w:t>
            </w:r>
          </w:p>
        </w:tc>
      </w:tr>
      <w:tr>
        <w:trPr/>
        <w:tc>
          <w:tcPr>
            <w:tcW w:w="4145" w:type="dxa"/>
            <w:tcBorders/>
            <w:shd w:fill="CCEEFF" w:val="clear"/>
            <w:vAlign w:val="center"/>
          </w:tcPr>
          <w:p>
            <w:pPr>
              <w:pStyle w:val="TableContents"/>
              <w:bidi w:val="0"/>
              <w:spacing w:before="0" w:after="283"/>
              <w:jc w:val="left"/>
              <w:rPr/>
            </w:pPr>
            <w:r>
              <w:rPr/>
              <w:t>Non-controlling interest</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single" w:sz="12" w:space="0" w:color="000000"/>
            </w:tcBorders>
            <w:shd w:fill="CCEEFF" w:val="clear"/>
            <w:tcMar>
              <w:bottom w:w="28" w:type="dxa"/>
            </w:tcMar>
            <w:vAlign w:val="center"/>
          </w:tcPr>
          <w:p>
            <w:pPr>
              <w:pStyle w:val="TableContents"/>
              <w:bidi w:val="0"/>
              <w:spacing w:before="0" w:after="283"/>
              <w:jc w:val="right"/>
              <w:rPr/>
            </w:pPr>
            <w:r>
              <w:rPr/>
              <w:t>3,043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single" w:sz="12" w:space="0" w:color="000000"/>
            </w:tcBorders>
            <w:shd w:fill="CCEEFF" w:val="clear"/>
            <w:tcMar>
              <w:bottom w:w="28" w:type="dxa"/>
            </w:tcMar>
            <w:vAlign w:val="center"/>
          </w:tcPr>
          <w:p>
            <w:pPr>
              <w:pStyle w:val="TableContents"/>
              <w:bidi w:val="0"/>
              <w:spacing w:before="0" w:after="283"/>
              <w:jc w:val="right"/>
              <w:rPr/>
            </w:pPr>
            <w:r>
              <w:rPr/>
              <w:t>4,696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55" w:type="dxa"/>
            <w:tcBorders>
              <w:bottom w:val="single" w:sz="12" w:space="0" w:color="000000"/>
            </w:tcBorders>
            <w:shd w:fill="CCEEFF" w:val="clear"/>
            <w:tcMar>
              <w:bottom w:w="28" w:type="dxa"/>
            </w:tcMar>
            <w:vAlign w:val="center"/>
          </w:tcPr>
          <w:p>
            <w:pPr>
              <w:pStyle w:val="TableContents"/>
              <w:bidi w:val="0"/>
              <w:spacing w:before="0" w:after="283"/>
              <w:jc w:val="right"/>
              <w:rPr/>
            </w:pPr>
            <w:r>
              <w:rPr/>
              <w:t>17,192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55" w:type="dxa"/>
            <w:tcBorders>
              <w:bottom w:val="single" w:sz="12" w:space="0" w:color="000000"/>
            </w:tcBorders>
            <w:shd w:fill="CCEEFF" w:val="clear"/>
            <w:tcMar>
              <w:bottom w:w="28" w:type="dxa"/>
            </w:tcMar>
            <w:vAlign w:val="center"/>
          </w:tcPr>
          <w:p>
            <w:pPr>
              <w:pStyle w:val="TableContents"/>
              <w:bidi w:val="0"/>
              <w:spacing w:before="0" w:after="283"/>
              <w:jc w:val="right"/>
              <w:rPr/>
            </w:pPr>
            <w:r>
              <w:rPr/>
              <w:t>16,079</w:t>
            </w:r>
          </w:p>
        </w:tc>
        <w:tc>
          <w:tcPr>
            <w:tcW w:w="110" w:type="dxa"/>
            <w:tcBorders/>
            <w:shd w:fill="CCEEFF" w:val="clear"/>
            <w:vAlign w:val="center"/>
          </w:tcPr>
          <w:p>
            <w:pPr>
              <w:pStyle w:val="TableContents"/>
              <w:bidi w:val="0"/>
              <w:spacing w:before="0" w:after="283"/>
              <w:ind w:left="0" w:right="0" w:hanging="180"/>
              <w:jc w:val="left"/>
              <w:rPr/>
            </w:pPr>
            <w:r>
              <w:rPr/>
              <w:t> </w:t>
            </w:r>
          </w:p>
        </w:tc>
      </w:tr>
      <w:tr>
        <w:trPr/>
        <w:tc>
          <w:tcPr>
            <w:tcW w:w="414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10" w:space="0" w:color="000000"/>
            </w:tcBorders>
            <w:shd w:fill="FFFFFF" w:val="clear"/>
            <w:tcMar>
              <w:bottom w:w="28" w:type="dxa"/>
            </w:tcMar>
            <w:vAlign w:val="center"/>
          </w:tcPr>
          <w:p>
            <w:pPr>
              <w:pStyle w:val="TableContents"/>
              <w:bidi w:val="0"/>
              <w:spacing w:before="0" w:after="283"/>
              <w:jc w:val="left"/>
              <w:rPr/>
            </w:pPr>
            <w:r>
              <w:rPr/>
              <w:t> </w:t>
            </w:r>
          </w:p>
        </w:tc>
        <w:tc>
          <w:tcPr>
            <w:tcW w:w="980" w:type="dxa"/>
            <w:tcBorders>
              <w:bottom w:val="double" w:sz="10" w:space="0" w:color="000000"/>
            </w:tcBorders>
            <w:shd w:fill="FFFFFF" w:val="clear"/>
            <w:tcMar>
              <w:bottom w:w="28" w:type="dxa"/>
            </w:tcMar>
            <w:vAlign w:val="center"/>
          </w:tcPr>
          <w:p>
            <w:pPr>
              <w:pStyle w:val="TableContents"/>
              <w:bidi w:val="0"/>
              <w:spacing w:before="0" w:after="283"/>
              <w:jc w:val="right"/>
              <w:rPr/>
            </w:pPr>
            <w:r>
              <w:rPr/>
              <w:t>225,183</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10" w:space="0" w:color="000000"/>
            </w:tcBorders>
            <w:shd w:fill="FFFFFF" w:val="clear"/>
            <w:tcMar>
              <w:bottom w:w="28" w:type="dxa"/>
            </w:tcMar>
            <w:vAlign w:val="center"/>
          </w:tcPr>
          <w:p>
            <w:pPr>
              <w:pStyle w:val="TableContents"/>
              <w:bidi w:val="0"/>
              <w:spacing w:before="0" w:after="283"/>
              <w:jc w:val="left"/>
              <w:rPr/>
            </w:pPr>
            <w:r>
              <w:rPr/>
              <w:t> </w:t>
            </w:r>
          </w:p>
        </w:tc>
        <w:tc>
          <w:tcPr>
            <w:tcW w:w="980" w:type="dxa"/>
            <w:tcBorders>
              <w:bottom w:val="double" w:sz="10" w:space="0" w:color="000000"/>
            </w:tcBorders>
            <w:shd w:fill="FFFFFF" w:val="clear"/>
            <w:tcMar>
              <w:bottom w:w="28" w:type="dxa"/>
            </w:tcMar>
            <w:vAlign w:val="center"/>
          </w:tcPr>
          <w:p>
            <w:pPr>
              <w:pStyle w:val="TableContents"/>
              <w:bidi w:val="0"/>
              <w:spacing w:before="0" w:after="283"/>
              <w:jc w:val="right"/>
              <w:rPr/>
            </w:pPr>
            <w:r>
              <w:rPr/>
              <w:t>255,336</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10" w:space="0" w:color="000000"/>
            </w:tcBorders>
            <w:shd w:fill="FFFFFF" w:val="clear"/>
            <w:tcMar>
              <w:bottom w:w="28" w:type="dxa"/>
            </w:tcMar>
            <w:vAlign w:val="center"/>
          </w:tcPr>
          <w:p>
            <w:pPr>
              <w:pStyle w:val="TableContents"/>
              <w:bidi w:val="0"/>
              <w:spacing w:before="0" w:after="283"/>
              <w:jc w:val="left"/>
              <w:rPr/>
            </w:pPr>
            <w:r>
              <w:rPr/>
              <w:t> </w:t>
            </w:r>
          </w:p>
        </w:tc>
        <w:tc>
          <w:tcPr>
            <w:tcW w:w="1055" w:type="dxa"/>
            <w:tcBorders>
              <w:bottom w:val="double" w:sz="10" w:space="0" w:color="000000"/>
            </w:tcBorders>
            <w:shd w:fill="FFFFFF" w:val="clear"/>
            <w:tcMar>
              <w:bottom w:w="28" w:type="dxa"/>
            </w:tcMar>
            <w:vAlign w:val="center"/>
          </w:tcPr>
          <w:p>
            <w:pPr>
              <w:pStyle w:val="TableContents"/>
              <w:bidi w:val="0"/>
              <w:spacing w:before="0" w:after="283"/>
              <w:jc w:val="right"/>
              <w:rPr/>
            </w:pPr>
            <w:r>
              <w:rPr/>
              <w:t>1,011,112</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10" w:space="0" w:color="000000"/>
            </w:tcBorders>
            <w:shd w:fill="FFFFFF" w:val="clear"/>
            <w:tcMar>
              <w:bottom w:w="28" w:type="dxa"/>
            </w:tcMar>
            <w:vAlign w:val="center"/>
          </w:tcPr>
          <w:p>
            <w:pPr>
              <w:pStyle w:val="TableContents"/>
              <w:bidi w:val="0"/>
              <w:spacing w:before="0" w:after="283"/>
              <w:jc w:val="left"/>
              <w:rPr/>
            </w:pPr>
            <w:r>
              <w:rPr/>
              <w:t> </w:t>
            </w:r>
          </w:p>
        </w:tc>
        <w:tc>
          <w:tcPr>
            <w:tcW w:w="1055" w:type="dxa"/>
            <w:tcBorders>
              <w:bottom w:val="double" w:sz="10" w:space="0" w:color="000000"/>
            </w:tcBorders>
            <w:shd w:fill="FFFFFF" w:val="clear"/>
            <w:tcMar>
              <w:bottom w:w="28" w:type="dxa"/>
            </w:tcMar>
            <w:vAlign w:val="center"/>
          </w:tcPr>
          <w:p>
            <w:pPr>
              <w:pStyle w:val="TableContents"/>
              <w:bidi w:val="0"/>
              <w:spacing w:before="0" w:after="283"/>
              <w:jc w:val="right"/>
              <w:rPr/>
            </w:pPr>
            <w:r>
              <w:rPr/>
              <w:t>937,110</w:t>
            </w:r>
          </w:p>
        </w:tc>
        <w:tc>
          <w:tcPr>
            <w:tcW w:w="110" w:type="dxa"/>
            <w:tcBorders/>
            <w:shd w:fill="FFFFFF" w:val="clear"/>
            <w:vAlign w:val="center"/>
          </w:tcPr>
          <w:p>
            <w:pPr>
              <w:pStyle w:val="TableContents"/>
              <w:bidi w:val="0"/>
              <w:spacing w:before="0" w:after="283"/>
              <w:ind w:left="0" w:right="0" w:hanging="180"/>
              <w:jc w:val="left"/>
              <w:rPr/>
            </w:pPr>
            <w:r>
              <w:rPr/>
              <w:t> </w:t>
            </w:r>
          </w:p>
        </w:tc>
      </w:tr>
      <w:tr>
        <w:trPr/>
        <w:tc>
          <w:tcPr>
            <w:tcW w:w="414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ind w:left="0" w:right="0" w:hanging="180"/>
              <w:jc w:val="left"/>
              <w:rPr/>
            </w:pPr>
            <w:r>
              <w:rPr/>
              <w:t> </w:t>
            </w:r>
          </w:p>
        </w:tc>
      </w:tr>
      <w:tr>
        <w:trPr/>
        <w:tc>
          <w:tcPr>
            <w:tcW w:w="4145" w:type="dxa"/>
            <w:tcBorders/>
            <w:shd w:fill="FFFFFF" w:val="clear"/>
            <w:vAlign w:val="center"/>
          </w:tcPr>
          <w:p>
            <w:pPr>
              <w:pStyle w:val="TableContents"/>
              <w:bidi w:val="0"/>
              <w:spacing w:before="0" w:after="283"/>
              <w:jc w:val="left"/>
              <w:rPr>
                <w:b/>
              </w:rPr>
            </w:pPr>
            <w:r>
              <w:rPr>
                <w:b/>
              </w:rPr>
              <w:t>Earnings per share</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ind w:left="0" w:right="0" w:hanging="180"/>
              <w:jc w:val="left"/>
              <w:rPr/>
            </w:pPr>
            <w:r>
              <w:rPr/>
              <w:t> </w:t>
            </w:r>
          </w:p>
        </w:tc>
      </w:tr>
      <w:tr>
        <w:trPr/>
        <w:tc>
          <w:tcPr>
            <w:tcW w:w="4145" w:type="dxa"/>
            <w:tcBorders/>
            <w:shd w:fill="CCEEFF" w:val="clear"/>
            <w:vAlign w:val="center"/>
          </w:tcPr>
          <w:p>
            <w:pPr>
              <w:pStyle w:val="TableContents"/>
              <w:bidi w:val="0"/>
              <w:spacing w:before="0" w:after="283"/>
              <w:jc w:val="left"/>
              <w:rPr/>
            </w:pPr>
            <w:r>
              <w:rPr/>
              <w:t>Basic and diluted earnings per share (ZAR)</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7.19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8.11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32.17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29.81</w:t>
            </w:r>
          </w:p>
        </w:tc>
        <w:tc>
          <w:tcPr>
            <w:tcW w:w="11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15</w:t>
      </w:r>
    </w:p>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KAROOOOO LTD.</w:t>
        <w:br/>
        <w:t>CONSOLIDATED STATEMENT OF FINANCIAL POSITION</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(UNAUDITED)</w:t>
      </w:r>
    </w:p>
    <w:p>
      <w:pPr>
        <w:pStyle w:val="TextBody"/>
        <w:bidi w:val="0"/>
        <w:spacing w:before="0" w:after="0"/>
        <w:ind w:left="0" w:right="0" w:hanging="0"/>
        <w:jc w:val="center"/>
        <w:rPr>
          <w:caps w:val="false"/>
          <w:smallCaps w:val="false"/>
        </w:rPr>
      </w:pPr>
      <w:r>
        <w:rPr>
          <w:caps w:val="false"/>
          <w:smallCaps w:val="false"/>
        </w:rPr>
        <w:t> </w:t>
      </w:r>
    </w:p>
    <w:tbl>
      <w:tblPr>
        <w:tblW w:w="7765" w:type="dxa"/>
        <w:jc w:val="left"/>
        <w:tblInd w:w="0" w:type="dxa"/>
        <w:tblLayout w:type="fixed"/>
        <w:tblCellMar>
          <w:top w:w="0" w:type="dxa"/>
          <w:left w:w="0" w:type="dxa"/>
          <w:bottom w:w="0" w:type="dxa"/>
          <w:right w:w="0" w:type="dxa"/>
        </w:tblCellMar>
      </w:tblPr>
      <w:tblGrid>
        <w:gridCol w:w="4730"/>
        <w:gridCol w:w="60"/>
        <w:gridCol w:w="72"/>
        <w:gridCol w:w="1283"/>
        <w:gridCol w:w="95"/>
        <w:gridCol w:w="60"/>
        <w:gridCol w:w="72"/>
        <w:gridCol w:w="1283"/>
        <w:gridCol w:w="110"/>
      </w:tblGrid>
      <w:tr>
        <w:trPr/>
        <w:tc>
          <w:tcPr>
            <w:tcW w:w="473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35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As of</w:t>
              <w:br/>
              <w:t>February 28,</w:t>
              <w:br/>
              <w:t>2026</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5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As of</w:t>
              <w:br/>
              <w:t>February 28,</w:t>
              <w:br/>
              <w:t>2025</w:t>
            </w:r>
          </w:p>
        </w:tc>
        <w:tc>
          <w:tcPr>
            <w:tcW w:w="110" w:type="dxa"/>
            <w:tcBorders/>
            <w:vAlign w:val="center"/>
          </w:tcPr>
          <w:p>
            <w:pPr>
              <w:pStyle w:val="TableContents"/>
              <w:bidi w:val="0"/>
              <w:spacing w:before="0" w:after="283"/>
              <w:jc w:val="left"/>
              <w:rPr/>
            </w:pPr>
            <w:r>
              <w:rPr/>
              <w:t> </w:t>
            </w:r>
          </w:p>
        </w:tc>
      </w:tr>
      <w:tr>
        <w:trPr/>
        <w:tc>
          <w:tcPr>
            <w:tcW w:w="473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2865" w:type="dxa"/>
            <w:gridSpan w:val="6"/>
            <w:tcBorders/>
            <w:vAlign w:val="center"/>
          </w:tcPr>
          <w:p>
            <w:pPr>
              <w:pStyle w:val="TableContents"/>
              <w:bidi w:val="0"/>
              <w:spacing w:before="0" w:after="283"/>
              <w:jc w:val="center"/>
              <w:rPr>
                <w:b/>
              </w:rPr>
            </w:pPr>
            <w:r>
              <w:rPr>
                <w:b/>
              </w:rPr>
              <w:t>(Rand Thousands)</w:t>
            </w:r>
          </w:p>
        </w:tc>
        <w:tc>
          <w:tcPr>
            <w:tcW w:w="110" w:type="dxa"/>
            <w:tcBorders/>
            <w:vAlign w:val="center"/>
          </w:tcPr>
          <w:p>
            <w:pPr>
              <w:pStyle w:val="TableContents"/>
              <w:bidi w:val="0"/>
              <w:spacing w:before="0" w:after="283"/>
              <w:jc w:val="left"/>
              <w:rPr/>
            </w:pPr>
            <w:r>
              <w:rPr/>
              <w:t> </w:t>
            </w:r>
          </w:p>
        </w:tc>
      </w:tr>
      <w:tr>
        <w:trPr/>
        <w:tc>
          <w:tcPr>
            <w:tcW w:w="4730" w:type="dxa"/>
            <w:tcBorders/>
            <w:vAlign w:val="center"/>
          </w:tcPr>
          <w:p>
            <w:pPr>
              <w:pStyle w:val="TableContents"/>
              <w:bidi w:val="0"/>
              <w:spacing w:before="0" w:after="283"/>
              <w:jc w:val="left"/>
              <w:rPr>
                <w:b/>
              </w:rPr>
            </w:pPr>
            <w:r>
              <w:rPr>
                <w:b/>
              </w:rPr>
              <w:t>ASSETS</w:t>
            </w:r>
          </w:p>
        </w:tc>
        <w:tc>
          <w:tcPr>
            <w:tcW w:w="60" w:type="dxa"/>
            <w:tcBorders/>
            <w:vAlign w:val="center"/>
          </w:tcPr>
          <w:p>
            <w:pPr>
              <w:pStyle w:val="TableContents"/>
              <w:bidi w:val="0"/>
              <w:spacing w:before="0" w:after="283"/>
              <w:jc w:val="left"/>
              <w:rPr/>
            </w:pPr>
            <w:r>
              <w:rPr/>
              <w:t> </w:t>
            </w:r>
          </w:p>
        </w:tc>
        <w:tc>
          <w:tcPr>
            <w:tcW w:w="1355" w:type="dxa"/>
            <w:gridSpan w:val="2"/>
            <w:tcBorders/>
            <w:vAlign w:val="center"/>
          </w:tcPr>
          <w:p>
            <w:pPr>
              <w:pStyle w:val="TableContents"/>
              <w:bidi w:val="0"/>
              <w:spacing w:before="0" w:after="283"/>
              <w:jc w:val="righ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55" w:type="dxa"/>
            <w:gridSpan w:val="2"/>
            <w:tcBorders/>
            <w:vAlign w:val="center"/>
          </w:tcPr>
          <w:p>
            <w:pPr>
              <w:pStyle w:val="TableContents"/>
              <w:bidi w:val="0"/>
              <w:spacing w:before="0" w:after="283"/>
              <w:jc w:val="right"/>
              <w:rPr/>
            </w:pPr>
            <w:r>
              <w:rPr/>
              <w:t> </w:t>
            </w:r>
          </w:p>
        </w:tc>
        <w:tc>
          <w:tcPr>
            <w:tcW w:w="110" w:type="dxa"/>
            <w:tcBorders/>
            <w:vAlign w:val="center"/>
          </w:tcPr>
          <w:p>
            <w:pPr>
              <w:pStyle w:val="TableContents"/>
              <w:bidi w:val="0"/>
              <w:spacing w:before="0" w:after="283"/>
              <w:jc w:val="left"/>
              <w:rPr/>
            </w:pPr>
            <w:r>
              <w:rPr/>
              <w:t> </w:t>
            </w:r>
          </w:p>
        </w:tc>
      </w:tr>
      <w:tr>
        <w:trPr/>
        <w:tc>
          <w:tcPr>
            <w:tcW w:w="4730" w:type="dxa"/>
            <w:tcBorders/>
            <w:vAlign w:val="center"/>
          </w:tcPr>
          <w:p>
            <w:pPr>
              <w:pStyle w:val="TableContents"/>
              <w:bidi w:val="0"/>
              <w:spacing w:before="0" w:after="283"/>
              <w:jc w:val="left"/>
              <w:rPr>
                <w:b/>
              </w:rPr>
            </w:pPr>
            <w:r>
              <w:rPr>
                <w:b/>
              </w:rPr>
              <w:t>Non-current assets</w:t>
            </w:r>
          </w:p>
        </w:tc>
        <w:tc>
          <w:tcPr>
            <w:tcW w:w="60" w:type="dxa"/>
            <w:tcBorders/>
            <w:vAlign w:val="center"/>
          </w:tcPr>
          <w:p>
            <w:pPr>
              <w:pStyle w:val="TableContents"/>
              <w:bidi w:val="0"/>
              <w:spacing w:before="0" w:after="283"/>
              <w:jc w:val="left"/>
              <w:rPr/>
            </w:pPr>
            <w:r>
              <w:rPr/>
              <w:t> </w:t>
            </w:r>
          </w:p>
        </w:tc>
        <w:tc>
          <w:tcPr>
            <w:tcW w:w="1355" w:type="dxa"/>
            <w:gridSpan w:val="2"/>
            <w:tcBorders/>
            <w:vAlign w:val="center"/>
          </w:tcPr>
          <w:p>
            <w:pPr>
              <w:pStyle w:val="TableContents"/>
              <w:bidi w:val="0"/>
              <w:spacing w:before="0" w:after="283"/>
              <w:jc w:val="righ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55" w:type="dxa"/>
            <w:gridSpan w:val="2"/>
            <w:tcBorders/>
            <w:vAlign w:val="center"/>
          </w:tcPr>
          <w:p>
            <w:pPr>
              <w:pStyle w:val="TableContents"/>
              <w:bidi w:val="0"/>
              <w:spacing w:before="0" w:after="283"/>
              <w:jc w:val="right"/>
              <w:rPr/>
            </w:pPr>
            <w:r>
              <w:rPr/>
              <w:t> </w:t>
            </w:r>
          </w:p>
        </w:tc>
        <w:tc>
          <w:tcPr>
            <w:tcW w:w="110" w:type="dxa"/>
            <w:tcBorders/>
            <w:vAlign w:val="center"/>
          </w:tcPr>
          <w:p>
            <w:pPr>
              <w:pStyle w:val="TableContents"/>
              <w:bidi w:val="0"/>
              <w:spacing w:before="0" w:after="283"/>
              <w:ind w:left="0" w:right="0" w:hanging="180"/>
              <w:jc w:val="left"/>
              <w:rPr/>
            </w:pPr>
            <w:r>
              <w:rPr/>
              <w:t> </w:t>
            </w:r>
          </w:p>
        </w:tc>
      </w:tr>
      <w:tr>
        <w:trPr/>
        <w:tc>
          <w:tcPr>
            <w:tcW w:w="473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Property, plant and equipment</w:t>
            </w:r>
            <w:r>
              <w:rPr>
                <w:rFonts w:ascii="Times New Roman;Times;Serif" w:hAnsi="Times New Roman;Times;Serif"/>
                <w:position w:val="7"/>
                <w:sz w:val="16"/>
                <w:sz w:val="20"/>
              </w:rPr>
              <w:t>1</w:t>
            </w:r>
          </w:p>
        </w:tc>
        <w:tc>
          <w:tcPr>
            <w:tcW w:w="60"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1283" w:type="dxa"/>
            <w:tcBorders/>
            <w:shd w:fill="CCEEFF" w:val="clear"/>
            <w:vAlign w:val="center"/>
          </w:tcPr>
          <w:p>
            <w:pPr>
              <w:pStyle w:val="TableContents"/>
              <w:bidi w:val="0"/>
              <w:spacing w:before="0" w:after="283"/>
              <w:jc w:val="right"/>
              <w:rPr/>
            </w:pPr>
            <w:r>
              <w:rPr/>
              <w:t>3,150,690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1283" w:type="dxa"/>
            <w:tcBorders/>
            <w:shd w:fill="CCEEFF" w:val="clear"/>
            <w:vAlign w:val="center"/>
          </w:tcPr>
          <w:p>
            <w:pPr>
              <w:pStyle w:val="TableContents"/>
              <w:bidi w:val="0"/>
              <w:spacing w:before="0" w:after="283"/>
              <w:jc w:val="right"/>
              <w:rPr/>
            </w:pPr>
            <w:r>
              <w:rPr/>
              <w:t>2,508,215</w:t>
            </w:r>
          </w:p>
        </w:tc>
        <w:tc>
          <w:tcPr>
            <w:tcW w:w="110" w:type="dxa"/>
            <w:tcBorders/>
            <w:shd w:fill="CCEEFF" w:val="clear"/>
            <w:vAlign w:val="center"/>
          </w:tcPr>
          <w:p>
            <w:pPr>
              <w:pStyle w:val="TableContents"/>
              <w:bidi w:val="0"/>
              <w:spacing w:before="0" w:after="283"/>
              <w:ind w:left="0" w:right="0" w:hanging="180"/>
              <w:jc w:val="left"/>
              <w:rPr/>
            </w:pPr>
            <w:r>
              <w:rPr/>
              <w:t> </w:t>
            </w:r>
          </w:p>
        </w:tc>
      </w:tr>
      <w:tr>
        <w:trPr/>
        <w:tc>
          <w:tcPr>
            <w:tcW w:w="4730" w:type="dxa"/>
            <w:tcBorders/>
            <w:shd w:fill="FFFFFF" w:val="clear"/>
            <w:vAlign w:val="center"/>
          </w:tcPr>
          <w:p>
            <w:pPr>
              <w:pStyle w:val="TableContents"/>
              <w:bidi w:val="0"/>
              <w:spacing w:before="0" w:after="283"/>
              <w:jc w:val="left"/>
              <w:rPr/>
            </w:pPr>
            <w:r>
              <w:rPr/>
              <w:t>Capitalized commission assets</w:t>
            </w:r>
          </w:p>
        </w:tc>
        <w:tc>
          <w:tcPr>
            <w:tcW w:w="60" w:type="dxa"/>
            <w:tcBorders/>
            <w:shd w:fill="FFFFFF" w:val="clear"/>
            <w:vAlign w:val="center"/>
          </w:tcPr>
          <w:p>
            <w:pPr>
              <w:pStyle w:val="TableContents"/>
              <w:bidi w:val="0"/>
              <w:spacing w:before="0" w:after="283"/>
              <w:jc w:val="left"/>
              <w:rPr/>
            </w:pPr>
            <w:r>
              <w:rPr/>
              <w:t> </w:t>
            </w:r>
          </w:p>
        </w:tc>
        <w:tc>
          <w:tcPr>
            <w:tcW w:w="72" w:type="dxa"/>
            <w:tcBorders/>
            <w:shd w:fill="FFFFFF" w:val="clear"/>
            <w:vAlign w:val="center"/>
          </w:tcPr>
          <w:p>
            <w:pPr>
              <w:pStyle w:val="TableContents"/>
              <w:bidi w:val="0"/>
              <w:spacing w:before="0" w:after="283"/>
              <w:jc w:val="left"/>
              <w:rPr/>
            </w:pPr>
            <w:r>
              <w:rPr/>
              <w:t> </w:t>
            </w:r>
          </w:p>
        </w:tc>
        <w:tc>
          <w:tcPr>
            <w:tcW w:w="1283" w:type="dxa"/>
            <w:tcBorders/>
            <w:shd w:fill="FFFFFF" w:val="clear"/>
            <w:vAlign w:val="center"/>
          </w:tcPr>
          <w:p>
            <w:pPr>
              <w:pStyle w:val="TableContents"/>
              <w:bidi w:val="0"/>
              <w:spacing w:before="0" w:after="283"/>
              <w:jc w:val="right"/>
              <w:rPr/>
            </w:pPr>
            <w:r>
              <w:rPr/>
              <w:t>470,406</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2" w:type="dxa"/>
            <w:tcBorders/>
            <w:shd w:fill="FFFFFF" w:val="clear"/>
            <w:vAlign w:val="center"/>
          </w:tcPr>
          <w:p>
            <w:pPr>
              <w:pStyle w:val="TableContents"/>
              <w:bidi w:val="0"/>
              <w:spacing w:before="0" w:after="283"/>
              <w:jc w:val="left"/>
              <w:rPr/>
            </w:pPr>
            <w:r>
              <w:rPr/>
              <w:t> </w:t>
            </w:r>
          </w:p>
        </w:tc>
        <w:tc>
          <w:tcPr>
            <w:tcW w:w="1283" w:type="dxa"/>
            <w:tcBorders/>
            <w:shd w:fill="FFFFFF" w:val="clear"/>
            <w:vAlign w:val="center"/>
          </w:tcPr>
          <w:p>
            <w:pPr>
              <w:pStyle w:val="TableContents"/>
              <w:bidi w:val="0"/>
              <w:spacing w:before="0" w:after="283"/>
              <w:jc w:val="right"/>
              <w:rPr/>
            </w:pPr>
            <w:r>
              <w:rPr/>
              <w:t>494,052</w:t>
            </w:r>
          </w:p>
        </w:tc>
        <w:tc>
          <w:tcPr>
            <w:tcW w:w="110" w:type="dxa"/>
            <w:tcBorders/>
            <w:shd w:fill="FFFFFF" w:val="clear"/>
            <w:vAlign w:val="center"/>
          </w:tcPr>
          <w:p>
            <w:pPr>
              <w:pStyle w:val="TableContents"/>
              <w:bidi w:val="0"/>
              <w:spacing w:before="0" w:after="283"/>
              <w:ind w:left="0" w:right="0" w:hanging="180"/>
              <w:jc w:val="left"/>
              <w:rPr/>
            </w:pPr>
            <w:r>
              <w:rPr/>
              <w:t> </w:t>
            </w:r>
          </w:p>
        </w:tc>
      </w:tr>
      <w:tr>
        <w:trPr/>
        <w:tc>
          <w:tcPr>
            <w:tcW w:w="4730" w:type="dxa"/>
            <w:tcBorders/>
            <w:shd w:fill="CCEEFF" w:val="clear"/>
            <w:vAlign w:val="center"/>
          </w:tcPr>
          <w:p>
            <w:pPr>
              <w:pStyle w:val="TableContents"/>
              <w:bidi w:val="0"/>
              <w:spacing w:before="0" w:after="283"/>
              <w:jc w:val="left"/>
              <w:rPr/>
            </w:pPr>
            <w:r>
              <w:rPr/>
              <w:t>Intangible assets</w:t>
            </w:r>
          </w:p>
        </w:tc>
        <w:tc>
          <w:tcPr>
            <w:tcW w:w="60"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1283" w:type="dxa"/>
            <w:tcBorders/>
            <w:shd w:fill="CCEEFF" w:val="clear"/>
            <w:vAlign w:val="center"/>
          </w:tcPr>
          <w:p>
            <w:pPr>
              <w:pStyle w:val="TableContents"/>
              <w:bidi w:val="0"/>
              <w:spacing w:before="0" w:after="283"/>
              <w:jc w:val="right"/>
              <w:rPr/>
            </w:pPr>
            <w:r>
              <w:rPr/>
              <w:t>81,720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1283" w:type="dxa"/>
            <w:tcBorders/>
            <w:shd w:fill="CCEEFF" w:val="clear"/>
            <w:vAlign w:val="center"/>
          </w:tcPr>
          <w:p>
            <w:pPr>
              <w:pStyle w:val="TableContents"/>
              <w:bidi w:val="0"/>
              <w:spacing w:before="0" w:after="283"/>
              <w:jc w:val="right"/>
              <w:rPr/>
            </w:pPr>
            <w:r>
              <w:rPr/>
              <w:t>83,053</w:t>
            </w:r>
          </w:p>
        </w:tc>
        <w:tc>
          <w:tcPr>
            <w:tcW w:w="110" w:type="dxa"/>
            <w:tcBorders/>
            <w:shd w:fill="CCEEFF" w:val="clear"/>
            <w:vAlign w:val="center"/>
          </w:tcPr>
          <w:p>
            <w:pPr>
              <w:pStyle w:val="TableContents"/>
              <w:bidi w:val="0"/>
              <w:spacing w:before="0" w:after="283"/>
              <w:ind w:left="0" w:right="0" w:hanging="180"/>
              <w:jc w:val="left"/>
              <w:rPr/>
            </w:pPr>
            <w:r>
              <w:rPr/>
              <w:t> </w:t>
            </w:r>
          </w:p>
        </w:tc>
      </w:tr>
      <w:tr>
        <w:trPr/>
        <w:tc>
          <w:tcPr>
            <w:tcW w:w="473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Goodwill</w:t>
            </w:r>
            <w:r>
              <w:rPr>
                <w:rFonts w:ascii="Times New Roman;Times;Serif" w:hAnsi="Times New Roman;Times;Serif"/>
                <w:position w:val="7"/>
                <w:sz w:val="16"/>
                <w:sz w:val="20"/>
              </w:rPr>
              <w:t>2</w:t>
            </w:r>
          </w:p>
        </w:tc>
        <w:tc>
          <w:tcPr>
            <w:tcW w:w="60" w:type="dxa"/>
            <w:tcBorders/>
            <w:shd w:fill="FFFFFF" w:val="clear"/>
            <w:vAlign w:val="center"/>
          </w:tcPr>
          <w:p>
            <w:pPr>
              <w:pStyle w:val="TableContents"/>
              <w:bidi w:val="0"/>
              <w:spacing w:before="0" w:after="283"/>
              <w:jc w:val="left"/>
              <w:rPr/>
            </w:pPr>
            <w:r>
              <w:rPr/>
              <w:t> </w:t>
            </w:r>
          </w:p>
        </w:tc>
        <w:tc>
          <w:tcPr>
            <w:tcW w:w="72" w:type="dxa"/>
            <w:tcBorders/>
            <w:shd w:fill="FFFFFF" w:val="clear"/>
            <w:vAlign w:val="center"/>
          </w:tcPr>
          <w:p>
            <w:pPr>
              <w:pStyle w:val="TableContents"/>
              <w:bidi w:val="0"/>
              <w:spacing w:before="0" w:after="283"/>
              <w:jc w:val="left"/>
              <w:rPr/>
            </w:pPr>
            <w:r>
              <w:rPr/>
              <w:t> </w:t>
            </w:r>
          </w:p>
        </w:tc>
        <w:tc>
          <w:tcPr>
            <w:tcW w:w="1283" w:type="dxa"/>
            <w:tcBorders/>
            <w:shd w:fill="FFFFFF" w:val="clear"/>
            <w:vAlign w:val="center"/>
          </w:tcPr>
          <w:p>
            <w:pPr>
              <w:pStyle w:val="TableContents"/>
              <w:bidi w:val="0"/>
              <w:spacing w:before="0" w:after="283"/>
              <w:jc w:val="right"/>
              <w:rPr/>
            </w:pPr>
            <w:r>
              <w:rPr/>
              <w:t>167,315</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2" w:type="dxa"/>
            <w:tcBorders/>
            <w:shd w:fill="FFFFFF" w:val="clear"/>
            <w:vAlign w:val="center"/>
          </w:tcPr>
          <w:p>
            <w:pPr>
              <w:pStyle w:val="TableContents"/>
              <w:bidi w:val="0"/>
              <w:spacing w:before="0" w:after="283"/>
              <w:jc w:val="left"/>
              <w:rPr/>
            </w:pPr>
            <w:r>
              <w:rPr/>
              <w:t> </w:t>
            </w:r>
          </w:p>
        </w:tc>
        <w:tc>
          <w:tcPr>
            <w:tcW w:w="1283" w:type="dxa"/>
            <w:tcBorders/>
            <w:shd w:fill="FFFFFF" w:val="clear"/>
            <w:vAlign w:val="center"/>
          </w:tcPr>
          <w:p>
            <w:pPr>
              <w:pStyle w:val="TableContents"/>
              <w:bidi w:val="0"/>
              <w:spacing w:before="0" w:after="283"/>
              <w:jc w:val="right"/>
              <w:rPr/>
            </w:pPr>
            <w:r>
              <w:rPr/>
              <w:t>174,957</w:t>
            </w:r>
          </w:p>
        </w:tc>
        <w:tc>
          <w:tcPr>
            <w:tcW w:w="110" w:type="dxa"/>
            <w:tcBorders/>
            <w:shd w:fill="FFFFFF" w:val="clear"/>
            <w:vAlign w:val="center"/>
          </w:tcPr>
          <w:p>
            <w:pPr>
              <w:pStyle w:val="TableContents"/>
              <w:bidi w:val="0"/>
              <w:spacing w:before="0" w:after="283"/>
              <w:ind w:left="0" w:right="0" w:hanging="180"/>
              <w:jc w:val="left"/>
              <w:rPr/>
            </w:pPr>
            <w:r>
              <w:rPr/>
              <w:t> </w:t>
            </w:r>
          </w:p>
        </w:tc>
      </w:tr>
      <w:tr>
        <w:trPr/>
        <w:tc>
          <w:tcPr>
            <w:tcW w:w="4730" w:type="dxa"/>
            <w:tcBorders/>
            <w:shd w:fill="CCEEFF" w:val="clear"/>
            <w:vAlign w:val="center"/>
          </w:tcPr>
          <w:p>
            <w:pPr>
              <w:pStyle w:val="TableContents"/>
              <w:bidi w:val="0"/>
              <w:spacing w:before="0" w:after="283"/>
              <w:jc w:val="left"/>
              <w:rPr/>
            </w:pPr>
            <w:r>
              <w:rPr/>
              <w:t>Loans to related parties</w:t>
            </w:r>
          </w:p>
        </w:tc>
        <w:tc>
          <w:tcPr>
            <w:tcW w:w="60"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1283" w:type="dxa"/>
            <w:tcBorders/>
            <w:shd w:fill="CCEEFF" w:val="clear"/>
            <w:vAlign w:val="center"/>
          </w:tcPr>
          <w:p>
            <w:pPr>
              <w:pStyle w:val="TableContents"/>
              <w:bidi w:val="0"/>
              <w:spacing w:before="0" w:after="283"/>
              <w:jc w:val="right"/>
              <w:rPr/>
            </w:pPr>
            <w:r>
              <w:rPr/>
              <w:t>28,700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1283" w:type="dxa"/>
            <w:tcBorders/>
            <w:shd w:fill="CCEEFF" w:val="clear"/>
            <w:vAlign w:val="center"/>
          </w:tcPr>
          <w:p>
            <w:pPr>
              <w:pStyle w:val="TableContents"/>
              <w:bidi w:val="0"/>
              <w:spacing w:before="0" w:after="283"/>
              <w:jc w:val="right"/>
              <w:rPr/>
            </w:pPr>
            <w:r>
              <w:rPr/>
              <w:t>28,700</w:t>
            </w:r>
          </w:p>
        </w:tc>
        <w:tc>
          <w:tcPr>
            <w:tcW w:w="110" w:type="dxa"/>
            <w:tcBorders/>
            <w:shd w:fill="CCEEFF" w:val="clear"/>
            <w:vAlign w:val="center"/>
          </w:tcPr>
          <w:p>
            <w:pPr>
              <w:pStyle w:val="TableContents"/>
              <w:bidi w:val="0"/>
              <w:spacing w:before="0" w:after="283"/>
              <w:ind w:left="0" w:right="0" w:hanging="180"/>
              <w:jc w:val="left"/>
              <w:rPr/>
            </w:pPr>
            <w:r>
              <w:rPr/>
              <w:t> </w:t>
            </w:r>
          </w:p>
        </w:tc>
      </w:tr>
      <w:tr>
        <w:trPr/>
        <w:tc>
          <w:tcPr>
            <w:tcW w:w="4730" w:type="dxa"/>
            <w:tcBorders/>
            <w:shd w:fill="FFFFFF" w:val="clear"/>
            <w:vAlign w:val="center"/>
          </w:tcPr>
          <w:p>
            <w:pPr>
              <w:pStyle w:val="TableContents"/>
              <w:bidi w:val="0"/>
              <w:spacing w:before="0" w:after="283"/>
              <w:jc w:val="left"/>
              <w:rPr/>
            </w:pPr>
            <w:r>
              <w:rPr/>
              <w:t>Long-term other receivables and prepayments</w:t>
            </w:r>
          </w:p>
        </w:tc>
        <w:tc>
          <w:tcPr>
            <w:tcW w:w="60" w:type="dxa"/>
            <w:tcBorders/>
            <w:shd w:fill="FFFFFF" w:val="clear"/>
            <w:vAlign w:val="center"/>
          </w:tcPr>
          <w:p>
            <w:pPr>
              <w:pStyle w:val="TableContents"/>
              <w:bidi w:val="0"/>
              <w:spacing w:before="0" w:after="283"/>
              <w:jc w:val="left"/>
              <w:rPr/>
            </w:pPr>
            <w:r>
              <w:rPr/>
              <w:t> </w:t>
            </w:r>
          </w:p>
        </w:tc>
        <w:tc>
          <w:tcPr>
            <w:tcW w:w="72" w:type="dxa"/>
            <w:tcBorders/>
            <w:shd w:fill="FFFFFF" w:val="clear"/>
            <w:vAlign w:val="center"/>
          </w:tcPr>
          <w:p>
            <w:pPr>
              <w:pStyle w:val="TableContents"/>
              <w:bidi w:val="0"/>
              <w:spacing w:before="0" w:after="283"/>
              <w:jc w:val="left"/>
              <w:rPr/>
            </w:pPr>
            <w:r>
              <w:rPr/>
              <w:t> </w:t>
            </w:r>
          </w:p>
        </w:tc>
        <w:tc>
          <w:tcPr>
            <w:tcW w:w="1283" w:type="dxa"/>
            <w:tcBorders/>
            <w:shd w:fill="FFFFFF" w:val="clear"/>
            <w:vAlign w:val="center"/>
          </w:tcPr>
          <w:p>
            <w:pPr>
              <w:pStyle w:val="TableContents"/>
              <w:bidi w:val="0"/>
              <w:spacing w:before="0" w:after="283"/>
              <w:jc w:val="right"/>
              <w:rPr/>
            </w:pPr>
            <w:r>
              <w:rPr/>
              <w:t>679</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2" w:type="dxa"/>
            <w:tcBorders/>
            <w:shd w:fill="FFFFFF" w:val="clear"/>
            <w:vAlign w:val="center"/>
          </w:tcPr>
          <w:p>
            <w:pPr>
              <w:pStyle w:val="TableContents"/>
              <w:bidi w:val="0"/>
              <w:spacing w:before="0" w:after="283"/>
              <w:jc w:val="left"/>
              <w:rPr/>
            </w:pPr>
            <w:r>
              <w:rPr/>
              <w:t> </w:t>
            </w:r>
          </w:p>
        </w:tc>
        <w:tc>
          <w:tcPr>
            <w:tcW w:w="1283" w:type="dxa"/>
            <w:tcBorders/>
            <w:shd w:fill="FFFFFF" w:val="clear"/>
            <w:vAlign w:val="center"/>
          </w:tcPr>
          <w:p>
            <w:pPr>
              <w:pStyle w:val="TableContents"/>
              <w:bidi w:val="0"/>
              <w:spacing w:before="0" w:after="283"/>
              <w:jc w:val="right"/>
              <w:rPr/>
            </w:pPr>
            <w:r>
              <w:rPr/>
              <w:t>11,629</w:t>
            </w:r>
          </w:p>
        </w:tc>
        <w:tc>
          <w:tcPr>
            <w:tcW w:w="110" w:type="dxa"/>
            <w:tcBorders/>
            <w:shd w:fill="FFFFFF" w:val="clear"/>
            <w:vAlign w:val="center"/>
          </w:tcPr>
          <w:p>
            <w:pPr>
              <w:pStyle w:val="TableContents"/>
              <w:bidi w:val="0"/>
              <w:spacing w:before="0" w:after="283"/>
              <w:ind w:left="0" w:right="0" w:hanging="180"/>
              <w:jc w:val="left"/>
              <w:rPr/>
            </w:pPr>
            <w:r>
              <w:rPr/>
              <w:t> </w:t>
            </w:r>
          </w:p>
        </w:tc>
      </w:tr>
      <w:tr>
        <w:trPr/>
        <w:tc>
          <w:tcPr>
            <w:tcW w:w="4730" w:type="dxa"/>
            <w:tcBorders/>
            <w:shd w:fill="CCEEFF" w:val="clear"/>
            <w:vAlign w:val="center"/>
          </w:tcPr>
          <w:p>
            <w:pPr>
              <w:pStyle w:val="TableContents"/>
              <w:bidi w:val="0"/>
              <w:spacing w:before="0" w:after="283"/>
              <w:jc w:val="left"/>
              <w:rPr/>
            </w:pPr>
            <w:r>
              <w:rPr/>
              <w:t>Deferred tax assets</w:t>
            </w:r>
          </w:p>
        </w:tc>
        <w:tc>
          <w:tcPr>
            <w:tcW w:w="60" w:type="dxa"/>
            <w:tcBorders/>
            <w:shd w:fill="CCEEFF" w:val="clear"/>
            <w:vAlign w:val="center"/>
          </w:tcPr>
          <w:p>
            <w:pPr>
              <w:pStyle w:val="TableContents"/>
              <w:bidi w:val="0"/>
              <w:spacing w:before="0" w:after="283"/>
              <w:jc w:val="left"/>
              <w:rPr/>
            </w:pPr>
            <w:r>
              <w:rPr/>
              <w:t> </w:t>
            </w:r>
          </w:p>
        </w:tc>
        <w:tc>
          <w:tcPr>
            <w:tcW w:w="72"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83" w:type="dxa"/>
            <w:tcBorders>
              <w:bottom w:val="single" w:sz="12" w:space="0" w:color="000000"/>
            </w:tcBorders>
            <w:shd w:fill="CCEEFF" w:val="clear"/>
            <w:tcMar>
              <w:bottom w:w="28" w:type="dxa"/>
            </w:tcMar>
            <w:vAlign w:val="center"/>
          </w:tcPr>
          <w:p>
            <w:pPr>
              <w:pStyle w:val="TableContents"/>
              <w:bidi w:val="0"/>
              <w:spacing w:before="0" w:after="283"/>
              <w:jc w:val="right"/>
              <w:rPr/>
            </w:pPr>
            <w:r>
              <w:rPr/>
              <w:t>133,320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2"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83" w:type="dxa"/>
            <w:tcBorders>
              <w:bottom w:val="single" w:sz="12" w:space="0" w:color="000000"/>
            </w:tcBorders>
            <w:shd w:fill="CCEEFF" w:val="clear"/>
            <w:tcMar>
              <w:bottom w:w="28" w:type="dxa"/>
            </w:tcMar>
            <w:vAlign w:val="center"/>
          </w:tcPr>
          <w:p>
            <w:pPr>
              <w:pStyle w:val="TableContents"/>
              <w:bidi w:val="0"/>
              <w:spacing w:before="0" w:after="283"/>
              <w:jc w:val="right"/>
              <w:rPr/>
            </w:pPr>
            <w:r>
              <w:rPr/>
              <w:t>121,749</w:t>
            </w:r>
          </w:p>
        </w:tc>
        <w:tc>
          <w:tcPr>
            <w:tcW w:w="110" w:type="dxa"/>
            <w:tcBorders/>
            <w:shd w:fill="CCEEFF" w:val="clear"/>
            <w:vAlign w:val="center"/>
          </w:tcPr>
          <w:p>
            <w:pPr>
              <w:pStyle w:val="TableContents"/>
              <w:bidi w:val="0"/>
              <w:spacing w:before="0" w:after="283"/>
              <w:ind w:left="0" w:right="0" w:hanging="180"/>
              <w:jc w:val="left"/>
              <w:rPr/>
            </w:pPr>
            <w:r>
              <w:rPr/>
              <w:t> </w:t>
            </w:r>
          </w:p>
        </w:tc>
      </w:tr>
      <w:tr>
        <w:trPr/>
        <w:tc>
          <w:tcPr>
            <w:tcW w:w="4730" w:type="dxa"/>
            <w:tcBorders/>
            <w:shd w:fill="FFFFFF" w:val="clear"/>
            <w:vAlign w:val="center"/>
          </w:tcPr>
          <w:p>
            <w:pPr>
              <w:pStyle w:val="TableContents"/>
              <w:bidi w:val="0"/>
              <w:spacing w:before="0" w:after="283"/>
              <w:jc w:val="left"/>
              <w:rPr>
                <w:b/>
              </w:rPr>
            </w:pPr>
            <w:r>
              <w:rPr>
                <w:b/>
              </w:rPr>
              <w:t>Total non-current assets</w:t>
            </w:r>
          </w:p>
        </w:tc>
        <w:tc>
          <w:tcPr>
            <w:tcW w:w="60" w:type="dxa"/>
            <w:tcBorders/>
            <w:shd w:fill="FFFFFF" w:val="clear"/>
            <w:vAlign w:val="center"/>
          </w:tcPr>
          <w:p>
            <w:pPr>
              <w:pStyle w:val="TableContents"/>
              <w:bidi w:val="0"/>
              <w:spacing w:before="0" w:after="283"/>
              <w:jc w:val="left"/>
              <w:rPr/>
            </w:pPr>
            <w:r>
              <w:rPr/>
              <w:t> </w:t>
            </w:r>
          </w:p>
        </w:tc>
        <w:tc>
          <w:tcPr>
            <w:tcW w:w="72"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83" w:type="dxa"/>
            <w:tcBorders>
              <w:bottom w:val="single" w:sz="12" w:space="0" w:color="000000"/>
            </w:tcBorders>
            <w:shd w:fill="FFFFFF" w:val="clear"/>
            <w:tcMar>
              <w:bottom w:w="28" w:type="dxa"/>
            </w:tcMar>
            <w:vAlign w:val="center"/>
          </w:tcPr>
          <w:p>
            <w:pPr>
              <w:pStyle w:val="TableContents"/>
              <w:bidi w:val="0"/>
              <w:spacing w:before="0" w:after="283"/>
              <w:jc w:val="right"/>
              <w:rPr/>
            </w:pPr>
            <w:r>
              <w:rPr/>
              <w:t>4,032,830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2"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83" w:type="dxa"/>
            <w:tcBorders>
              <w:bottom w:val="single" w:sz="12" w:space="0" w:color="000000"/>
            </w:tcBorders>
            <w:shd w:fill="FFFFFF" w:val="clear"/>
            <w:tcMar>
              <w:bottom w:w="28" w:type="dxa"/>
            </w:tcMar>
            <w:vAlign w:val="center"/>
          </w:tcPr>
          <w:p>
            <w:pPr>
              <w:pStyle w:val="TableContents"/>
              <w:bidi w:val="0"/>
              <w:spacing w:before="0" w:after="283"/>
              <w:jc w:val="right"/>
              <w:rPr/>
            </w:pPr>
            <w:r>
              <w:rPr/>
              <w:t>3,422,355</w:t>
            </w:r>
          </w:p>
        </w:tc>
        <w:tc>
          <w:tcPr>
            <w:tcW w:w="110" w:type="dxa"/>
            <w:tcBorders/>
            <w:shd w:fill="FFFFFF" w:val="clear"/>
            <w:vAlign w:val="center"/>
          </w:tcPr>
          <w:p>
            <w:pPr>
              <w:pStyle w:val="TableContents"/>
              <w:bidi w:val="0"/>
              <w:spacing w:before="0" w:after="283"/>
              <w:ind w:left="0" w:right="0" w:hanging="180"/>
              <w:jc w:val="left"/>
              <w:rPr/>
            </w:pPr>
            <w:r>
              <w:rPr/>
              <w:t> </w:t>
            </w:r>
          </w:p>
        </w:tc>
      </w:tr>
      <w:tr>
        <w:trPr/>
        <w:tc>
          <w:tcPr>
            <w:tcW w:w="4730" w:type="dxa"/>
            <w:tcBorders/>
            <w:shd w:fill="CCEEFF" w:val="clear"/>
            <w:vAlign w:val="center"/>
          </w:tcPr>
          <w:p>
            <w:pPr>
              <w:pStyle w:val="TableContents"/>
              <w:bidi w:val="0"/>
              <w:spacing w:before="0" w:after="283"/>
              <w:jc w:val="left"/>
              <w:rPr>
                <w:b/>
              </w:rPr>
            </w:pPr>
            <w:r>
              <w:rPr>
                <w:b/>
              </w:rPr>
              <w:t>Current assets</w:t>
            </w:r>
          </w:p>
        </w:tc>
        <w:tc>
          <w:tcPr>
            <w:tcW w:w="60"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1283"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1283"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ind w:left="0" w:right="0" w:hanging="180"/>
              <w:jc w:val="left"/>
              <w:rPr/>
            </w:pPr>
            <w:r>
              <w:rPr/>
              <w:t> </w:t>
            </w:r>
          </w:p>
        </w:tc>
      </w:tr>
      <w:tr>
        <w:trPr/>
        <w:tc>
          <w:tcPr>
            <w:tcW w:w="4730" w:type="dxa"/>
            <w:tcBorders/>
            <w:shd w:fill="FFFFFF" w:val="clear"/>
            <w:vAlign w:val="center"/>
          </w:tcPr>
          <w:p>
            <w:pPr>
              <w:pStyle w:val="TableContents"/>
              <w:bidi w:val="0"/>
              <w:spacing w:before="0" w:after="283"/>
              <w:jc w:val="left"/>
              <w:rPr/>
            </w:pPr>
            <w:r>
              <w:rPr/>
              <w:t>Inventories</w:t>
            </w:r>
          </w:p>
        </w:tc>
        <w:tc>
          <w:tcPr>
            <w:tcW w:w="60" w:type="dxa"/>
            <w:tcBorders/>
            <w:shd w:fill="FFFFFF" w:val="clear"/>
            <w:vAlign w:val="center"/>
          </w:tcPr>
          <w:p>
            <w:pPr>
              <w:pStyle w:val="TableContents"/>
              <w:bidi w:val="0"/>
              <w:spacing w:before="0" w:after="283"/>
              <w:jc w:val="left"/>
              <w:rPr/>
            </w:pPr>
            <w:r>
              <w:rPr/>
              <w:t> </w:t>
            </w:r>
          </w:p>
        </w:tc>
        <w:tc>
          <w:tcPr>
            <w:tcW w:w="72" w:type="dxa"/>
            <w:tcBorders/>
            <w:shd w:fill="FFFFFF" w:val="clear"/>
            <w:vAlign w:val="center"/>
          </w:tcPr>
          <w:p>
            <w:pPr>
              <w:pStyle w:val="TableContents"/>
              <w:bidi w:val="0"/>
              <w:spacing w:before="0" w:after="283"/>
              <w:jc w:val="left"/>
              <w:rPr/>
            </w:pPr>
            <w:r>
              <w:rPr/>
              <w:t> </w:t>
            </w:r>
          </w:p>
        </w:tc>
        <w:tc>
          <w:tcPr>
            <w:tcW w:w="1283" w:type="dxa"/>
            <w:tcBorders/>
            <w:shd w:fill="FFFFFF" w:val="clear"/>
            <w:vAlign w:val="center"/>
          </w:tcPr>
          <w:p>
            <w:pPr>
              <w:pStyle w:val="TableContents"/>
              <w:bidi w:val="0"/>
              <w:spacing w:before="0" w:after="283"/>
              <w:jc w:val="right"/>
              <w:rPr/>
            </w:pPr>
            <w:r>
              <w:rPr/>
              <w:t>5,742</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2" w:type="dxa"/>
            <w:tcBorders/>
            <w:shd w:fill="FFFFFF" w:val="clear"/>
            <w:vAlign w:val="center"/>
          </w:tcPr>
          <w:p>
            <w:pPr>
              <w:pStyle w:val="TableContents"/>
              <w:bidi w:val="0"/>
              <w:spacing w:before="0" w:after="283"/>
              <w:jc w:val="left"/>
              <w:rPr/>
            </w:pPr>
            <w:r>
              <w:rPr/>
              <w:t> </w:t>
            </w:r>
          </w:p>
        </w:tc>
        <w:tc>
          <w:tcPr>
            <w:tcW w:w="1283" w:type="dxa"/>
            <w:tcBorders/>
            <w:shd w:fill="FFFFFF" w:val="clear"/>
            <w:vAlign w:val="center"/>
          </w:tcPr>
          <w:p>
            <w:pPr>
              <w:pStyle w:val="TableContents"/>
              <w:bidi w:val="0"/>
              <w:spacing w:before="0" w:after="283"/>
              <w:jc w:val="right"/>
              <w:rPr/>
            </w:pPr>
            <w:r>
              <w:rPr/>
              <w:t>3,830</w:t>
            </w:r>
          </w:p>
        </w:tc>
        <w:tc>
          <w:tcPr>
            <w:tcW w:w="110" w:type="dxa"/>
            <w:tcBorders/>
            <w:shd w:fill="FFFFFF" w:val="clear"/>
            <w:vAlign w:val="center"/>
          </w:tcPr>
          <w:p>
            <w:pPr>
              <w:pStyle w:val="TableContents"/>
              <w:bidi w:val="0"/>
              <w:spacing w:before="0" w:after="283"/>
              <w:ind w:left="0" w:right="0" w:hanging="180"/>
              <w:jc w:val="left"/>
              <w:rPr/>
            </w:pPr>
            <w:r>
              <w:rPr/>
              <w:t> </w:t>
            </w:r>
          </w:p>
        </w:tc>
      </w:tr>
      <w:tr>
        <w:trPr/>
        <w:tc>
          <w:tcPr>
            <w:tcW w:w="4730" w:type="dxa"/>
            <w:tcBorders/>
            <w:shd w:fill="CCEEFF" w:val="clear"/>
            <w:vAlign w:val="center"/>
          </w:tcPr>
          <w:p>
            <w:pPr>
              <w:pStyle w:val="TableContents"/>
              <w:bidi w:val="0"/>
              <w:spacing w:before="0" w:after="283"/>
              <w:jc w:val="left"/>
              <w:rPr/>
            </w:pPr>
            <w:r>
              <w:rPr/>
              <w:t>Trade and other receivables and prepayments</w:t>
            </w:r>
          </w:p>
        </w:tc>
        <w:tc>
          <w:tcPr>
            <w:tcW w:w="60"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1283" w:type="dxa"/>
            <w:tcBorders/>
            <w:shd w:fill="CCEEFF" w:val="clear"/>
            <w:vAlign w:val="center"/>
          </w:tcPr>
          <w:p>
            <w:pPr>
              <w:pStyle w:val="TableContents"/>
              <w:bidi w:val="0"/>
              <w:spacing w:before="0" w:after="283"/>
              <w:jc w:val="right"/>
              <w:rPr/>
            </w:pPr>
            <w:r>
              <w:rPr/>
              <w:t>586,374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1283" w:type="dxa"/>
            <w:tcBorders/>
            <w:shd w:fill="CCEEFF" w:val="clear"/>
            <w:vAlign w:val="center"/>
          </w:tcPr>
          <w:p>
            <w:pPr>
              <w:pStyle w:val="TableContents"/>
              <w:bidi w:val="0"/>
              <w:spacing w:before="0" w:after="283"/>
              <w:jc w:val="right"/>
              <w:rPr/>
            </w:pPr>
            <w:r>
              <w:rPr/>
              <w:t>597,461</w:t>
            </w:r>
          </w:p>
        </w:tc>
        <w:tc>
          <w:tcPr>
            <w:tcW w:w="110" w:type="dxa"/>
            <w:tcBorders/>
            <w:shd w:fill="CCEEFF" w:val="clear"/>
            <w:vAlign w:val="center"/>
          </w:tcPr>
          <w:p>
            <w:pPr>
              <w:pStyle w:val="TableContents"/>
              <w:bidi w:val="0"/>
              <w:spacing w:before="0" w:after="283"/>
              <w:ind w:left="0" w:right="0" w:hanging="180"/>
              <w:jc w:val="left"/>
              <w:rPr/>
            </w:pPr>
            <w:r>
              <w:rPr/>
              <w:t> </w:t>
            </w:r>
          </w:p>
        </w:tc>
      </w:tr>
      <w:tr>
        <w:trPr/>
        <w:tc>
          <w:tcPr>
            <w:tcW w:w="4730" w:type="dxa"/>
            <w:tcBorders/>
            <w:shd w:fill="FFFFFF" w:val="clear"/>
            <w:vAlign w:val="center"/>
          </w:tcPr>
          <w:p>
            <w:pPr>
              <w:pStyle w:val="TableContents"/>
              <w:bidi w:val="0"/>
              <w:spacing w:before="0" w:after="283"/>
              <w:jc w:val="left"/>
              <w:rPr/>
            </w:pPr>
            <w:r>
              <w:rPr/>
              <w:t>Income tax receivables</w:t>
            </w:r>
          </w:p>
        </w:tc>
        <w:tc>
          <w:tcPr>
            <w:tcW w:w="60" w:type="dxa"/>
            <w:tcBorders/>
            <w:shd w:fill="FFFFFF" w:val="clear"/>
            <w:vAlign w:val="center"/>
          </w:tcPr>
          <w:p>
            <w:pPr>
              <w:pStyle w:val="TableContents"/>
              <w:bidi w:val="0"/>
              <w:spacing w:before="0" w:after="283"/>
              <w:jc w:val="left"/>
              <w:rPr/>
            </w:pPr>
            <w:r>
              <w:rPr/>
              <w:t> </w:t>
            </w:r>
          </w:p>
        </w:tc>
        <w:tc>
          <w:tcPr>
            <w:tcW w:w="72" w:type="dxa"/>
            <w:tcBorders/>
            <w:shd w:fill="FFFFFF" w:val="clear"/>
            <w:vAlign w:val="center"/>
          </w:tcPr>
          <w:p>
            <w:pPr>
              <w:pStyle w:val="TableContents"/>
              <w:bidi w:val="0"/>
              <w:spacing w:before="0" w:after="283"/>
              <w:jc w:val="left"/>
              <w:rPr/>
            </w:pPr>
            <w:r>
              <w:rPr/>
              <w:t> </w:t>
            </w:r>
          </w:p>
        </w:tc>
        <w:tc>
          <w:tcPr>
            <w:tcW w:w="1283" w:type="dxa"/>
            <w:tcBorders/>
            <w:shd w:fill="FFFFFF" w:val="clear"/>
            <w:vAlign w:val="center"/>
          </w:tcPr>
          <w:p>
            <w:pPr>
              <w:pStyle w:val="TableContents"/>
              <w:bidi w:val="0"/>
              <w:spacing w:before="0" w:after="283"/>
              <w:jc w:val="right"/>
              <w:rPr/>
            </w:pPr>
            <w:r>
              <w:rPr/>
              <w:t>15,324</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2" w:type="dxa"/>
            <w:tcBorders/>
            <w:shd w:fill="FFFFFF" w:val="clear"/>
            <w:vAlign w:val="center"/>
          </w:tcPr>
          <w:p>
            <w:pPr>
              <w:pStyle w:val="TableContents"/>
              <w:bidi w:val="0"/>
              <w:spacing w:before="0" w:after="283"/>
              <w:jc w:val="left"/>
              <w:rPr/>
            </w:pPr>
            <w:r>
              <w:rPr/>
              <w:t> </w:t>
            </w:r>
          </w:p>
        </w:tc>
        <w:tc>
          <w:tcPr>
            <w:tcW w:w="1283" w:type="dxa"/>
            <w:tcBorders/>
            <w:shd w:fill="FFFFFF" w:val="clear"/>
            <w:vAlign w:val="center"/>
          </w:tcPr>
          <w:p>
            <w:pPr>
              <w:pStyle w:val="TableContents"/>
              <w:bidi w:val="0"/>
              <w:spacing w:before="0" w:after="283"/>
              <w:jc w:val="right"/>
              <w:rPr/>
            </w:pPr>
            <w:r>
              <w:rPr/>
              <w:t>12,622</w:t>
            </w:r>
          </w:p>
        </w:tc>
        <w:tc>
          <w:tcPr>
            <w:tcW w:w="110" w:type="dxa"/>
            <w:tcBorders/>
            <w:shd w:fill="FFFFFF" w:val="clear"/>
            <w:vAlign w:val="center"/>
          </w:tcPr>
          <w:p>
            <w:pPr>
              <w:pStyle w:val="TableContents"/>
              <w:bidi w:val="0"/>
              <w:spacing w:before="0" w:after="283"/>
              <w:ind w:left="0" w:right="0" w:hanging="180"/>
              <w:jc w:val="left"/>
              <w:rPr/>
            </w:pPr>
            <w:r>
              <w:rPr/>
              <w:t> </w:t>
            </w:r>
          </w:p>
        </w:tc>
      </w:tr>
      <w:tr>
        <w:trPr/>
        <w:tc>
          <w:tcPr>
            <w:tcW w:w="4730" w:type="dxa"/>
            <w:tcBorders/>
            <w:shd w:fill="CCEEFF" w:val="clear"/>
            <w:vAlign w:val="center"/>
          </w:tcPr>
          <w:p>
            <w:pPr>
              <w:pStyle w:val="TableContents"/>
              <w:bidi w:val="0"/>
              <w:spacing w:before="0" w:after="283"/>
              <w:jc w:val="left"/>
              <w:rPr/>
            </w:pPr>
            <w:r>
              <w:rPr/>
              <w:t>Cash and cash equivalents</w:t>
            </w:r>
          </w:p>
        </w:tc>
        <w:tc>
          <w:tcPr>
            <w:tcW w:w="60" w:type="dxa"/>
            <w:tcBorders/>
            <w:shd w:fill="CCEEFF" w:val="clear"/>
            <w:vAlign w:val="center"/>
          </w:tcPr>
          <w:p>
            <w:pPr>
              <w:pStyle w:val="TableContents"/>
              <w:bidi w:val="0"/>
              <w:spacing w:before="0" w:after="283"/>
              <w:jc w:val="left"/>
              <w:rPr/>
            </w:pPr>
            <w:r>
              <w:rPr/>
              <w:t> </w:t>
            </w:r>
          </w:p>
        </w:tc>
        <w:tc>
          <w:tcPr>
            <w:tcW w:w="72"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83" w:type="dxa"/>
            <w:tcBorders>
              <w:bottom w:val="single" w:sz="12" w:space="0" w:color="000000"/>
            </w:tcBorders>
            <w:shd w:fill="CCEEFF" w:val="clear"/>
            <w:tcMar>
              <w:bottom w:w="28" w:type="dxa"/>
            </w:tcMar>
            <w:vAlign w:val="center"/>
          </w:tcPr>
          <w:p>
            <w:pPr>
              <w:pStyle w:val="TableContents"/>
              <w:bidi w:val="0"/>
              <w:spacing w:before="0" w:after="283"/>
              <w:jc w:val="right"/>
              <w:rPr/>
            </w:pPr>
            <w:r>
              <w:rPr/>
              <w:t>1,153,874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2"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83" w:type="dxa"/>
            <w:tcBorders>
              <w:bottom w:val="single" w:sz="12" w:space="0" w:color="000000"/>
            </w:tcBorders>
            <w:shd w:fill="CCEEFF" w:val="clear"/>
            <w:tcMar>
              <w:bottom w:w="28" w:type="dxa"/>
            </w:tcMar>
            <w:vAlign w:val="center"/>
          </w:tcPr>
          <w:p>
            <w:pPr>
              <w:pStyle w:val="TableContents"/>
              <w:bidi w:val="0"/>
              <w:spacing w:before="0" w:after="283"/>
              <w:jc w:val="right"/>
              <w:rPr/>
            </w:pPr>
            <w:r>
              <w:rPr/>
              <w:t>1,042,882</w:t>
            </w:r>
          </w:p>
        </w:tc>
        <w:tc>
          <w:tcPr>
            <w:tcW w:w="110" w:type="dxa"/>
            <w:tcBorders/>
            <w:shd w:fill="CCEEFF" w:val="clear"/>
            <w:vAlign w:val="center"/>
          </w:tcPr>
          <w:p>
            <w:pPr>
              <w:pStyle w:val="TableContents"/>
              <w:bidi w:val="0"/>
              <w:spacing w:before="0" w:after="283"/>
              <w:ind w:left="0" w:right="0" w:hanging="180"/>
              <w:jc w:val="left"/>
              <w:rPr/>
            </w:pPr>
            <w:r>
              <w:rPr/>
              <w:t> </w:t>
            </w:r>
          </w:p>
        </w:tc>
      </w:tr>
      <w:tr>
        <w:trPr/>
        <w:tc>
          <w:tcPr>
            <w:tcW w:w="4730" w:type="dxa"/>
            <w:tcBorders/>
            <w:shd w:fill="FFFFFF" w:val="clear"/>
            <w:vAlign w:val="center"/>
          </w:tcPr>
          <w:p>
            <w:pPr>
              <w:pStyle w:val="TableContents"/>
              <w:bidi w:val="0"/>
              <w:spacing w:before="0" w:after="283"/>
              <w:jc w:val="left"/>
              <w:rPr>
                <w:b/>
              </w:rPr>
            </w:pPr>
            <w:r>
              <w:rPr>
                <w:b/>
              </w:rPr>
              <w:t>Total current assets</w:t>
            </w:r>
          </w:p>
        </w:tc>
        <w:tc>
          <w:tcPr>
            <w:tcW w:w="60" w:type="dxa"/>
            <w:tcBorders/>
            <w:shd w:fill="FFFFFF" w:val="clear"/>
            <w:vAlign w:val="center"/>
          </w:tcPr>
          <w:p>
            <w:pPr>
              <w:pStyle w:val="TableContents"/>
              <w:bidi w:val="0"/>
              <w:spacing w:before="0" w:after="283"/>
              <w:jc w:val="left"/>
              <w:rPr/>
            </w:pPr>
            <w:r>
              <w:rPr/>
              <w:t> </w:t>
            </w:r>
          </w:p>
        </w:tc>
        <w:tc>
          <w:tcPr>
            <w:tcW w:w="72"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83" w:type="dxa"/>
            <w:tcBorders>
              <w:bottom w:val="single" w:sz="12" w:space="0" w:color="000000"/>
            </w:tcBorders>
            <w:shd w:fill="FFFFFF" w:val="clear"/>
            <w:tcMar>
              <w:bottom w:w="28" w:type="dxa"/>
            </w:tcMar>
            <w:vAlign w:val="center"/>
          </w:tcPr>
          <w:p>
            <w:pPr>
              <w:pStyle w:val="TableContents"/>
              <w:bidi w:val="0"/>
              <w:spacing w:before="0" w:after="283"/>
              <w:jc w:val="right"/>
              <w:rPr/>
            </w:pPr>
            <w:r>
              <w:rPr/>
              <w:t>1,761,314</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2"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83" w:type="dxa"/>
            <w:tcBorders>
              <w:bottom w:val="single" w:sz="12" w:space="0" w:color="000000"/>
            </w:tcBorders>
            <w:shd w:fill="FFFFFF" w:val="clear"/>
            <w:tcMar>
              <w:bottom w:w="28" w:type="dxa"/>
            </w:tcMar>
            <w:vAlign w:val="center"/>
          </w:tcPr>
          <w:p>
            <w:pPr>
              <w:pStyle w:val="TableContents"/>
              <w:bidi w:val="0"/>
              <w:spacing w:before="0" w:after="283"/>
              <w:jc w:val="right"/>
              <w:rPr/>
            </w:pPr>
            <w:r>
              <w:rPr/>
              <w:t>1,656,795</w:t>
            </w:r>
          </w:p>
        </w:tc>
        <w:tc>
          <w:tcPr>
            <w:tcW w:w="110" w:type="dxa"/>
            <w:tcBorders/>
            <w:shd w:fill="FFFFFF" w:val="clear"/>
            <w:vAlign w:val="center"/>
          </w:tcPr>
          <w:p>
            <w:pPr>
              <w:pStyle w:val="TableContents"/>
              <w:bidi w:val="0"/>
              <w:spacing w:before="0" w:after="283"/>
              <w:ind w:left="0" w:right="0" w:hanging="180"/>
              <w:jc w:val="left"/>
              <w:rPr/>
            </w:pPr>
            <w:r>
              <w:rPr/>
              <w:t> </w:t>
            </w:r>
          </w:p>
        </w:tc>
      </w:tr>
      <w:tr>
        <w:trPr/>
        <w:tc>
          <w:tcPr>
            <w:tcW w:w="4730" w:type="dxa"/>
            <w:tcBorders/>
            <w:shd w:fill="CCEEFF" w:val="clear"/>
            <w:vAlign w:val="center"/>
          </w:tcPr>
          <w:p>
            <w:pPr>
              <w:pStyle w:val="TableContents"/>
              <w:bidi w:val="0"/>
              <w:spacing w:before="0" w:after="283"/>
              <w:jc w:val="left"/>
              <w:rPr>
                <w:b/>
              </w:rPr>
            </w:pPr>
            <w:r>
              <w:rPr>
                <w:b/>
              </w:rPr>
              <w:t>Total assets</w:t>
            </w:r>
          </w:p>
        </w:tc>
        <w:tc>
          <w:tcPr>
            <w:tcW w:w="60" w:type="dxa"/>
            <w:tcBorders/>
            <w:shd w:fill="CCEEFF" w:val="clear"/>
            <w:vAlign w:val="center"/>
          </w:tcPr>
          <w:p>
            <w:pPr>
              <w:pStyle w:val="TableContents"/>
              <w:bidi w:val="0"/>
              <w:spacing w:before="0" w:after="283"/>
              <w:jc w:val="left"/>
              <w:rPr/>
            </w:pPr>
            <w:r>
              <w:rPr/>
              <w:t> </w:t>
            </w:r>
          </w:p>
        </w:tc>
        <w:tc>
          <w:tcPr>
            <w:tcW w:w="72"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1283" w:type="dxa"/>
            <w:tcBorders>
              <w:bottom w:val="double" w:sz="10" w:space="0" w:color="000000"/>
            </w:tcBorders>
            <w:shd w:fill="CCEEFF" w:val="clear"/>
            <w:tcMar>
              <w:bottom w:w="28" w:type="dxa"/>
            </w:tcMar>
            <w:vAlign w:val="center"/>
          </w:tcPr>
          <w:p>
            <w:pPr>
              <w:pStyle w:val="TableContents"/>
              <w:bidi w:val="0"/>
              <w:spacing w:before="0" w:after="283"/>
              <w:jc w:val="right"/>
              <w:rPr/>
            </w:pPr>
            <w:r>
              <w:rPr/>
              <w:t>5,794,144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2"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1283" w:type="dxa"/>
            <w:tcBorders>
              <w:bottom w:val="double" w:sz="10" w:space="0" w:color="000000"/>
            </w:tcBorders>
            <w:shd w:fill="CCEEFF" w:val="clear"/>
            <w:tcMar>
              <w:bottom w:w="28" w:type="dxa"/>
            </w:tcMar>
            <w:vAlign w:val="center"/>
          </w:tcPr>
          <w:p>
            <w:pPr>
              <w:pStyle w:val="TableContents"/>
              <w:bidi w:val="0"/>
              <w:spacing w:before="0" w:after="283"/>
              <w:jc w:val="right"/>
              <w:rPr/>
            </w:pPr>
            <w:r>
              <w:rPr/>
              <w:t>5,079,150</w:t>
            </w:r>
          </w:p>
        </w:tc>
        <w:tc>
          <w:tcPr>
            <w:tcW w:w="110" w:type="dxa"/>
            <w:tcBorders/>
            <w:shd w:fill="CCEEFF" w:val="clear"/>
            <w:vAlign w:val="center"/>
          </w:tcPr>
          <w:p>
            <w:pPr>
              <w:pStyle w:val="TableContents"/>
              <w:bidi w:val="0"/>
              <w:spacing w:before="0" w:after="283"/>
              <w:ind w:left="0" w:right="0" w:hanging="180"/>
              <w:jc w:val="left"/>
              <w:rPr/>
            </w:pPr>
            <w:r>
              <w:rPr/>
              <w:t> </w:t>
            </w:r>
          </w:p>
        </w:tc>
      </w:tr>
      <w:tr>
        <w:trPr/>
        <w:tc>
          <w:tcPr>
            <w:tcW w:w="4730" w:type="dxa"/>
            <w:tcBorders/>
            <w:shd w:fill="FFFFFF" w:val="clear"/>
            <w:vAlign w:val="center"/>
          </w:tcPr>
          <w:p>
            <w:pPr>
              <w:pStyle w:val="TableContents"/>
              <w:bidi w:val="0"/>
              <w:spacing w:before="0" w:after="283"/>
              <w:jc w:val="left"/>
              <w:rPr>
                <w:b/>
              </w:rPr>
            </w:pPr>
            <w:r>
              <w:rPr>
                <w:b/>
              </w:rPr>
              <w:t>EQUITY AND LIABILITIES</w:t>
            </w:r>
          </w:p>
        </w:tc>
        <w:tc>
          <w:tcPr>
            <w:tcW w:w="60" w:type="dxa"/>
            <w:tcBorders/>
            <w:shd w:fill="FFFFFF" w:val="clear"/>
            <w:vAlign w:val="center"/>
          </w:tcPr>
          <w:p>
            <w:pPr>
              <w:pStyle w:val="TableContents"/>
              <w:bidi w:val="0"/>
              <w:spacing w:before="0" w:after="283"/>
              <w:jc w:val="left"/>
              <w:rPr/>
            </w:pPr>
            <w:r>
              <w:rPr/>
              <w:t> </w:t>
            </w:r>
          </w:p>
        </w:tc>
        <w:tc>
          <w:tcPr>
            <w:tcW w:w="72" w:type="dxa"/>
            <w:tcBorders/>
            <w:shd w:fill="FFFFFF" w:val="clear"/>
            <w:vAlign w:val="center"/>
          </w:tcPr>
          <w:p>
            <w:pPr>
              <w:pStyle w:val="TableContents"/>
              <w:bidi w:val="0"/>
              <w:spacing w:before="0" w:after="283"/>
              <w:jc w:val="left"/>
              <w:rPr/>
            </w:pPr>
            <w:r>
              <w:rPr/>
              <w:t> </w:t>
            </w:r>
          </w:p>
        </w:tc>
        <w:tc>
          <w:tcPr>
            <w:tcW w:w="1283"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2" w:type="dxa"/>
            <w:tcBorders/>
            <w:shd w:fill="FFFFFF" w:val="clear"/>
            <w:vAlign w:val="center"/>
          </w:tcPr>
          <w:p>
            <w:pPr>
              <w:pStyle w:val="TableContents"/>
              <w:bidi w:val="0"/>
              <w:spacing w:before="0" w:after="283"/>
              <w:jc w:val="left"/>
              <w:rPr/>
            </w:pPr>
            <w:r>
              <w:rPr/>
              <w:t> </w:t>
            </w:r>
          </w:p>
        </w:tc>
        <w:tc>
          <w:tcPr>
            <w:tcW w:w="1283"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ind w:left="0" w:right="0" w:hanging="180"/>
              <w:jc w:val="left"/>
              <w:rPr/>
            </w:pPr>
            <w:r>
              <w:rPr/>
              <w:t> </w:t>
            </w:r>
          </w:p>
        </w:tc>
      </w:tr>
      <w:tr>
        <w:trPr/>
        <w:tc>
          <w:tcPr>
            <w:tcW w:w="4730" w:type="dxa"/>
            <w:tcBorders/>
            <w:shd w:fill="CCEEFF" w:val="clear"/>
            <w:vAlign w:val="center"/>
          </w:tcPr>
          <w:p>
            <w:pPr>
              <w:pStyle w:val="TableContents"/>
              <w:bidi w:val="0"/>
              <w:spacing w:before="0" w:after="283"/>
              <w:jc w:val="left"/>
              <w:rPr>
                <w:b/>
              </w:rPr>
            </w:pPr>
            <w:r>
              <w:rPr>
                <w:b/>
              </w:rPr>
              <w:t>Equity</w:t>
            </w:r>
          </w:p>
        </w:tc>
        <w:tc>
          <w:tcPr>
            <w:tcW w:w="60"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1283"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1283"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ind w:left="0" w:right="0" w:hanging="180"/>
              <w:jc w:val="left"/>
              <w:rPr/>
            </w:pPr>
            <w:r>
              <w:rPr/>
              <w:t> </w:t>
            </w:r>
          </w:p>
        </w:tc>
      </w:tr>
      <w:tr>
        <w:trPr/>
        <w:tc>
          <w:tcPr>
            <w:tcW w:w="4730" w:type="dxa"/>
            <w:tcBorders/>
            <w:shd w:fill="FFFFFF" w:val="clear"/>
            <w:vAlign w:val="center"/>
          </w:tcPr>
          <w:p>
            <w:pPr>
              <w:pStyle w:val="TableContents"/>
              <w:bidi w:val="0"/>
              <w:spacing w:before="0" w:after="283"/>
              <w:jc w:val="left"/>
              <w:rPr/>
            </w:pPr>
            <w:r>
              <w:rPr/>
              <w:t>Share capital</w:t>
            </w:r>
          </w:p>
        </w:tc>
        <w:tc>
          <w:tcPr>
            <w:tcW w:w="60" w:type="dxa"/>
            <w:tcBorders/>
            <w:shd w:fill="FFFFFF" w:val="clear"/>
            <w:vAlign w:val="center"/>
          </w:tcPr>
          <w:p>
            <w:pPr>
              <w:pStyle w:val="TableContents"/>
              <w:bidi w:val="0"/>
              <w:spacing w:before="0" w:after="283"/>
              <w:jc w:val="left"/>
              <w:rPr/>
            </w:pPr>
            <w:r>
              <w:rPr/>
              <w:t> </w:t>
            </w:r>
          </w:p>
        </w:tc>
        <w:tc>
          <w:tcPr>
            <w:tcW w:w="72" w:type="dxa"/>
            <w:tcBorders/>
            <w:shd w:fill="FFFFFF" w:val="clear"/>
            <w:vAlign w:val="center"/>
          </w:tcPr>
          <w:p>
            <w:pPr>
              <w:pStyle w:val="TableContents"/>
              <w:bidi w:val="0"/>
              <w:spacing w:before="0" w:after="283"/>
              <w:jc w:val="left"/>
              <w:rPr/>
            </w:pPr>
            <w:r>
              <w:rPr/>
              <w:t> </w:t>
            </w:r>
          </w:p>
        </w:tc>
        <w:tc>
          <w:tcPr>
            <w:tcW w:w="1283" w:type="dxa"/>
            <w:tcBorders/>
            <w:shd w:fill="FFFFFF" w:val="clear"/>
            <w:vAlign w:val="center"/>
          </w:tcPr>
          <w:p>
            <w:pPr>
              <w:pStyle w:val="TableContents"/>
              <w:bidi w:val="0"/>
              <w:spacing w:before="0" w:after="283"/>
              <w:jc w:val="right"/>
              <w:rPr/>
            </w:pPr>
            <w:r>
              <w:rPr/>
              <w:t>7,142,853</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2" w:type="dxa"/>
            <w:tcBorders/>
            <w:shd w:fill="FFFFFF" w:val="clear"/>
            <w:vAlign w:val="center"/>
          </w:tcPr>
          <w:p>
            <w:pPr>
              <w:pStyle w:val="TableContents"/>
              <w:bidi w:val="0"/>
              <w:spacing w:before="0" w:after="283"/>
              <w:jc w:val="left"/>
              <w:rPr/>
            </w:pPr>
            <w:r>
              <w:rPr/>
              <w:t> </w:t>
            </w:r>
          </w:p>
        </w:tc>
        <w:tc>
          <w:tcPr>
            <w:tcW w:w="1283" w:type="dxa"/>
            <w:tcBorders/>
            <w:shd w:fill="FFFFFF" w:val="clear"/>
            <w:vAlign w:val="center"/>
          </w:tcPr>
          <w:p>
            <w:pPr>
              <w:pStyle w:val="TableContents"/>
              <w:bidi w:val="0"/>
              <w:spacing w:before="0" w:after="283"/>
              <w:jc w:val="right"/>
              <w:rPr/>
            </w:pPr>
            <w:r>
              <w:rPr/>
              <w:t>7,142,853</w:t>
            </w:r>
          </w:p>
        </w:tc>
        <w:tc>
          <w:tcPr>
            <w:tcW w:w="110" w:type="dxa"/>
            <w:tcBorders/>
            <w:shd w:fill="FFFFFF" w:val="clear"/>
            <w:vAlign w:val="center"/>
          </w:tcPr>
          <w:p>
            <w:pPr>
              <w:pStyle w:val="TableContents"/>
              <w:bidi w:val="0"/>
              <w:spacing w:before="0" w:after="283"/>
              <w:ind w:left="0" w:right="0" w:hanging="180"/>
              <w:jc w:val="left"/>
              <w:rPr/>
            </w:pPr>
            <w:r>
              <w:rPr/>
              <w:t> </w:t>
            </w:r>
          </w:p>
        </w:tc>
      </w:tr>
      <w:tr>
        <w:trPr/>
        <w:tc>
          <w:tcPr>
            <w:tcW w:w="4730" w:type="dxa"/>
            <w:tcBorders/>
            <w:shd w:fill="CCEEFF" w:val="clear"/>
            <w:vAlign w:val="center"/>
          </w:tcPr>
          <w:p>
            <w:pPr>
              <w:pStyle w:val="TableContents"/>
              <w:bidi w:val="0"/>
              <w:spacing w:before="0" w:after="283"/>
              <w:jc w:val="left"/>
              <w:rPr/>
            </w:pPr>
            <w:r>
              <w:rPr/>
              <w:t>Treasury shares</w:t>
            </w:r>
          </w:p>
        </w:tc>
        <w:tc>
          <w:tcPr>
            <w:tcW w:w="60"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1283"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1283" w:type="dxa"/>
            <w:tcBorders/>
            <w:shd w:fill="CCEEFF" w:val="clear"/>
            <w:vAlign w:val="center"/>
          </w:tcPr>
          <w:p>
            <w:pPr>
              <w:pStyle w:val="TableContents"/>
              <w:bidi w:val="0"/>
              <w:spacing w:before="0" w:after="283"/>
              <w:jc w:val="right"/>
              <w:rPr/>
            </w:pPr>
            <w:r>
              <w:rPr/>
              <w:t>-</w:t>
            </w:r>
          </w:p>
        </w:tc>
        <w:tc>
          <w:tcPr>
            <w:tcW w:w="110" w:type="dxa"/>
            <w:tcBorders/>
            <w:shd w:fill="CCEEFF" w:val="clear"/>
            <w:vAlign w:val="center"/>
          </w:tcPr>
          <w:p>
            <w:pPr>
              <w:pStyle w:val="TableContents"/>
              <w:bidi w:val="0"/>
              <w:spacing w:before="0" w:after="283"/>
              <w:ind w:left="0" w:right="0" w:hanging="180"/>
              <w:jc w:val="left"/>
              <w:rPr/>
            </w:pPr>
            <w:r>
              <w:rPr/>
              <w:t> </w:t>
            </w:r>
          </w:p>
        </w:tc>
      </w:tr>
      <w:tr>
        <w:trPr/>
        <w:tc>
          <w:tcPr>
            <w:tcW w:w="473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Other capital reserve</w:t>
            </w:r>
            <w:r>
              <w:rPr>
                <w:rFonts w:ascii="Times New Roman;Times;Serif" w:hAnsi="Times New Roman;Times;Serif"/>
                <w:position w:val="7"/>
                <w:sz w:val="16"/>
                <w:sz w:val="20"/>
              </w:rPr>
              <w:t>3,4</w:t>
            </w:r>
          </w:p>
        </w:tc>
        <w:tc>
          <w:tcPr>
            <w:tcW w:w="60" w:type="dxa"/>
            <w:tcBorders/>
            <w:shd w:fill="FFFFFF" w:val="clear"/>
            <w:vAlign w:val="center"/>
          </w:tcPr>
          <w:p>
            <w:pPr>
              <w:pStyle w:val="TableContents"/>
              <w:bidi w:val="0"/>
              <w:spacing w:before="0" w:after="283"/>
              <w:jc w:val="left"/>
              <w:rPr/>
            </w:pPr>
            <w:r>
              <w:rPr/>
              <w:t> </w:t>
            </w:r>
          </w:p>
        </w:tc>
        <w:tc>
          <w:tcPr>
            <w:tcW w:w="72" w:type="dxa"/>
            <w:tcBorders/>
            <w:shd w:fill="FFFFFF" w:val="clear"/>
            <w:vAlign w:val="center"/>
          </w:tcPr>
          <w:p>
            <w:pPr>
              <w:pStyle w:val="TableContents"/>
              <w:bidi w:val="0"/>
              <w:spacing w:before="0" w:after="283"/>
              <w:jc w:val="left"/>
              <w:rPr/>
            </w:pPr>
            <w:r>
              <w:rPr/>
              <w:t> </w:t>
            </w:r>
          </w:p>
        </w:tc>
        <w:tc>
          <w:tcPr>
            <w:tcW w:w="1283" w:type="dxa"/>
            <w:tcBorders/>
            <w:shd w:fill="FFFFFF" w:val="clear"/>
            <w:vAlign w:val="center"/>
          </w:tcPr>
          <w:p>
            <w:pPr>
              <w:pStyle w:val="TableContents"/>
              <w:bidi w:val="0"/>
              <w:spacing w:before="0" w:after="283"/>
              <w:jc w:val="right"/>
              <w:rPr/>
            </w:pPr>
            <w:r>
              <w:rPr/>
              <w:t>(3,645,108</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72" w:type="dxa"/>
            <w:tcBorders/>
            <w:shd w:fill="FFFFFF" w:val="clear"/>
            <w:vAlign w:val="center"/>
          </w:tcPr>
          <w:p>
            <w:pPr>
              <w:pStyle w:val="TableContents"/>
              <w:bidi w:val="0"/>
              <w:spacing w:before="0" w:after="283"/>
              <w:jc w:val="left"/>
              <w:rPr/>
            </w:pPr>
            <w:r>
              <w:rPr/>
              <w:t> </w:t>
            </w:r>
          </w:p>
        </w:tc>
        <w:tc>
          <w:tcPr>
            <w:tcW w:w="1283" w:type="dxa"/>
            <w:tcBorders/>
            <w:shd w:fill="FFFFFF" w:val="clear"/>
            <w:vAlign w:val="center"/>
          </w:tcPr>
          <w:p>
            <w:pPr>
              <w:pStyle w:val="TableContents"/>
              <w:bidi w:val="0"/>
              <w:spacing w:before="0" w:after="283"/>
              <w:jc w:val="right"/>
              <w:rPr/>
            </w:pPr>
            <w:r>
              <w:rPr/>
              <w:t>(3,621,245</w:t>
            </w:r>
          </w:p>
        </w:tc>
        <w:tc>
          <w:tcPr>
            <w:tcW w:w="110" w:type="dxa"/>
            <w:tcBorders/>
            <w:shd w:fill="FFFFFF" w:val="clear"/>
            <w:vAlign w:val="center"/>
          </w:tcPr>
          <w:p>
            <w:pPr>
              <w:pStyle w:val="TableContents"/>
              <w:bidi w:val="0"/>
              <w:spacing w:before="0" w:after="283"/>
              <w:ind w:left="0" w:right="0" w:hanging="180"/>
              <w:jc w:val="left"/>
              <w:rPr/>
            </w:pPr>
            <w:r>
              <w:rPr/>
              <w:t>)</w:t>
            </w:r>
          </w:p>
        </w:tc>
      </w:tr>
      <w:tr>
        <w:trPr/>
        <w:tc>
          <w:tcPr>
            <w:tcW w:w="473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Common control reserve</w:t>
            </w:r>
            <w:r>
              <w:rPr>
                <w:rFonts w:ascii="Times New Roman;Times;Serif" w:hAnsi="Times New Roman;Times;Serif"/>
                <w:position w:val="7"/>
                <w:sz w:val="16"/>
                <w:sz w:val="20"/>
              </w:rPr>
              <w:t>5</w:t>
            </w:r>
          </w:p>
        </w:tc>
        <w:tc>
          <w:tcPr>
            <w:tcW w:w="60"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1283" w:type="dxa"/>
            <w:tcBorders/>
            <w:shd w:fill="CCEEFF" w:val="clear"/>
            <w:vAlign w:val="center"/>
          </w:tcPr>
          <w:p>
            <w:pPr>
              <w:pStyle w:val="TableContents"/>
              <w:bidi w:val="0"/>
              <w:spacing w:before="0" w:after="283"/>
              <w:jc w:val="right"/>
              <w:rPr/>
            </w:pPr>
            <w:r>
              <w:rPr/>
              <w:t>(2,709,236</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1283" w:type="dxa"/>
            <w:tcBorders/>
            <w:shd w:fill="CCEEFF" w:val="clear"/>
            <w:vAlign w:val="center"/>
          </w:tcPr>
          <w:p>
            <w:pPr>
              <w:pStyle w:val="TableContents"/>
              <w:bidi w:val="0"/>
              <w:spacing w:before="0" w:after="283"/>
              <w:jc w:val="right"/>
              <w:rPr/>
            </w:pPr>
            <w:r>
              <w:rPr/>
              <w:t>(2,709,236</w:t>
            </w:r>
          </w:p>
        </w:tc>
        <w:tc>
          <w:tcPr>
            <w:tcW w:w="110" w:type="dxa"/>
            <w:tcBorders/>
            <w:shd w:fill="CCEEFF" w:val="clear"/>
            <w:vAlign w:val="center"/>
          </w:tcPr>
          <w:p>
            <w:pPr>
              <w:pStyle w:val="TableContents"/>
              <w:bidi w:val="0"/>
              <w:spacing w:before="0" w:after="283"/>
              <w:ind w:left="0" w:right="0" w:hanging="180"/>
              <w:jc w:val="left"/>
              <w:rPr/>
            </w:pPr>
            <w:r>
              <w:rPr/>
              <w:t>)</w:t>
            </w:r>
          </w:p>
        </w:tc>
      </w:tr>
      <w:tr>
        <w:trPr/>
        <w:tc>
          <w:tcPr>
            <w:tcW w:w="4730" w:type="dxa"/>
            <w:tcBorders/>
            <w:shd w:fill="FFFFFF" w:val="clear"/>
            <w:vAlign w:val="center"/>
          </w:tcPr>
          <w:p>
            <w:pPr>
              <w:pStyle w:val="TableContents"/>
              <w:bidi w:val="0"/>
              <w:spacing w:before="0" w:after="283"/>
              <w:jc w:val="left"/>
              <w:rPr/>
            </w:pPr>
            <w:r>
              <w:rPr/>
              <w:t>Actuarial reserve</w:t>
            </w:r>
          </w:p>
        </w:tc>
        <w:tc>
          <w:tcPr>
            <w:tcW w:w="60" w:type="dxa"/>
            <w:tcBorders/>
            <w:shd w:fill="FFFFFF" w:val="clear"/>
            <w:vAlign w:val="center"/>
          </w:tcPr>
          <w:p>
            <w:pPr>
              <w:pStyle w:val="TableContents"/>
              <w:bidi w:val="0"/>
              <w:spacing w:before="0" w:after="283"/>
              <w:jc w:val="left"/>
              <w:rPr/>
            </w:pPr>
            <w:r>
              <w:rPr/>
              <w:t> </w:t>
            </w:r>
          </w:p>
        </w:tc>
        <w:tc>
          <w:tcPr>
            <w:tcW w:w="72" w:type="dxa"/>
            <w:tcBorders/>
            <w:shd w:fill="FFFFFF" w:val="clear"/>
            <w:vAlign w:val="center"/>
          </w:tcPr>
          <w:p>
            <w:pPr>
              <w:pStyle w:val="TableContents"/>
              <w:bidi w:val="0"/>
              <w:spacing w:before="0" w:after="283"/>
              <w:jc w:val="left"/>
              <w:rPr/>
            </w:pPr>
            <w:r>
              <w:rPr/>
              <w:t> </w:t>
            </w:r>
          </w:p>
        </w:tc>
        <w:tc>
          <w:tcPr>
            <w:tcW w:w="1283" w:type="dxa"/>
            <w:tcBorders/>
            <w:shd w:fill="FFFFFF" w:val="clear"/>
            <w:vAlign w:val="center"/>
          </w:tcPr>
          <w:p>
            <w:pPr>
              <w:pStyle w:val="TableContents"/>
              <w:bidi w:val="0"/>
              <w:spacing w:before="0" w:after="283"/>
              <w:jc w:val="right"/>
              <w:rPr/>
            </w:pPr>
            <w:r>
              <w:rPr/>
              <w:t>(58</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72" w:type="dxa"/>
            <w:tcBorders/>
            <w:shd w:fill="FFFFFF" w:val="clear"/>
            <w:vAlign w:val="center"/>
          </w:tcPr>
          <w:p>
            <w:pPr>
              <w:pStyle w:val="TableContents"/>
              <w:bidi w:val="0"/>
              <w:spacing w:before="0" w:after="283"/>
              <w:jc w:val="left"/>
              <w:rPr/>
            </w:pPr>
            <w:r>
              <w:rPr/>
              <w:t> </w:t>
            </w:r>
          </w:p>
        </w:tc>
        <w:tc>
          <w:tcPr>
            <w:tcW w:w="1283" w:type="dxa"/>
            <w:tcBorders/>
            <w:shd w:fill="FFFFFF" w:val="clear"/>
            <w:vAlign w:val="center"/>
          </w:tcPr>
          <w:p>
            <w:pPr>
              <w:pStyle w:val="TableContents"/>
              <w:bidi w:val="0"/>
              <w:spacing w:before="0" w:after="283"/>
              <w:jc w:val="right"/>
              <w:rPr/>
            </w:pPr>
            <w:r>
              <w:rPr/>
              <w:t>139</w:t>
            </w:r>
          </w:p>
        </w:tc>
        <w:tc>
          <w:tcPr>
            <w:tcW w:w="110" w:type="dxa"/>
            <w:tcBorders/>
            <w:shd w:fill="FFFFFF" w:val="clear"/>
            <w:vAlign w:val="center"/>
          </w:tcPr>
          <w:p>
            <w:pPr>
              <w:pStyle w:val="TableContents"/>
              <w:bidi w:val="0"/>
              <w:spacing w:before="0" w:after="283"/>
              <w:ind w:left="0" w:right="0" w:hanging="180"/>
              <w:jc w:val="left"/>
              <w:rPr/>
            </w:pPr>
            <w:r>
              <w:rPr/>
              <w:t> </w:t>
            </w:r>
          </w:p>
        </w:tc>
      </w:tr>
      <w:tr>
        <w:trPr/>
        <w:tc>
          <w:tcPr>
            <w:tcW w:w="4730" w:type="dxa"/>
            <w:tcBorders/>
            <w:shd w:fill="CCEEFF" w:val="clear"/>
            <w:vAlign w:val="center"/>
          </w:tcPr>
          <w:p>
            <w:pPr>
              <w:pStyle w:val="TableContents"/>
              <w:bidi w:val="0"/>
              <w:spacing w:before="0" w:after="283"/>
              <w:jc w:val="left"/>
              <w:rPr/>
            </w:pPr>
            <w:r>
              <w:rPr/>
              <w:t>Foreign currency translation reserve</w:t>
            </w:r>
          </w:p>
        </w:tc>
        <w:tc>
          <w:tcPr>
            <w:tcW w:w="60"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1283" w:type="dxa"/>
            <w:tcBorders/>
            <w:shd w:fill="CCEEFF" w:val="clear"/>
            <w:vAlign w:val="center"/>
          </w:tcPr>
          <w:p>
            <w:pPr>
              <w:pStyle w:val="TableContents"/>
              <w:bidi w:val="0"/>
              <w:spacing w:before="0" w:after="283"/>
              <w:jc w:val="right"/>
              <w:rPr/>
            </w:pPr>
            <w:r>
              <w:rPr/>
              <w:t>81,168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1283" w:type="dxa"/>
            <w:tcBorders/>
            <w:shd w:fill="CCEEFF" w:val="clear"/>
            <w:vAlign w:val="center"/>
          </w:tcPr>
          <w:p>
            <w:pPr>
              <w:pStyle w:val="TableContents"/>
              <w:bidi w:val="0"/>
              <w:spacing w:before="0" w:after="283"/>
              <w:jc w:val="right"/>
              <w:rPr/>
            </w:pPr>
            <w:r>
              <w:rPr/>
              <w:t>277,866</w:t>
            </w:r>
          </w:p>
        </w:tc>
        <w:tc>
          <w:tcPr>
            <w:tcW w:w="110" w:type="dxa"/>
            <w:tcBorders/>
            <w:shd w:fill="CCEEFF" w:val="clear"/>
            <w:vAlign w:val="center"/>
          </w:tcPr>
          <w:p>
            <w:pPr>
              <w:pStyle w:val="TableContents"/>
              <w:bidi w:val="0"/>
              <w:spacing w:before="0" w:after="283"/>
              <w:ind w:left="0" w:right="0" w:hanging="180"/>
              <w:jc w:val="left"/>
              <w:rPr/>
            </w:pPr>
            <w:r>
              <w:rPr/>
              <w:t> </w:t>
            </w:r>
          </w:p>
        </w:tc>
      </w:tr>
      <w:tr>
        <w:trPr/>
        <w:tc>
          <w:tcPr>
            <w:tcW w:w="4730" w:type="dxa"/>
            <w:tcBorders/>
            <w:shd w:fill="FFFFFF" w:val="clear"/>
            <w:vAlign w:val="center"/>
          </w:tcPr>
          <w:p>
            <w:pPr>
              <w:pStyle w:val="TableContents"/>
              <w:bidi w:val="0"/>
              <w:spacing w:before="0" w:after="283"/>
              <w:jc w:val="left"/>
              <w:rPr/>
            </w:pPr>
            <w:r>
              <w:rPr/>
              <w:t>Retained earnings</w:t>
            </w:r>
          </w:p>
        </w:tc>
        <w:tc>
          <w:tcPr>
            <w:tcW w:w="60" w:type="dxa"/>
            <w:tcBorders/>
            <w:shd w:fill="FFFFFF" w:val="clear"/>
            <w:vAlign w:val="center"/>
          </w:tcPr>
          <w:p>
            <w:pPr>
              <w:pStyle w:val="TableContents"/>
              <w:bidi w:val="0"/>
              <w:spacing w:before="0" w:after="283"/>
              <w:jc w:val="left"/>
              <w:rPr/>
            </w:pPr>
            <w:r>
              <w:rPr/>
              <w:t> </w:t>
            </w:r>
          </w:p>
        </w:tc>
        <w:tc>
          <w:tcPr>
            <w:tcW w:w="72"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83" w:type="dxa"/>
            <w:tcBorders>
              <w:bottom w:val="single" w:sz="12" w:space="0" w:color="000000"/>
            </w:tcBorders>
            <w:shd w:fill="FFFFFF" w:val="clear"/>
            <w:tcMar>
              <w:bottom w:w="28" w:type="dxa"/>
            </w:tcMar>
            <w:vAlign w:val="center"/>
          </w:tcPr>
          <w:p>
            <w:pPr>
              <w:pStyle w:val="TableContents"/>
              <w:bidi w:val="0"/>
              <w:spacing w:before="0" w:after="283"/>
              <w:jc w:val="right"/>
              <w:rPr/>
            </w:pPr>
            <w:r>
              <w:rPr/>
              <w:t>2,412,384</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2"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83" w:type="dxa"/>
            <w:tcBorders>
              <w:bottom w:val="single" w:sz="12" w:space="0" w:color="000000"/>
            </w:tcBorders>
            <w:shd w:fill="FFFFFF" w:val="clear"/>
            <w:tcMar>
              <w:bottom w:w="28" w:type="dxa"/>
            </w:tcMar>
            <w:vAlign w:val="center"/>
          </w:tcPr>
          <w:p>
            <w:pPr>
              <w:pStyle w:val="TableContents"/>
              <w:bidi w:val="0"/>
              <w:spacing w:before="0" w:after="283"/>
              <w:jc w:val="right"/>
              <w:rPr/>
            </w:pPr>
            <w:r>
              <w:rPr/>
              <w:t>2,112,091</w:t>
            </w:r>
          </w:p>
        </w:tc>
        <w:tc>
          <w:tcPr>
            <w:tcW w:w="110" w:type="dxa"/>
            <w:tcBorders/>
            <w:shd w:fill="FFFFFF" w:val="clear"/>
            <w:vAlign w:val="center"/>
          </w:tcPr>
          <w:p>
            <w:pPr>
              <w:pStyle w:val="TableContents"/>
              <w:bidi w:val="0"/>
              <w:spacing w:before="0" w:after="283"/>
              <w:ind w:left="0" w:right="0" w:hanging="180"/>
              <w:jc w:val="left"/>
              <w:rPr/>
            </w:pPr>
            <w:r>
              <w:rPr/>
              <w:t> </w:t>
            </w:r>
          </w:p>
        </w:tc>
      </w:tr>
      <w:tr>
        <w:trPr/>
        <w:tc>
          <w:tcPr>
            <w:tcW w:w="4730" w:type="dxa"/>
            <w:tcBorders/>
            <w:shd w:fill="CCEEFF" w:val="clear"/>
            <w:vAlign w:val="center"/>
          </w:tcPr>
          <w:p>
            <w:pPr>
              <w:pStyle w:val="TableContents"/>
              <w:bidi w:val="0"/>
              <w:spacing w:before="0" w:after="283"/>
              <w:jc w:val="left"/>
              <w:rPr>
                <w:b/>
              </w:rPr>
            </w:pPr>
            <w:r>
              <w:rPr>
                <w:b/>
              </w:rPr>
              <w:t>Equity attributable to equity holders of parent</w:t>
            </w:r>
          </w:p>
        </w:tc>
        <w:tc>
          <w:tcPr>
            <w:tcW w:w="60"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1283" w:type="dxa"/>
            <w:tcBorders/>
            <w:shd w:fill="CCEEFF" w:val="clear"/>
            <w:vAlign w:val="center"/>
          </w:tcPr>
          <w:p>
            <w:pPr>
              <w:pStyle w:val="TableContents"/>
              <w:bidi w:val="0"/>
              <w:spacing w:before="0" w:after="283"/>
              <w:jc w:val="right"/>
              <w:rPr/>
            </w:pPr>
            <w:r>
              <w:rPr/>
              <w:t>3,282,003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1283" w:type="dxa"/>
            <w:tcBorders/>
            <w:shd w:fill="CCEEFF" w:val="clear"/>
            <w:vAlign w:val="center"/>
          </w:tcPr>
          <w:p>
            <w:pPr>
              <w:pStyle w:val="TableContents"/>
              <w:bidi w:val="0"/>
              <w:spacing w:before="0" w:after="283"/>
              <w:jc w:val="right"/>
              <w:rPr/>
            </w:pPr>
            <w:r>
              <w:rPr/>
              <w:t>3,202,468</w:t>
            </w:r>
          </w:p>
        </w:tc>
        <w:tc>
          <w:tcPr>
            <w:tcW w:w="110" w:type="dxa"/>
            <w:tcBorders/>
            <w:shd w:fill="CCEEFF" w:val="clear"/>
            <w:vAlign w:val="center"/>
          </w:tcPr>
          <w:p>
            <w:pPr>
              <w:pStyle w:val="TableContents"/>
              <w:bidi w:val="0"/>
              <w:spacing w:before="0" w:after="283"/>
              <w:ind w:left="0" w:right="0" w:hanging="180"/>
              <w:jc w:val="left"/>
              <w:rPr/>
            </w:pPr>
            <w:r>
              <w:rPr/>
              <w:t> </w:t>
            </w:r>
          </w:p>
        </w:tc>
      </w:tr>
      <w:tr>
        <w:trPr/>
        <w:tc>
          <w:tcPr>
            <w:tcW w:w="4730" w:type="dxa"/>
            <w:tcBorders/>
            <w:shd w:fill="FFFFFF" w:val="clear"/>
            <w:vAlign w:val="center"/>
          </w:tcPr>
          <w:p>
            <w:pPr>
              <w:pStyle w:val="TableContents"/>
              <w:bidi w:val="0"/>
              <w:spacing w:before="0" w:after="283"/>
              <w:jc w:val="left"/>
              <w:rPr/>
            </w:pPr>
            <w:r>
              <w:rPr/>
              <w:t>Non-controlling interest</w:t>
            </w:r>
          </w:p>
        </w:tc>
        <w:tc>
          <w:tcPr>
            <w:tcW w:w="60" w:type="dxa"/>
            <w:tcBorders/>
            <w:shd w:fill="FFFFFF" w:val="clear"/>
            <w:vAlign w:val="center"/>
          </w:tcPr>
          <w:p>
            <w:pPr>
              <w:pStyle w:val="TableContents"/>
              <w:bidi w:val="0"/>
              <w:spacing w:before="0" w:after="283"/>
              <w:jc w:val="left"/>
              <w:rPr/>
            </w:pPr>
            <w:r>
              <w:rPr/>
              <w:t> </w:t>
            </w:r>
          </w:p>
        </w:tc>
        <w:tc>
          <w:tcPr>
            <w:tcW w:w="72"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83" w:type="dxa"/>
            <w:tcBorders>
              <w:bottom w:val="single" w:sz="12" w:space="0" w:color="000000"/>
            </w:tcBorders>
            <w:shd w:fill="FFFFFF" w:val="clear"/>
            <w:tcMar>
              <w:bottom w:w="28" w:type="dxa"/>
            </w:tcMar>
            <w:vAlign w:val="center"/>
          </w:tcPr>
          <w:p>
            <w:pPr>
              <w:pStyle w:val="TableContents"/>
              <w:bidi w:val="0"/>
              <w:spacing w:before="0" w:after="283"/>
              <w:jc w:val="right"/>
              <w:rPr/>
            </w:pPr>
            <w:r>
              <w:rPr/>
              <w:t>45,025</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2"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83" w:type="dxa"/>
            <w:tcBorders>
              <w:bottom w:val="single" w:sz="12" w:space="0" w:color="000000"/>
            </w:tcBorders>
            <w:shd w:fill="FFFFFF" w:val="clear"/>
            <w:tcMar>
              <w:bottom w:w="28" w:type="dxa"/>
            </w:tcMar>
            <w:vAlign w:val="center"/>
          </w:tcPr>
          <w:p>
            <w:pPr>
              <w:pStyle w:val="TableContents"/>
              <w:bidi w:val="0"/>
              <w:spacing w:before="0" w:after="283"/>
              <w:jc w:val="right"/>
              <w:rPr/>
            </w:pPr>
            <w:r>
              <w:rPr/>
              <w:t>43,099</w:t>
            </w:r>
          </w:p>
        </w:tc>
        <w:tc>
          <w:tcPr>
            <w:tcW w:w="110" w:type="dxa"/>
            <w:tcBorders/>
            <w:shd w:fill="FFFFFF" w:val="clear"/>
            <w:vAlign w:val="center"/>
          </w:tcPr>
          <w:p>
            <w:pPr>
              <w:pStyle w:val="TableContents"/>
              <w:bidi w:val="0"/>
              <w:spacing w:before="0" w:after="283"/>
              <w:ind w:left="0" w:right="0" w:hanging="180"/>
              <w:jc w:val="left"/>
              <w:rPr/>
            </w:pPr>
            <w:r>
              <w:rPr/>
              <w:t> </w:t>
            </w:r>
          </w:p>
        </w:tc>
      </w:tr>
      <w:tr>
        <w:trPr/>
        <w:tc>
          <w:tcPr>
            <w:tcW w:w="4730" w:type="dxa"/>
            <w:tcBorders/>
            <w:shd w:fill="CCEEFF" w:val="clear"/>
            <w:vAlign w:val="center"/>
          </w:tcPr>
          <w:p>
            <w:pPr>
              <w:pStyle w:val="TableContents"/>
              <w:bidi w:val="0"/>
              <w:spacing w:before="0" w:after="283"/>
              <w:jc w:val="left"/>
              <w:rPr>
                <w:b/>
              </w:rPr>
            </w:pPr>
            <w:r>
              <w:rPr>
                <w:b/>
              </w:rPr>
              <w:t>Total equity</w:t>
            </w:r>
          </w:p>
        </w:tc>
        <w:tc>
          <w:tcPr>
            <w:tcW w:w="60" w:type="dxa"/>
            <w:tcBorders/>
            <w:shd w:fill="CCEEFF" w:val="clear"/>
            <w:vAlign w:val="center"/>
          </w:tcPr>
          <w:p>
            <w:pPr>
              <w:pStyle w:val="TableContents"/>
              <w:bidi w:val="0"/>
              <w:spacing w:before="0" w:after="283"/>
              <w:jc w:val="left"/>
              <w:rPr/>
            </w:pPr>
            <w:r>
              <w:rPr/>
              <w:t> </w:t>
            </w:r>
          </w:p>
        </w:tc>
        <w:tc>
          <w:tcPr>
            <w:tcW w:w="72"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83" w:type="dxa"/>
            <w:tcBorders>
              <w:bottom w:val="single" w:sz="12" w:space="0" w:color="000000"/>
            </w:tcBorders>
            <w:shd w:fill="CCEEFF" w:val="clear"/>
            <w:tcMar>
              <w:bottom w:w="28" w:type="dxa"/>
            </w:tcMar>
            <w:vAlign w:val="center"/>
          </w:tcPr>
          <w:p>
            <w:pPr>
              <w:pStyle w:val="TableContents"/>
              <w:bidi w:val="0"/>
              <w:spacing w:before="0" w:after="283"/>
              <w:jc w:val="right"/>
              <w:rPr/>
            </w:pPr>
            <w:r>
              <w:rPr/>
              <w:t>3,327,028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2"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83" w:type="dxa"/>
            <w:tcBorders>
              <w:bottom w:val="single" w:sz="12" w:space="0" w:color="000000"/>
            </w:tcBorders>
            <w:shd w:fill="CCEEFF" w:val="clear"/>
            <w:tcMar>
              <w:bottom w:w="28" w:type="dxa"/>
            </w:tcMar>
            <w:vAlign w:val="center"/>
          </w:tcPr>
          <w:p>
            <w:pPr>
              <w:pStyle w:val="TableContents"/>
              <w:bidi w:val="0"/>
              <w:spacing w:before="0" w:after="283"/>
              <w:jc w:val="right"/>
              <w:rPr/>
            </w:pPr>
            <w:r>
              <w:rPr/>
              <w:t>3,245,567</w:t>
            </w:r>
          </w:p>
        </w:tc>
        <w:tc>
          <w:tcPr>
            <w:tcW w:w="110" w:type="dxa"/>
            <w:tcBorders/>
            <w:shd w:fill="CCEEFF" w:val="clear"/>
            <w:vAlign w:val="center"/>
          </w:tcPr>
          <w:p>
            <w:pPr>
              <w:pStyle w:val="TableContents"/>
              <w:bidi w:val="0"/>
              <w:spacing w:before="0" w:after="283"/>
              <w:ind w:left="0" w:right="0" w:hanging="180"/>
              <w:jc w:val="left"/>
              <w:rPr/>
            </w:pPr>
            <w:r>
              <w:rPr/>
              <w:t> </w:t>
            </w:r>
          </w:p>
        </w:tc>
      </w:tr>
      <w:tr>
        <w:trPr/>
        <w:tc>
          <w:tcPr>
            <w:tcW w:w="4730" w:type="dxa"/>
            <w:tcBorders/>
            <w:shd w:fill="FFFFFF" w:val="clear"/>
            <w:vAlign w:val="center"/>
          </w:tcPr>
          <w:p>
            <w:pPr>
              <w:pStyle w:val="TableContents"/>
              <w:bidi w:val="0"/>
              <w:spacing w:before="0" w:after="283"/>
              <w:jc w:val="left"/>
              <w:rPr>
                <w:b/>
              </w:rPr>
            </w:pPr>
            <w:r>
              <w:rPr>
                <w:b/>
              </w:rPr>
              <w:t>Liabilities</w:t>
            </w:r>
          </w:p>
        </w:tc>
        <w:tc>
          <w:tcPr>
            <w:tcW w:w="60" w:type="dxa"/>
            <w:tcBorders/>
            <w:shd w:fill="FFFFFF" w:val="clear"/>
            <w:vAlign w:val="center"/>
          </w:tcPr>
          <w:p>
            <w:pPr>
              <w:pStyle w:val="TableContents"/>
              <w:bidi w:val="0"/>
              <w:spacing w:before="0" w:after="283"/>
              <w:jc w:val="left"/>
              <w:rPr/>
            </w:pPr>
            <w:r>
              <w:rPr/>
              <w:t> </w:t>
            </w:r>
          </w:p>
        </w:tc>
        <w:tc>
          <w:tcPr>
            <w:tcW w:w="72" w:type="dxa"/>
            <w:tcBorders/>
            <w:shd w:fill="FFFFFF" w:val="clear"/>
            <w:vAlign w:val="center"/>
          </w:tcPr>
          <w:p>
            <w:pPr>
              <w:pStyle w:val="TableContents"/>
              <w:bidi w:val="0"/>
              <w:spacing w:before="0" w:after="283"/>
              <w:jc w:val="left"/>
              <w:rPr/>
            </w:pPr>
            <w:r>
              <w:rPr/>
              <w:t> </w:t>
            </w:r>
          </w:p>
        </w:tc>
        <w:tc>
          <w:tcPr>
            <w:tcW w:w="1283"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2" w:type="dxa"/>
            <w:tcBorders/>
            <w:shd w:fill="FFFFFF" w:val="clear"/>
            <w:vAlign w:val="center"/>
          </w:tcPr>
          <w:p>
            <w:pPr>
              <w:pStyle w:val="TableContents"/>
              <w:bidi w:val="0"/>
              <w:spacing w:before="0" w:after="283"/>
              <w:jc w:val="left"/>
              <w:rPr/>
            </w:pPr>
            <w:r>
              <w:rPr/>
              <w:t> </w:t>
            </w:r>
          </w:p>
        </w:tc>
        <w:tc>
          <w:tcPr>
            <w:tcW w:w="1283"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ind w:left="0" w:right="0" w:hanging="180"/>
              <w:jc w:val="left"/>
              <w:rPr/>
            </w:pPr>
            <w:r>
              <w:rPr/>
              <w:t> </w:t>
            </w:r>
          </w:p>
        </w:tc>
      </w:tr>
      <w:tr>
        <w:trPr/>
        <w:tc>
          <w:tcPr>
            <w:tcW w:w="4730" w:type="dxa"/>
            <w:tcBorders/>
            <w:shd w:fill="CCEEFF" w:val="clear"/>
            <w:vAlign w:val="center"/>
          </w:tcPr>
          <w:p>
            <w:pPr>
              <w:pStyle w:val="TableContents"/>
              <w:bidi w:val="0"/>
              <w:spacing w:before="0" w:after="283"/>
              <w:jc w:val="left"/>
              <w:rPr>
                <w:b/>
              </w:rPr>
            </w:pPr>
            <w:r>
              <w:rPr>
                <w:b/>
              </w:rPr>
              <w:t>Non-current liabilities</w:t>
            </w:r>
          </w:p>
        </w:tc>
        <w:tc>
          <w:tcPr>
            <w:tcW w:w="60"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1283"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1283"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ind w:left="0" w:right="0" w:hanging="180"/>
              <w:jc w:val="left"/>
              <w:rPr/>
            </w:pPr>
            <w:r>
              <w:rPr/>
              <w:t> </w:t>
            </w:r>
          </w:p>
        </w:tc>
      </w:tr>
      <w:tr>
        <w:trPr/>
        <w:tc>
          <w:tcPr>
            <w:tcW w:w="473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Term loans</w:t>
            </w:r>
            <w:r>
              <w:rPr>
                <w:rFonts w:ascii="Times New Roman;Times;Serif" w:hAnsi="Times New Roman;Times;Serif"/>
                <w:position w:val="7"/>
                <w:sz w:val="16"/>
                <w:sz w:val="20"/>
              </w:rPr>
              <w:t>6,7</w:t>
            </w:r>
          </w:p>
        </w:tc>
        <w:tc>
          <w:tcPr>
            <w:tcW w:w="60" w:type="dxa"/>
            <w:tcBorders/>
            <w:shd w:fill="FFFFFF" w:val="clear"/>
            <w:vAlign w:val="center"/>
          </w:tcPr>
          <w:p>
            <w:pPr>
              <w:pStyle w:val="TableContents"/>
              <w:bidi w:val="0"/>
              <w:spacing w:before="0" w:after="283"/>
              <w:jc w:val="left"/>
              <w:rPr/>
            </w:pPr>
            <w:r>
              <w:rPr/>
              <w:t> </w:t>
            </w:r>
          </w:p>
        </w:tc>
        <w:tc>
          <w:tcPr>
            <w:tcW w:w="72" w:type="dxa"/>
            <w:tcBorders/>
            <w:shd w:fill="FFFFFF" w:val="clear"/>
            <w:vAlign w:val="center"/>
          </w:tcPr>
          <w:p>
            <w:pPr>
              <w:pStyle w:val="TableContents"/>
              <w:bidi w:val="0"/>
              <w:spacing w:before="0" w:after="283"/>
              <w:jc w:val="left"/>
              <w:rPr/>
            </w:pPr>
            <w:r>
              <w:rPr/>
              <w:t> </w:t>
            </w:r>
          </w:p>
        </w:tc>
        <w:tc>
          <w:tcPr>
            <w:tcW w:w="1283" w:type="dxa"/>
            <w:tcBorders/>
            <w:shd w:fill="FFFFFF" w:val="clear"/>
            <w:vAlign w:val="center"/>
          </w:tcPr>
          <w:p>
            <w:pPr>
              <w:pStyle w:val="TableContents"/>
              <w:bidi w:val="0"/>
              <w:spacing w:before="0" w:after="283"/>
              <w:jc w:val="right"/>
              <w:rPr/>
            </w:pPr>
            <w:r>
              <w:rPr/>
              <w:t>398,931</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2" w:type="dxa"/>
            <w:tcBorders/>
            <w:shd w:fill="FFFFFF" w:val="clear"/>
            <w:vAlign w:val="center"/>
          </w:tcPr>
          <w:p>
            <w:pPr>
              <w:pStyle w:val="TableContents"/>
              <w:bidi w:val="0"/>
              <w:spacing w:before="0" w:after="283"/>
              <w:jc w:val="left"/>
              <w:rPr/>
            </w:pPr>
            <w:r>
              <w:rPr/>
              <w:t> </w:t>
            </w:r>
          </w:p>
        </w:tc>
        <w:tc>
          <w:tcPr>
            <w:tcW w:w="1283" w:type="dxa"/>
            <w:tcBorders/>
            <w:shd w:fill="FFFFFF" w:val="clear"/>
            <w:vAlign w:val="center"/>
          </w:tcPr>
          <w:p>
            <w:pPr>
              <w:pStyle w:val="TableContents"/>
              <w:bidi w:val="0"/>
              <w:spacing w:before="0" w:after="283"/>
              <w:jc w:val="right"/>
              <w:rPr/>
            </w:pPr>
            <w:r>
              <w:rPr/>
              <w:t>31,640</w:t>
            </w:r>
          </w:p>
        </w:tc>
        <w:tc>
          <w:tcPr>
            <w:tcW w:w="110" w:type="dxa"/>
            <w:tcBorders/>
            <w:shd w:fill="FFFFFF" w:val="clear"/>
            <w:vAlign w:val="center"/>
          </w:tcPr>
          <w:p>
            <w:pPr>
              <w:pStyle w:val="TableContents"/>
              <w:bidi w:val="0"/>
              <w:spacing w:before="0" w:after="283"/>
              <w:ind w:left="0" w:right="0" w:hanging="180"/>
              <w:jc w:val="left"/>
              <w:rPr/>
            </w:pPr>
            <w:r>
              <w:rPr/>
              <w:t> </w:t>
            </w:r>
          </w:p>
        </w:tc>
      </w:tr>
      <w:tr>
        <w:trPr/>
        <w:tc>
          <w:tcPr>
            <w:tcW w:w="4730" w:type="dxa"/>
            <w:tcBorders/>
            <w:shd w:fill="CCEEFF" w:val="clear"/>
            <w:vAlign w:val="center"/>
          </w:tcPr>
          <w:p>
            <w:pPr>
              <w:pStyle w:val="TableContents"/>
              <w:bidi w:val="0"/>
              <w:spacing w:before="0" w:after="283"/>
              <w:jc w:val="left"/>
              <w:rPr/>
            </w:pPr>
            <w:r>
              <w:rPr/>
              <w:t>Lease liabilities</w:t>
            </w:r>
          </w:p>
        </w:tc>
        <w:tc>
          <w:tcPr>
            <w:tcW w:w="60"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1283" w:type="dxa"/>
            <w:tcBorders/>
            <w:shd w:fill="CCEEFF" w:val="clear"/>
            <w:vAlign w:val="center"/>
          </w:tcPr>
          <w:p>
            <w:pPr>
              <w:pStyle w:val="TableContents"/>
              <w:bidi w:val="0"/>
              <w:spacing w:before="0" w:after="283"/>
              <w:jc w:val="right"/>
              <w:rPr/>
            </w:pPr>
            <w:r>
              <w:rPr/>
              <w:t>158,577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1283" w:type="dxa"/>
            <w:tcBorders/>
            <w:shd w:fill="CCEEFF" w:val="clear"/>
            <w:vAlign w:val="center"/>
          </w:tcPr>
          <w:p>
            <w:pPr>
              <w:pStyle w:val="TableContents"/>
              <w:bidi w:val="0"/>
              <w:spacing w:before="0" w:after="283"/>
              <w:jc w:val="right"/>
              <w:rPr/>
            </w:pPr>
            <w:r>
              <w:rPr/>
              <w:t>127,251</w:t>
            </w:r>
          </w:p>
        </w:tc>
        <w:tc>
          <w:tcPr>
            <w:tcW w:w="110" w:type="dxa"/>
            <w:tcBorders/>
            <w:shd w:fill="CCEEFF" w:val="clear"/>
            <w:vAlign w:val="center"/>
          </w:tcPr>
          <w:p>
            <w:pPr>
              <w:pStyle w:val="TableContents"/>
              <w:bidi w:val="0"/>
              <w:spacing w:before="0" w:after="283"/>
              <w:ind w:left="0" w:right="0" w:hanging="180"/>
              <w:jc w:val="left"/>
              <w:rPr/>
            </w:pPr>
            <w:r>
              <w:rPr/>
              <w:t> </w:t>
            </w:r>
          </w:p>
        </w:tc>
      </w:tr>
      <w:tr>
        <w:trPr/>
        <w:tc>
          <w:tcPr>
            <w:tcW w:w="4730" w:type="dxa"/>
            <w:tcBorders/>
            <w:shd w:fill="FFFFFF" w:val="clear"/>
            <w:vAlign w:val="center"/>
          </w:tcPr>
          <w:p>
            <w:pPr>
              <w:pStyle w:val="TableContents"/>
              <w:bidi w:val="0"/>
              <w:spacing w:before="0" w:after="283"/>
              <w:jc w:val="left"/>
              <w:rPr/>
            </w:pPr>
            <w:r>
              <w:rPr/>
              <w:t>Deferred revenue</w:t>
            </w:r>
          </w:p>
        </w:tc>
        <w:tc>
          <w:tcPr>
            <w:tcW w:w="60" w:type="dxa"/>
            <w:tcBorders/>
            <w:shd w:fill="FFFFFF" w:val="clear"/>
            <w:vAlign w:val="center"/>
          </w:tcPr>
          <w:p>
            <w:pPr>
              <w:pStyle w:val="TableContents"/>
              <w:bidi w:val="0"/>
              <w:spacing w:before="0" w:after="283"/>
              <w:jc w:val="left"/>
              <w:rPr/>
            </w:pPr>
            <w:r>
              <w:rPr/>
              <w:t> </w:t>
            </w:r>
          </w:p>
        </w:tc>
        <w:tc>
          <w:tcPr>
            <w:tcW w:w="72" w:type="dxa"/>
            <w:tcBorders/>
            <w:shd w:fill="FFFFFF" w:val="clear"/>
            <w:vAlign w:val="center"/>
          </w:tcPr>
          <w:p>
            <w:pPr>
              <w:pStyle w:val="TableContents"/>
              <w:bidi w:val="0"/>
              <w:spacing w:before="0" w:after="283"/>
              <w:jc w:val="left"/>
              <w:rPr/>
            </w:pPr>
            <w:r>
              <w:rPr/>
              <w:t> </w:t>
            </w:r>
          </w:p>
        </w:tc>
        <w:tc>
          <w:tcPr>
            <w:tcW w:w="1283" w:type="dxa"/>
            <w:tcBorders/>
            <w:shd w:fill="FFFFFF" w:val="clear"/>
            <w:vAlign w:val="center"/>
          </w:tcPr>
          <w:p>
            <w:pPr>
              <w:pStyle w:val="TableContents"/>
              <w:bidi w:val="0"/>
              <w:spacing w:before="0" w:after="283"/>
              <w:jc w:val="right"/>
              <w:rPr/>
            </w:pPr>
            <w:r>
              <w:rPr/>
              <w:t>122,722</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2" w:type="dxa"/>
            <w:tcBorders/>
            <w:shd w:fill="FFFFFF" w:val="clear"/>
            <w:vAlign w:val="center"/>
          </w:tcPr>
          <w:p>
            <w:pPr>
              <w:pStyle w:val="TableContents"/>
              <w:bidi w:val="0"/>
              <w:spacing w:before="0" w:after="283"/>
              <w:jc w:val="left"/>
              <w:rPr/>
            </w:pPr>
            <w:r>
              <w:rPr/>
              <w:t> </w:t>
            </w:r>
          </w:p>
        </w:tc>
        <w:tc>
          <w:tcPr>
            <w:tcW w:w="1283" w:type="dxa"/>
            <w:tcBorders/>
            <w:shd w:fill="FFFFFF" w:val="clear"/>
            <w:vAlign w:val="center"/>
          </w:tcPr>
          <w:p>
            <w:pPr>
              <w:pStyle w:val="TableContents"/>
              <w:bidi w:val="0"/>
              <w:spacing w:before="0" w:after="283"/>
              <w:jc w:val="right"/>
              <w:rPr/>
            </w:pPr>
            <w:r>
              <w:rPr/>
              <w:t>126,959</w:t>
            </w:r>
          </w:p>
        </w:tc>
        <w:tc>
          <w:tcPr>
            <w:tcW w:w="110" w:type="dxa"/>
            <w:tcBorders/>
            <w:shd w:fill="FFFFFF" w:val="clear"/>
            <w:vAlign w:val="center"/>
          </w:tcPr>
          <w:p>
            <w:pPr>
              <w:pStyle w:val="TableContents"/>
              <w:bidi w:val="0"/>
              <w:spacing w:before="0" w:after="283"/>
              <w:ind w:left="0" w:right="0" w:hanging="180"/>
              <w:jc w:val="left"/>
              <w:rPr/>
            </w:pPr>
            <w:r>
              <w:rPr/>
              <w:t> </w:t>
            </w:r>
          </w:p>
        </w:tc>
      </w:tr>
      <w:tr>
        <w:trPr/>
        <w:tc>
          <w:tcPr>
            <w:tcW w:w="4730" w:type="dxa"/>
            <w:tcBorders/>
            <w:shd w:fill="CCEEFF" w:val="clear"/>
            <w:vAlign w:val="center"/>
          </w:tcPr>
          <w:p>
            <w:pPr>
              <w:pStyle w:val="TableContents"/>
              <w:bidi w:val="0"/>
              <w:spacing w:before="0" w:after="283"/>
              <w:jc w:val="left"/>
              <w:rPr/>
            </w:pPr>
            <w:r>
              <w:rPr/>
              <w:t>Deferred tax liabilities</w:t>
            </w:r>
          </w:p>
        </w:tc>
        <w:tc>
          <w:tcPr>
            <w:tcW w:w="60" w:type="dxa"/>
            <w:tcBorders/>
            <w:shd w:fill="CCEEFF" w:val="clear"/>
            <w:vAlign w:val="center"/>
          </w:tcPr>
          <w:p>
            <w:pPr>
              <w:pStyle w:val="TableContents"/>
              <w:bidi w:val="0"/>
              <w:spacing w:before="0" w:after="283"/>
              <w:jc w:val="left"/>
              <w:rPr/>
            </w:pPr>
            <w:r>
              <w:rPr/>
              <w:t> </w:t>
            </w:r>
          </w:p>
        </w:tc>
        <w:tc>
          <w:tcPr>
            <w:tcW w:w="72"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83" w:type="dxa"/>
            <w:tcBorders>
              <w:bottom w:val="single" w:sz="12" w:space="0" w:color="000000"/>
            </w:tcBorders>
            <w:shd w:fill="CCEEFF" w:val="clear"/>
            <w:tcMar>
              <w:bottom w:w="28" w:type="dxa"/>
            </w:tcMar>
            <w:vAlign w:val="center"/>
          </w:tcPr>
          <w:p>
            <w:pPr>
              <w:pStyle w:val="TableContents"/>
              <w:bidi w:val="0"/>
              <w:spacing w:before="0" w:after="283"/>
              <w:jc w:val="right"/>
              <w:rPr/>
            </w:pPr>
            <w:r>
              <w:rPr/>
              <w:t>118,842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2"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83" w:type="dxa"/>
            <w:tcBorders>
              <w:bottom w:val="single" w:sz="12" w:space="0" w:color="000000"/>
            </w:tcBorders>
            <w:shd w:fill="CCEEFF" w:val="clear"/>
            <w:tcMar>
              <w:bottom w:w="28" w:type="dxa"/>
            </w:tcMar>
            <w:vAlign w:val="center"/>
          </w:tcPr>
          <w:p>
            <w:pPr>
              <w:pStyle w:val="TableContents"/>
              <w:bidi w:val="0"/>
              <w:spacing w:before="0" w:after="283"/>
              <w:jc w:val="right"/>
              <w:rPr/>
            </w:pPr>
            <w:r>
              <w:rPr/>
              <w:t>95,892</w:t>
            </w:r>
          </w:p>
        </w:tc>
        <w:tc>
          <w:tcPr>
            <w:tcW w:w="110" w:type="dxa"/>
            <w:tcBorders/>
            <w:shd w:fill="CCEEFF" w:val="clear"/>
            <w:vAlign w:val="center"/>
          </w:tcPr>
          <w:p>
            <w:pPr>
              <w:pStyle w:val="TableContents"/>
              <w:bidi w:val="0"/>
              <w:spacing w:before="0" w:after="283"/>
              <w:ind w:left="0" w:right="0" w:hanging="180"/>
              <w:jc w:val="left"/>
              <w:rPr/>
            </w:pPr>
            <w:r>
              <w:rPr/>
              <w:t> </w:t>
            </w:r>
          </w:p>
        </w:tc>
      </w:tr>
      <w:tr>
        <w:trPr/>
        <w:tc>
          <w:tcPr>
            <w:tcW w:w="4730" w:type="dxa"/>
            <w:tcBorders/>
            <w:shd w:fill="FFFFFF" w:val="clear"/>
            <w:vAlign w:val="center"/>
          </w:tcPr>
          <w:p>
            <w:pPr>
              <w:pStyle w:val="TableContents"/>
              <w:bidi w:val="0"/>
              <w:spacing w:before="0" w:after="283"/>
              <w:jc w:val="left"/>
              <w:rPr>
                <w:b/>
              </w:rPr>
            </w:pPr>
            <w:r>
              <w:rPr>
                <w:b/>
              </w:rPr>
              <w:t>Total non-current liabilities</w:t>
            </w:r>
          </w:p>
        </w:tc>
        <w:tc>
          <w:tcPr>
            <w:tcW w:w="60" w:type="dxa"/>
            <w:tcBorders/>
            <w:shd w:fill="FFFFFF" w:val="clear"/>
            <w:vAlign w:val="center"/>
          </w:tcPr>
          <w:p>
            <w:pPr>
              <w:pStyle w:val="TableContents"/>
              <w:bidi w:val="0"/>
              <w:spacing w:before="0" w:after="283"/>
              <w:jc w:val="left"/>
              <w:rPr/>
            </w:pPr>
            <w:r>
              <w:rPr/>
              <w:t> </w:t>
            </w:r>
          </w:p>
        </w:tc>
        <w:tc>
          <w:tcPr>
            <w:tcW w:w="72"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83" w:type="dxa"/>
            <w:tcBorders>
              <w:bottom w:val="single" w:sz="12" w:space="0" w:color="000000"/>
            </w:tcBorders>
            <w:shd w:fill="FFFFFF" w:val="clear"/>
            <w:tcMar>
              <w:bottom w:w="28" w:type="dxa"/>
            </w:tcMar>
            <w:vAlign w:val="center"/>
          </w:tcPr>
          <w:p>
            <w:pPr>
              <w:pStyle w:val="TableContents"/>
              <w:bidi w:val="0"/>
              <w:spacing w:before="0" w:after="283"/>
              <w:jc w:val="right"/>
              <w:rPr/>
            </w:pPr>
            <w:r>
              <w:rPr/>
              <w:t>799,072</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2"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83" w:type="dxa"/>
            <w:tcBorders>
              <w:bottom w:val="single" w:sz="12" w:space="0" w:color="000000"/>
            </w:tcBorders>
            <w:shd w:fill="FFFFFF" w:val="clear"/>
            <w:tcMar>
              <w:bottom w:w="28" w:type="dxa"/>
            </w:tcMar>
            <w:vAlign w:val="center"/>
          </w:tcPr>
          <w:p>
            <w:pPr>
              <w:pStyle w:val="TableContents"/>
              <w:bidi w:val="0"/>
              <w:spacing w:before="0" w:after="283"/>
              <w:jc w:val="right"/>
              <w:rPr/>
            </w:pPr>
            <w:r>
              <w:rPr/>
              <w:t>381,742</w:t>
            </w:r>
          </w:p>
        </w:tc>
        <w:tc>
          <w:tcPr>
            <w:tcW w:w="110" w:type="dxa"/>
            <w:tcBorders/>
            <w:shd w:fill="FFFFFF" w:val="clear"/>
            <w:vAlign w:val="center"/>
          </w:tcPr>
          <w:p>
            <w:pPr>
              <w:pStyle w:val="TableContents"/>
              <w:bidi w:val="0"/>
              <w:spacing w:before="0" w:after="283"/>
              <w:ind w:left="0" w:right="0" w:hanging="180"/>
              <w:jc w:val="left"/>
              <w:rPr/>
            </w:pPr>
            <w:r>
              <w:rPr/>
              <w:t> </w:t>
            </w:r>
          </w:p>
        </w:tc>
      </w:tr>
      <w:tr>
        <w:trPr/>
        <w:tc>
          <w:tcPr>
            <w:tcW w:w="4730" w:type="dxa"/>
            <w:tcBorders/>
            <w:shd w:fill="CCEEFF" w:val="clear"/>
            <w:vAlign w:val="center"/>
          </w:tcPr>
          <w:p>
            <w:pPr>
              <w:pStyle w:val="TableContents"/>
              <w:bidi w:val="0"/>
              <w:spacing w:before="0" w:after="283"/>
              <w:jc w:val="left"/>
              <w:rPr>
                <w:b/>
              </w:rPr>
            </w:pPr>
            <w:r>
              <w:rPr>
                <w:b/>
              </w:rPr>
              <w:t>Current liabilities</w:t>
            </w:r>
          </w:p>
        </w:tc>
        <w:tc>
          <w:tcPr>
            <w:tcW w:w="60"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1283"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1283"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ind w:left="0" w:right="0" w:hanging="180"/>
              <w:jc w:val="left"/>
              <w:rPr/>
            </w:pPr>
            <w:r>
              <w:rPr/>
              <w:t> </w:t>
            </w:r>
          </w:p>
        </w:tc>
      </w:tr>
      <w:tr>
        <w:trPr/>
        <w:tc>
          <w:tcPr>
            <w:tcW w:w="473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Term loans</w:t>
            </w:r>
            <w:r>
              <w:rPr>
                <w:rFonts w:ascii="Times New Roman;Times;Serif" w:hAnsi="Times New Roman;Times;Serif"/>
                <w:position w:val="7"/>
                <w:sz w:val="16"/>
                <w:sz w:val="20"/>
              </w:rPr>
              <w:t>6,7</w:t>
            </w:r>
          </w:p>
        </w:tc>
        <w:tc>
          <w:tcPr>
            <w:tcW w:w="60" w:type="dxa"/>
            <w:tcBorders/>
            <w:shd w:fill="FFFFFF" w:val="clear"/>
            <w:vAlign w:val="center"/>
          </w:tcPr>
          <w:p>
            <w:pPr>
              <w:pStyle w:val="TableContents"/>
              <w:bidi w:val="0"/>
              <w:spacing w:before="0" w:after="283"/>
              <w:jc w:val="left"/>
              <w:rPr/>
            </w:pPr>
            <w:r>
              <w:rPr/>
              <w:t> </w:t>
            </w:r>
          </w:p>
        </w:tc>
        <w:tc>
          <w:tcPr>
            <w:tcW w:w="72" w:type="dxa"/>
            <w:tcBorders/>
            <w:shd w:fill="FFFFFF" w:val="clear"/>
            <w:vAlign w:val="center"/>
          </w:tcPr>
          <w:p>
            <w:pPr>
              <w:pStyle w:val="TableContents"/>
              <w:bidi w:val="0"/>
              <w:spacing w:before="0" w:after="283"/>
              <w:jc w:val="left"/>
              <w:rPr/>
            </w:pPr>
            <w:r>
              <w:rPr/>
              <w:t> </w:t>
            </w:r>
          </w:p>
        </w:tc>
        <w:tc>
          <w:tcPr>
            <w:tcW w:w="1283" w:type="dxa"/>
            <w:tcBorders/>
            <w:shd w:fill="FFFFFF" w:val="clear"/>
            <w:vAlign w:val="center"/>
          </w:tcPr>
          <w:p>
            <w:pPr>
              <w:pStyle w:val="TableContents"/>
              <w:bidi w:val="0"/>
              <w:spacing w:before="0" w:after="283"/>
              <w:jc w:val="right"/>
              <w:rPr/>
            </w:pPr>
            <w:r>
              <w:rPr/>
              <w:t>49,721</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2" w:type="dxa"/>
            <w:tcBorders/>
            <w:shd w:fill="FFFFFF" w:val="clear"/>
            <w:vAlign w:val="center"/>
          </w:tcPr>
          <w:p>
            <w:pPr>
              <w:pStyle w:val="TableContents"/>
              <w:bidi w:val="0"/>
              <w:spacing w:before="0" w:after="283"/>
              <w:jc w:val="left"/>
              <w:rPr/>
            </w:pPr>
            <w:r>
              <w:rPr/>
              <w:t> </w:t>
            </w:r>
          </w:p>
        </w:tc>
        <w:tc>
          <w:tcPr>
            <w:tcW w:w="1283" w:type="dxa"/>
            <w:tcBorders/>
            <w:shd w:fill="FFFFFF" w:val="clear"/>
            <w:vAlign w:val="center"/>
          </w:tcPr>
          <w:p>
            <w:pPr>
              <w:pStyle w:val="TableContents"/>
              <w:bidi w:val="0"/>
              <w:spacing w:before="0" w:after="283"/>
              <w:jc w:val="right"/>
              <w:rPr/>
            </w:pPr>
            <w:r>
              <w:rPr/>
              <w:t>283,313</w:t>
            </w:r>
          </w:p>
        </w:tc>
        <w:tc>
          <w:tcPr>
            <w:tcW w:w="110" w:type="dxa"/>
            <w:tcBorders/>
            <w:shd w:fill="FFFFFF" w:val="clear"/>
            <w:vAlign w:val="center"/>
          </w:tcPr>
          <w:p>
            <w:pPr>
              <w:pStyle w:val="TableContents"/>
              <w:bidi w:val="0"/>
              <w:spacing w:before="0" w:after="283"/>
              <w:ind w:left="0" w:right="0" w:hanging="180"/>
              <w:jc w:val="left"/>
              <w:rPr/>
            </w:pPr>
            <w:r>
              <w:rPr/>
              <w:t> </w:t>
            </w:r>
          </w:p>
        </w:tc>
      </w:tr>
      <w:tr>
        <w:trPr/>
        <w:tc>
          <w:tcPr>
            <w:tcW w:w="4730" w:type="dxa"/>
            <w:tcBorders/>
            <w:shd w:fill="CCEEFF" w:val="clear"/>
            <w:vAlign w:val="center"/>
          </w:tcPr>
          <w:p>
            <w:pPr>
              <w:pStyle w:val="TableContents"/>
              <w:bidi w:val="0"/>
              <w:spacing w:before="0" w:after="283"/>
              <w:jc w:val="left"/>
              <w:rPr/>
            </w:pPr>
            <w:r>
              <w:rPr/>
              <w:t>Trade and other payables</w:t>
            </w:r>
          </w:p>
        </w:tc>
        <w:tc>
          <w:tcPr>
            <w:tcW w:w="60"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1283" w:type="dxa"/>
            <w:tcBorders/>
            <w:shd w:fill="CCEEFF" w:val="clear"/>
            <w:vAlign w:val="center"/>
          </w:tcPr>
          <w:p>
            <w:pPr>
              <w:pStyle w:val="TableContents"/>
              <w:bidi w:val="0"/>
              <w:spacing w:before="0" w:after="283"/>
              <w:jc w:val="right"/>
              <w:rPr/>
            </w:pPr>
            <w:r>
              <w:rPr/>
              <w:t>585,832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1283" w:type="dxa"/>
            <w:tcBorders/>
            <w:shd w:fill="CCEEFF" w:val="clear"/>
            <w:vAlign w:val="center"/>
          </w:tcPr>
          <w:p>
            <w:pPr>
              <w:pStyle w:val="TableContents"/>
              <w:bidi w:val="0"/>
              <w:spacing w:before="0" w:after="283"/>
              <w:jc w:val="right"/>
              <w:rPr/>
            </w:pPr>
            <w:r>
              <w:rPr/>
              <w:t>469,937</w:t>
            </w:r>
          </w:p>
        </w:tc>
        <w:tc>
          <w:tcPr>
            <w:tcW w:w="110" w:type="dxa"/>
            <w:tcBorders/>
            <w:shd w:fill="CCEEFF" w:val="clear"/>
            <w:vAlign w:val="center"/>
          </w:tcPr>
          <w:p>
            <w:pPr>
              <w:pStyle w:val="TableContents"/>
              <w:bidi w:val="0"/>
              <w:spacing w:before="0" w:after="283"/>
              <w:ind w:left="0" w:right="0" w:hanging="180"/>
              <w:jc w:val="left"/>
              <w:rPr/>
            </w:pPr>
            <w:r>
              <w:rPr/>
              <w:t> </w:t>
            </w:r>
          </w:p>
        </w:tc>
      </w:tr>
      <w:tr>
        <w:trPr/>
        <w:tc>
          <w:tcPr>
            <w:tcW w:w="4730" w:type="dxa"/>
            <w:tcBorders/>
            <w:shd w:fill="FFFFFF" w:val="clear"/>
            <w:vAlign w:val="center"/>
          </w:tcPr>
          <w:p>
            <w:pPr>
              <w:pStyle w:val="TableContents"/>
              <w:bidi w:val="0"/>
              <w:spacing w:before="0" w:after="283"/>
              <w:jc w:val="left"/>
              <w:rPr/>
            </w:pPr>
            <w:r>
              <w:rPr/>
              <w:t>Loans from related parties</w:t>
            </w:r>
          </w:p>
        </w:tc>
        <w:tc>
          <w:tcPr>
            <w:tcW w:w="60" w:type="dxa"/>
            <w:tcBorders/>
            <w:shd w:fill="FFFFFF" w:val="clear"/>
            <w:vAlign w:val="center"/>
          </w:tcPr>
          <w:p>
            <w:pPr>
              <w:pStyle w:val="TableContents"/>
              <w:bidi w:val="0"/>
              <w:spacing w:before="0" w:after="283"/>
              <w:jc w:val="left"/>
              <w:rPr/>
            </w:pPr>
            <w:r>
              <w:rPr/>
              <w:t> </w:t>
            </w:r>
          </w:p>
        </w:tc>
        <w:tc>
          <w:tcPr>
            <w:tcW w:w="72" w:type="dxa"/>
            <w:tcBorders/>
            <w:shd w:fill="FFFFFF" w:val="clear"/>
            <w:vAlign w:val="center"/>
          </w:tcPr>
          <w:p>
            <w:pPr>
              <w:pStyle w:val="TableContents"/>
              <w:bidi w:val="0"/>
              <w:spacing w:before="0" w:after="283"/>
              <w:jc w:val="left"/>
              <w:rPr/>
            </w:pPr>
            <w:r>
              <w:rPr/>
              <w:t> </w:t>
            </w:r>
          </w:p>
        </w:tc>
        <w:tc>
          <w:tcPr>
            <w:tcW w:w="1283" w:type="dxa"/>
            <w:tcBorders/>
            <w:shd w:fill="FFFFFF" w:val="clear"/>
            <w:vAlign w:val="center"/>
          </w:tcPr>
          <w:p>
            <w:pPr>
              <w:pStyle w:val="TableContents"/>
              <w:bidi w:val="0"/>
              <w:spacing w:before="0" w:after="283"/>
              <w:jc w:val="right"/>
              <w:rPr/>
            </w:pPr>
            <w:r>
              <w:rPr/>
              <w:t>85</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2" w:type="dxa"/>
            <w:tcBorders/>
            <w:shd w:fill="FFFFFF" w:val="clear"/>
            <w:vAlign w:val="center"/>
          </w:tcPr>
          <w:p>
            <w:pPr>
              <w:pStyle w:val="TableContents"/>
              <w:bidi w:val="0"/>
              <w:spacing w:before="0" w:after="283"/>
              <w:jc w:val="left"/>
              <w:rPr/>
            </w:pPr>
            <w:r>
              <w:rPr/>
              <w:t> </w:t>
            </w:r>
          </w:p>
        </w:tc>
        <w:tc>
          <w:tcPr>
            <w:tcW w:w="1283" w:type="dxa"/>
            <w:tcBorders/>
            <w:shd w:fill="FFFFFF" w:val="clear"/>
            <w:vAlign w:val="center"/>
          </w:tcPr>
          <w:p>
            <w:pPr>
              <w:pStyle w:val="TableContents"/>
              <w:bidi w:val="0"/>
              <w:spacing w:before="0" w:after="283"/>
              <w:jc w:val="right"/>
              <w:rPr/>
            </w:pPr>
            <w:r>
              <w:rPr/>
              <w:t>138</w:t>
            </w:r>
          </w:p>
        </w:tc>
        <w:tc>
          <w:tcPr>
            <w:tcW w:w="110" w:type="dxa"/>
            <w:tcBorders/>
            <w:shd w:fill="FFFFFF" w:val="clear"/>
            <w:vAlign w:val="center"/>
          </w:tcPr>
          <w:p>
            <w:pPr>
              <w:pStyle w:val="TableContents"/>
              <w:bidi w:val="0"/>
              <w:spacing w:before="0" w:after="283"/>
              <w:ind w:left="0" w:right="0" w:hanging="180"/>
              <w:jc w:val="left"/>
              <w:rPr/>
            </w:pPr>
            <w:r>
              <w:rPr/>
              <w:t> </w:t>
            </w:r>
          </w:p>
        </w:tc>
      </w:tr>
      <w:tr>
        <w:trPr/>
        <w:tc>
          <w:tcPr>
            <w:tcW w:w="4730" w:type="dxa"/>
            <w:tcBorders/>
            <w:shd w:fill="CCEEFF" w:val="clear"/>
            <w:vAlign w:val="center"/>
          </w:tcPr>
          <w:p>
            <w:pPr>
              <w:pStyle w:val="TableContents"/>
              <w:bidi w:val="0"/>
              <w:spacing w:before="0" w:after="283"/>
              <w:jc w:val="left"/>
              <w:rPr/>
            </w:pPr>
            <w:r>
              <w:rPr/>
              <w:t>Lease liabilities</w:t>
            </w:r>
          </w:p>
        </w:tc>
        <w:tc>
          <w:tcPr>
            <w:tcW w:w="60"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1283" w:type="dxa"/>
            <w:tcBorders/>
            <w:shd w:fill="CCEEFF" w:val="clear"/>
            <w:vAlign w:val="center"/>
          </w:tcPr>
          <w:p>
            <w:pPr>
              <w:pStyle w:val="TableContents"/>
              <w:bidi w:val="0"/>
              <w:spacing w:before="0" w:after="283"/>
              <w:jc w:val="right"/>
              <w:rPr/>
            </w:pPr>
            <w:r>
              <w:rPr/>
              <w:t>129,288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1283" w:type="dxa"/>
            <w:tcBorders/>
            <w:shd w:fill="CCEEFF" w:val="clear"/>
            <w:vAlign w:val="center"/>
          </w:tcPr>
          <w:p>
            <w:pPr>
              <w:pStyle w:val="TableContents"/>
              <w:bidi w:val="0"/>
              <w:spacing w:before="0" w:after="283"/>
              <w:jc w:val="right"/>
              <w:rPr/>
            </w:pPr>
            <w:r>
              <w:rPr/>
              <w:t>77,445</w:t>
            </w:r>
          </w:p>
        </w:tc>
        <w:tc>
          <w:tcPr>
            <w:tcW w:w="110" w:type="dxa"/>
            <w:tcBorders/>
            <w:shd w:fill="CCEEFF" w:val="clear"/>
            <w:vAlign w:val="center"/>
          </w:tcPr>
          <w:p>
            <w:pPr>
              <w:pStyle w:val="TableContents"/>
              <w:bidi w:val="0"/>
              <w:spacing w:before="0" w:after="283"/>
              <w:ind w:left="0" w:right="0" w:hanging="180"/>
              <w:jc w:val="left"/>
              <w:rPr/>
            </w:pPr>
            <w:r>
              <w:rPr/>
              <w:t> </w:t>
            </w:r>
          </w:p>
        </w:tc>
      </w:tr>
      <w:tr>
        <w:trPr/>
        <w:tc>
          <w:tcPr>
            <w:tcW w:w="4730" w:type="dxa"/>
            <w:tcBorders/>
            <w:shd w:fill="FFFFFF" w:val="clear"/>
            <w:vAlign w:val="center"/>
          </w:tcPr>
          <w:p>
            <w:pPr>
              <w:pStyle w:val="TableContents"/>
              <w:bidi w:val="0"/>
              <w:spacing w:before="0" w:after="283"/>
              <w:jc w:val="left"/>
              <w:rPr/>
            </w:pPr>
            <w:r>
              <w:rPr/>
              <w:t>Deferred revenue</w:t>
            </w:r>
          </w:p>
        </w:tc>
        <w:tc>
          <w:tcPr>
            <w:tcW w:w="60" w:type="dxa"/>
            <w:tcBorders/>
            <w:shd w:fill="FFFFFF" w:val="clear"/>
            <w:vAlign w:val="center"/>
          </w:tcPr>
          <w:p>
            <w:pPr>
              <w:pStyle w:val="TableContents"/>
              <w:bidi w:val="0"/>
              <w:spacing w:before="0" w:after="283"/>
              <w:jc w:val="left"/>
              <w:rPr/>
            </w:pPr>
            <w:r>
              <w:rPr/>
              <w:t> </w:t>
            </w:r>
          </w:p>
        </w:tc>
        <w:tc>
          <w:tcPr>
            <w:tcW w:w="72" w:type="dxa"/>
            <w:tcBorders/>
            <w:shd w:fill="FFFFFF" w:val="clear"/>
            <w:vAlign w:val="center"/>
          </w:tcPr>
          <w:p>
            <w:pPr>
              <w:pStyle w:val="TableContents"/>
              <w:bidi w:val="0"/>
              <w:spacing w:before="0" w:after="283"/>
              <w:jc w:val="left"/>
              <w:rPr/>
            </w:pPr>
            <w:r>
              <w:rPr/>
              <w:t> </w:t>
            </w:r>
          </w:p>
        </w:tc>
        <w:tc>
          <w:tcPr>
            <w:tcW w:w="1283" w:type="dxa"/>
            <w:tcBorders/>
            <w:shd w:fill="FFFFFF" w:val="clear"/>
            <w:vAlign w:val="center"/>
          </w:tcPr>
          <w:p>
            <w:pPr>
              <w:pStyle w:val="TableContents"/>
              <w:bidi w:val="0"/>
              <w:spacing w:before="0" w:after="283"/>
              <w:jc w:val="right"/>
              <w:rPr/>
            </w:pPr>
            <w:r>
              <w:rPr/>
              <w:t>405,605</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2" w:type="dxa"/>
            <w:tcBorders/>
            <w:shd w:fill="FFFFFF" w:val="clear"/>
            <w:vAlign w:val="center"/>
          </w:tcPr>
          <w:p>
            <w:pPr>
              <w:pStyle w:val="TableContents"/>
              <w:bidi w:val="0"/>
              <w:spacing w:before="0" w:after="283"/>
              <w:jc w:val="left"/>
              <w:rPr/>
            </w:pPr>
            <w:r>
              <w:rPr/>
              <w:t> </w:t>
            </w:r>
          </w:p>
        </w:tc>
        <w:tc>
          <w:tcPr>
            <w:tcW w:w="1283" w:type="dxa"/>
            <w:tcBorders/>
            <w:shd w:fill="FFFFFF" w:val="clear"/>
            <w:vAlign w:val="center"/>
          </w:tcPr>
          <w:p>
            <w:pPr>
              <w:pStyle w:val="TableContents"/>
              <w:bidi w:val="0"/>
              <w:spacing w:before="0" w:after="283"/>
              <w:jc w:val="right"/>
              <w:rPr/>
            </w:pPr>
            <w:r>
              <w:rPr/>
              <w:t>357,780</w:t>
            </w:r>
          </w:p>
        </w:tc>
        <w:tc>
          <w:tcPr>
            <w:tcW w:w="110" w:type="dxa"/>
            <w:tcBorders/>
            <w:shd w:fill="FFFFFF" w:val="clear"/>
            <w:vAlign w:val="center"/>
          </w:tcPr>
          <w:p>
            <w:pPr>
              <w:pStyle w:val="TableContents"/>
              <w:bidi w:val="0"/>
              <w:spacing w:before="0" w:after="283"/>
              <w:ind w:left="0" w:right="0" w:hanging="180"/>
              <w:jc w:val="left"/>
              <w:rPr/>
            </w:pPr>
            <w:r>
              <w:rPr/>
              <w:t> </w:t>
            </w:r>
          </w:p>
        </w:tc>
      </w:tr>
      <w:tr>
        <w:trPr/>
        <w:tc>
          <w:tcPr>
            <w:tcW w:w="4730" w:type="dxa"/>
            <w:tcBorders/>
            <w:shd w:fill="CCEEFF" w:val="clear"/>
            <w:vAlign w:val="center"/>
          </w:tcPr>
          <w:p>
            <w:pPr>
              <w:pStyle w:val="TableContents"/>
              <w:bidi w:val="0"/>
              <w:spacing w:before="0" w:after="283"/>
              <w:jc w:val="left"/>
              <w:rPr/>
            </w:pPr>
            <w:r>
              <w:rPr/>
              <w:t>Bank overdraft</w:t>
            </w:r>
          </w:p>
        </w:tc>
        <w:tc>
          <w:tcPr>
            <w:tcW w:w="60"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1283" w:type="dxa"/>
            <w:tcBorders/>
            <w:shd w:fill="CCEEFF" w:val="clear"/>
            <w:vAlign w:val="center"/>
          </w:tcPr>
          <w:p>
            <w:pPr>
              <w:pStyle w:val="TableContents"/>
              <w:bidi w:val="0"/>
              <w:spacing w:before="0" w:after="283"/>
              <w:jc w:val="right"/>
              <w:rPr/>
            </w:pPr>
            <w:r>
              <w:rPr/>
              <w:t>407,668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1283" w:type="dxa"/>
            <w:tcBorders/>
            <w:shd w:fill="CCEEFF" w:val="clear"/>
            <w:vAlign w:val="center"/>
          </w:tcPr>
          <w:p>
            <w:pPr>
              <w:pStyle w:val="TableContents"/>
              <w:bidi w:val="0"/>
              <w:spacing w:before="0" w:after="283"/>
              <w:jc w:val="right"/>
              <w:rPr/>
            </w:pPr>
            <w:r>
              <w:rPr/>
              <w:t>205,299</w:t>
            </w:r>
          </w:p>
        </w:tc>
        <w:tc>
          <w:tcPr>
            <w:tcW w:w="110" w:type="dxa"/>
            <w:tcBorders/>
            <w:shd w:fill="CCEEFF" w:val="clear"/>
            <w:vAlign w:val="center"/>
          </w:tcPr>
          <w:p>
            <w:pPr>
              <w:pStyle w:val="TableContents"/>
              <w:bidi w:val="0"/>
              <w:spacing w:before="0" w:after="283"/>
              <w:ind w:left="0" w:right="0" w:hanging="180"/>
              <w:jc w:val="left"/>
              <w:rPr/>
            </w:pPr>
            <w:r>
              <w:rPr/>
              <w:t> </w:t>
            </w:r>
          </w:p>
        </w:tc>
      </w:tr>
      <w:tr>
        <w:trPr/>
        <w:tc>
          <w:tcPr>
            <w:tcW w:w="4730" w:type="dxa"/>
            <w:tcBorders/>
            <w:shd w:fill="FFFFFF" w:val="clear"/>
            <w:vAlign w:val="center"/>
          </w:tcPr>
          <w:p>
            <w:pPr>
              <w:pStyle w:val="TableContents"/>
              <w:bidi w:val="0"/>
              <w:spacing w:before="0" w:after="283"/>
              <w:jc w:val="left"/>
              <w:rPr/>
            </w:pPr>
            <w:r>
              <w:rPr/>
              <w:t>Income tax payables</w:t>
            </w:r>
          </w:p>
        </w:tc>
        <w:tc>
          <w:tcPr>
            <w:tcW w:w="60" w:type="dxa"/>
            <w:tcBorders/>
            <w:shd w:fill="FFFFFF" w:val="clear"/>
            <w:vAlign w:val="center"/>
          </w:tcPr>
          <w:p>
            <w:pPr>
              <w:pStyle w:val="TableContents"/>
              <w:bidi w:val="0"/>
              <w:spacing w:before="0" w:after="283"/>
              <w:jc w:val="left"/>
              <w:rPr/>
            </w:pPr>
            <w:r>
              <w:rPr/>
              <w:t> </w:t>
            </w:r>
          </w:p>
        </w:tc>
        <w:tc>
          <w:tcPr>
            <w:tcW w:w="72" w:type="dxa"/>
            <w:tcBorders/>
            <w:shd w:fill="FFFFFF" w:val="clear"/>
            <w:vAlign w:val="center"/>
          </w:tcPr>
          <w:p>
            <w:pPr>
              <w:pStyle w:val="TableContents"/>
              <w:bidi w:val="0"/>
              <w:spacing w:before="0" w:after="283"/>
              <w:jc w:val="left"/>
              <w:rPr/>
            </w:pPr>
            <w:r>
              <w:rPr/>
              <w:t> </w:t>
            </w:r>
          </w:p>
        </w:tc>
        <w:tc>
          <w:tcPr>
            <w:tcW w:w="1283" w:type="dxa"/>
            <w:tcBorders/>
            <w:shd w:fill="FFFFFF" w:val="clear"/>
            <w:vAlign w:val="center"/>
          </w:tcPr>
          <w:p>
            <w:pPr>
              <w:pStyle w:val="TableContents"/>
              <w:bidi w:val="0"/>
              <w:spacing w:before="0" w:after="283"/>
              <w:jc w:val="right"/>
              <w:rPr/>
            </w:pPr>
            <w:r>
              <w:rPr/>
              <w:t>89,845</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2" w:type="dxa"/>
            <w:tcBorders/>
            <w:shd w:fill="FFFFFF" w:val="clear"/>
            <w:vAlign w:val="center"/>
          </w:tcPr>
          <w:p>
            <w:pPr>
              <w:pStyle w:val="TableContents"/>
              <w:bidi w:val="0"/>
              <w:spacing w:before="0" w:after="283"/>
              <w:jc w:val="left"/>
              <w:rPr/>
            </w:pPr>
            <w:r>
              <w:rPr/>
              <w:t> </w:t>
            </w:r>
          </w:p>
        </w:tc>
        <w:tc>
          <w:tcPr>
            <w:tcW w:w="1283" w:type="dxa"/>
            <w:tcBorders/>
            <w:shd w:fill="FFFFFF" w:val="clear"/>
            <w:vAlign w:val="center"/>
          </w:tcPr>
          <w:p>
            <w:pPr>
              <w:pStyle w:val="TableContents"/>
              <w:bidi w:val="0"/>
              <w:spacing w:before="0" w:after="283"/>
              <w:jc w:val="right"/>
              <w:rPr/>
            </w:pPr>
            <w:r>
              <w:rPr/>
              <w:t>57,039</w:t>
            </w:r>
          </w:p>
        </w:tc>
        <w:tc>
          <w:tcPr>
            <w:tcW w:w="110" w:type="dxa"/>
            <w:tcBorders/>
            <w:shd w:fill="FFFFFF" w:val="clear"/>
            <w:vAlign w:val="center"/>
          </w:tcPr>
          <w:p>
            <w:pPr>
              <w:pStyle w:val="TableContents"/>
              <w:bidi w:val="0"/>
              <w:spacing w:before="0" w:after="283"/>
              <w:ind w:left="0" w:right="0" w:hanging="180"/>
              <w:jc w:val="left"/>
              <w:rPr/>
            </w:pPr>
            <w:r>
              <w:rPr/>
              <w:t> </w:t>
            </w:r>
          </w:p>
        </w:tc>
      </w:tr>
      <w:tr>
        <w:trPr/>
        <w:tc>
          <w:tcPr>
            <w:tcW w:w="4730" w:type="dxa"/>
            <w:tcBorders/>
            <w:shd w:fill="CCEEFF" w:val="clear"/>
            <w:vAlign w:val="center"/>
          </w:tcPr>
          <w:p>
            <w:pPr>
              <w:pStyle w:val="TableContents"/>
              <w:bidi w:val="0"/>
              <w:spacing w:before="0" w:after="283"/>
              <w:jc w:val="left"/>
              <w:rPr/>
            </w:pPr>
            <w:r>
              <w:rPr/>
              <w:t>Provision for warranties</w:t>
            </w:r>
          </w:p>
        </w:tc>
        <w:tc>
          <w:tcPr>
            <w:tcW w:w="60" w:type="dxa"/>
            <w:tcBorders/>
            <w:shd w:fill="CCEEFF" w:val="clear"/>
            <w:vAlign w:val="center"/>
          </w:tcPr>
          <w:p>
            <w:pPr>
              <w:pStyle w:val="TableContents"/>
              <w:bidi w:val="0"/>
              <w:spacing w:before="0" w:after="283"/>
              <w:jc w:val="left"/>
              <w:rPr/>
            </w:pPr>
            <w:r>
              <w:rPr/>
              <w:t> </w:t>
            </w:r>
          </w:p>
        </w:tc>
        <w:tc>
          <w:tcPr>
            <w:tcW w:w="72"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83"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2"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83" w:type="dxa"/>
            <w:tcBorders>
              <w:bottom w:val="single" w:sz="12" w:space="0" w:color="000000"/>
            </w:tcBorders>
            <w:shd w:fill="CCEEFF" w:val="clear"/>
            <w:tcMar>
              <w:bottom w:w="28" w:type="dxa"/>
            </w:tcMar>
            <w:vAlign w:val="center"/>
          </w:tcPr>
          <w:p>
            <w:pPr>
              <w:pStyle w:val="TableContents"/>
              <w:bidi w:val="0"/>
              <w:spacing w:before="0" w:after="283"/>
              <w:jc w:val="right"/>
              <w:rPr/>
            </w:pPr>
            <w:r>
              <w:rPr/>
              <w:t>890</w:t>
            </w:r>
          </w:p>
        </w:tc>
        <w:tc>
          <w:tcPr>
            <w:tcW w:w="110" w:type="dxa"/>
            <w:tcBorders/>
            <w:shd w:fill="CCEEFF" w:val="clear"/>
            <w:vAlign w:val="center"/>
          </w:tcPr>
          <w:p>
            <w:pPr>
              <w:pStyle w:val="TableContents"/>
              <w:bidi w:val="0"/>
              <w:spacing w:before="0" w:after="283"/>
              <w:ind w:left="0" w:right="0" w:hanging="180"/>
              <w:jc w:val="left"/>
              <w:rPr/>
            </w:pPr>
            <w:r>
              <w:rPr/>
              <w:t> </w:t>
            </w:r>
          </w:p>
        </w:tc>
      </w:tr>
      <w:tr>
        <w:trPr/>
        <w:tc>
          <w:tcPr>
            <w:tcW w:w="4730" w:type="dxa"/>
            <w:tcBorders/>
            <w:shd w:fill="FFFFFF" w:val="clear"/>
            <w:vAlign w:val="center"/>
          </w:tcPr>
          <w:p>
            <w:pPr>
              <w:pStyle w:val="TableContents"/>
              <w:bidi w:val="0"/>
              <w:spacing w:before="0" w:after="283"/>
              <w:jc w:val="left"/>
              <w:rPr>
                <w:b/>
              </w:rPr>
            </w:pPr>
            <w:r>
              <w:rPr>
                <w:b/>
              </w:rPr>
              <w:t>Total current liabilities</w:t>
            </w:r>
          </w:p>
        </w:tc>
        <w:tc>
          <w:tcPr>
            <w:tcW w:w="60" w:type="dxa"/>
            <w:tcBorders/>
            <w:shd w:fill="FFFFFF" w:val="clear"/>
            <w:vAlign w:val="center"/>
          </w:tcPr>
          <w:p>
            <w:pPr>
              <w:pStyle w:val="TableContents"/>
              <w:bidi w:val="0"/>
              <w:spacing w:before="0" w:after="283"/>
              <w:jc w:val="left"/>
              <w:rPr/>
            </w:pPr>
            <w:r>
              <w:rPr/>
              <w:t> </w:t>
            </w:r>
          </w:p>
        </w:tc>
        <w:tc>
          <w:tcPr>
            <w:tcW w:w="72"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83" w:type="dxa"/>
            <w:tcBorders>
              <w:bottom w:val="single" w:sz="12" w:space="0" w:color="000000"/>
            </w:tcBorders>
            <w:shd w:fill="FFFFFF" w:val="clear"/>
            <w:tcMar>
              <w:bottom w:w="28" w:type="dxa"/>
            </w:tcMar>
            <w:vAlign w:val="center"/>
          </w:tcPr>
          <w:p>
            <w:pPr>
              <w:pStyle w:val="TableContents"/>
              <w:bidi w:val="0"/>
              <w:spacing w:before="0" w:after="283"/>
              <w:jc w:val="right"/>
              <w:rPr/>
            </w:pPr>
            <w:r>
              <w:rPr/>
              <w:t>1,668,044</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2"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83" w:type="dxa"/>
            <w:tcBorders>
              <w:bottom w:val="single" w:sz="12" w:space="0" w:color="000000"/>
            </w:tcBorders>
            <w:shd w:fill="FFFFFF" w:val="clear"/>
            <w:tcMar>
              <w:bottom w:w="28" w:type="dxa"/>
            </w:tcMar>
            <w:vAlign w:val="center"/>
          </w:tcPr>
          <w:p>
            <w:pPr>
              <w:pStyle w:val="TableContents"/>
              <w:bidi w:val="0"/>
              <w:spacing w:before="0" w:after="283"/>
              <w:jc w:val="right"/>
              <w:rPr/>
            </w:pPr>
            <w:r>
              <w:rPr/>
              <w:t>1,451,841</w:t>
            </w:r>
          </w:p>
        </w:tc>
        <w:tc>
          <w:tcPr>
            <w:tcW w:w="110" w:type="dxa"/>
            <w:tcBorders/>
            <w:shd w:fill="FFFFFF" w:val="clear"/>
            <w:vAlign w:val="center"/>
          </w:tcPr>
          <w:p>
            <w:pPr>
              <w:pStyle w:val="TableContents"/>
              <w:bidi w:val="0"/>
              <w:spacing w:before="0" w:after="283"/>
              <w:ind w:left="0" w:right="0" w:hanging="180"/>
              <w:jc w:val="left"/>
              <w:rPr/>
            </w:pPr>
            <w:r>
              <w:rPr/>
              <w:t> </w:t>
            </w:r>
          </w:p>
        </w:tc>
      </w:tr>
      <w:tr>
        <w:trPr/>
        <w:tc>
          <w:tcPr>
            <w:tcW w:w="4730" w:type="dxa"/>
            <w:tcBorders/>
            <w:shd w:fill="CCEEFF" w:val="clear"/>
            <w:vAlign w:val="center"/>
          </w:tcPr>
          <w:p>
            <w:pPr>
              <w:pStyle w:val="TableContents"/>
              <w:bidi w:val="0"/>
              <w:spacing w:before="0" w:after="283"/>
              <w:jc w:val="left"/>
              <w:rPr>
                <w:b/>
              </w:rPr>
            </w:pPr>
            <w:r>
              <w:rPr>
                <w:b/>
              </w:rPr>
              <w:t>Total liabilities</w:t>
            </w:r>
          </w:p>
        </w:tc>
        <w:tc>
          <w:tcPr>
            <w:tcW w:w="60" w:type="dxa"/>
            <w:tcBorders/>
            <w:shd w:fill="CCEEFF" w:val="clear"/>
            <w:vAlign w:val="center"/>
          </w:tcPr>
          <w:p>
            <w:pPr>
              <w:pStyle w:val="TableContents"/>
              <w:bidi w:val="0"/>
              <w:spacing w:before="0" w:after="283"/>
              <w:jc w:val="left"/>
              <w:rPr/>
            </w:pPr>
            <w:r>
              <w:rPr/>
              <w:t> </w:t>
            </w:r>
          </w:p>
        </w:tc>
        <w:tc>
          <w:tcPr>
            <w:tcW w:w="72"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83" w:type="dxa"/>
            <w:tcBorders>
              <w:bottom w:val="single" w:sz="12" w:space="0" w:color="000000"/>
            </w:tcBorders>
            <w:shd w:fill="CCEEFF" w:val="clear"/>
            <w:tcMar>
              <w:bottom w:w="28" w:type="dxa"/>
            </w:tcMar>
            <w:vAlign w:val="center"/>
          </w:tcPr>
          <w:p>
            <w:pPr>
              <w:pStyle w:val="TableContents"/>
              <w:bidi w:val="0"/>
              <w:spacing w:before="0" w:after="283"/>
              <w:jc w:val="right"/>
              <w:rPr/>
            </w:pPr>
            <w:r>
              <w:rPr/>
              <w:t>2,467,116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2"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83" w:type="dxa"/>
            <w:tcBorders>
              <w:bottom w:val="single" w:sz="12" w:space="0" w:color="000000"/>
            </w:tcBorders>
            <w:shd w:fill="CCEEFF" w:val="clear"/>
            <w:tcMar>
              <w:bottom w:w="28" w:type="dxa"/>
            </w:tcMar>
            <w:vAlign w:val="center"/>
          </w:tcPr>
          <w:p>
            <w:pPr>
              <w:pStyle w:val="TableContents"/>
              <w:bidi w:val="0"/>
              <w:spacing w:before="0" w:after="283"/>
              <w:jc w:val="right"/>
              <w:rPr/>
            </w:pPr>
            <w:r>
              <w:rPr/>
              <w:t>1,833,583</w:t>
            </w:r>
          </w:p>
        </w:tc>
        <w:tc>
          <w:tcPr>
            <w:tcW w:w="110" w:type="dxa"/>
            <w:tcBorders/>
            <w:shd w:fill="CCEEFF" w:val="clear"/>
            <w:vAlign w:val="center"/>
          </w:tcPr>
          <w:p>
            <w:pPr>
              <w:pStyle w:val="TableContents"/>
              <w:bidi w:val="0"/>
              <w:spacing w:before="0" w:after="283"/>
              <w:ind w:left="0" w:right="0" w:hanging="180"/>
              <w:jc w:val="left"/>
              <w:rPr/>
            </w:pPr>
            <w:r>
              <w:rPr/>
              <w:t> </w:t>
            </w:r>
          </w:p>
        </w:tc>
      </w:tr>
      <w:tr>
        <w:trPr/>
        <w:tc>
          <w:tcPr>
            <w:tcW w:w="4730" w:type="dxa"/>
            <w:tcBorders/>
            <w:shd w:fill="FFFFFF" w:val="clear"/>
            <w:vAlign w:val="center"/>
          </w:tcPr>
          <w:p>
            <w:pPr>
              <w:pStyle w:val="TableContents"/>
              <w:bidi w:val="0"/>
              <w:spacing w:before="0" w:after="283"/>
              <w:jc w:val="left"/>
              <w:rPr>
                <w:b/>
              </w:rPr>
            </w:pPr>
            <w:r>
              <w:rPr>
                <w:b/>
              </w:rPr>
              <w:t>Total equity and liabilities</w:t>
            </w:r>
          </w:p>
        </w:tc>
        <w:tc>
          <w:tcPr>
            <w:tcW w:w="60" w:type="dxa"/>
            <w:tcBorders/>
            <w:shd w:fill="FFFFFF" w:val="clear"/>
            <w:vAlign w:val="center"/>
          </w:tcPr>
          <w:p>
            <w:pPr>
              <w:pStyle w:val="TableContents"/>
              <w:bidi w:val="0"/>
              <w:spacing w:before="0" w:after="283"/>
              <w:jc w:val="left"/>
              <w:rPr/>
            </w:pPr>
            <w:r>
              <w:rPr/>
              <w:t> </w:t>
            </w:r>
          </w:p>
        </w:tc>
        <w:tc>
          <w:tcPr>
            <w:tcW w:w="72" w:type="dxa"/>
            <w:tcBorders>
              <w:bottom w:val="double" w:sz="10" w:space="0" w:color="000000"/>
            </w:tcBorders>
            <w:shd w:fill="FFFFFF" w:val="clear"/>
            <w:tcMar>
              <w:bottom w:w="28" w:type="dxa"/>
            </w:tcMar>
            <w:vAlign w:val="center"/>
          </w:tcPr>
          <w:p>
            <w:pPr>
              <w:pStyle w:val="TableContents"/>
              <w:bidi w:val="0"/>
              <w:spacing w:before="0" w:after="283"/>
              <w:jc w:val="left"/>
              <w:rPr/>
            </w:pPr>
            <w:r>
              <w:rPr/>
              <w:t> </w:t>
            </w:r>
          </w:p>
        </w:tc>
        <w:tc>
          <w:tcPr>
            <w:tcW w:w="1283" w:type="dxa"/>
            <w:tcBorders>
              <w:bottom w:val="double" w:sz="10" w:space="0" w:color="000000"/>
            </w:tcBorders>
            <w:shd w:fill="FFFFFF" w:val="clear"/>
            <w:tcMar>
              <w:bottom w:w="28" w:type="dxa"/>
            </w:tcMar>
            <w:vAlign w:val="center"/>
          </w:tcPr>
          <w:p>
            <w:pPr>
              <w:pStyle w:val="TableContents"/>
              <w:bidi w:val="0"/>
              <w:spacing w:before="0" w:after="283"/>
              <w:jc w:val="right"/>
              <w:rPr/>
            </w:pPr>
            <w:r>
              <w:rPr/>
              <w:t>5,794,144</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2" w:type="dxa"/>
            <w:tcBorders>
              <w:bottom w:val="double" w:sz="10" w:space="0" w:color="000000"/>
            </w:tcBorders>
            <w:shd w:fill="FFFFFF" w:val="clear"/>
            <w:tcMar>
              <w:bottom w:w="28" w:type="dxa"/>
            </w:tcMar>
            <w:vAlign w:val="center"/>
          </w:tcPr>
          <w:p>
            <w:pPr>
              <w:pStyle w:val="TableContents"/>
              <w:bidi w:val="0"/>
              <w:spacing w:before="0" w:after="283"/>
              <w:jc w:val="left"/>
              <w:rPr/>
            </w:pPr>
            <w:r>
              <w:rPr/>
              <w:t> </w:t>
            </w:r>
          </w:p>
        </w:tc>
        <w:tc>
          <w:tcPr>
            <w:tcW w:w="1283" w:type="dxa"/>
            <w:tcBorders>
              <w:bottom w:val="double" w:sz="10" w:space="0" w:color="000000"/>
            </w:tcBorders>
            <w:shd w:fill="FFFFFF" w:val="clear"/>
            <w:tcMar>
              <w:bottom w:w="28" w:type="dxa"/>
            </w:tcMar>
            <w:vAlign w:val="center"/>
          </w:tcPr>
          <w:p>
            <w:pPr>
              <w:pStyle w:val="TableContents"/>
              <w:bidi w:val="0"/>
              <w:spacing w:before="0" w:after="283"/>
              <w:jc w:val="right"/>
              <w:rPr/>
            </w:pPr>
            <w:r>
              <w:rPr/>
              <w:t>5,079,150</w:t>
            </w:r>
          </w:p>
        </w:tc>
        <w:tc>
          <w:tcPr>
            <w:tcW w:w="11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16</w:t>
      </w:r>
    </w:p>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tbl>
      <w:tblPr>
        <w:tblW w:w="3880" w:type="dxa"/>
        <w:jc w:val="left"/>
        <w:tblInd w:w="0" w:type="dxa"/>
        <w:tblLayout w:type="fixed"/>
        <w:tblCellMar>
          <w:top w:w="0" w:type="dxa"/>
          <w:left w:w="0" w:type="dxa"/>
          <w:bottom w:w="0" w:type="dxa"/>
          <w:right w:w="0" w:type="dxa"/>
        </w:tblCellMar>
      </w:tblPr>
      <w:tblGrid>
        <w:gridCol w:w="185"/>
        <w:gridCol w:w="3695"/>
      </w:tblGrid>
      <w:tr>
        <w:trPr/>
        <w:tc>
          <w:tcPr>
            <w:tcW w:w="185" w:type="dxa"/>
            <w:tcBorders/>
            <w:vAlign w:val="center"/>
          </w:tcPr>
          <w:p>
            <w:pPr>
              <w:pStyle w:val="TableContents"/>
              <w:bidi w:val="0"/>
              <w:spacing w:before="0" w:after="283"/>
              <w:jc w:val="both"/>
              <w:rPr>
                <w:rFonts w:ascii="Times New Roman;Times;Serif" w:hAnsi="Times New Roman;Times;Serif"/>
                <w:i/>
                <w:sz w:val="20"/>
              </w:rPr>
            </w:pPr>
            <w:r>
              <w:rPr>
                <w:rFonts w:ascii="Times New Roman;Times;Serif" w:hAnsi="Times New Roman;Times;Serif"/>
                <w:i/>
                <w:sz w:val="20"/>
              </w:rPr>
              <w:t>1.</w:t>
            </w:r>
          </w:p>
        </w:tc>
        <w:tc>
          <w:tcPr>
            <w:tcW w:w="3695" w:type="dxa"/>
            <w:tcBorders/>
            <w:vAlign w:val="center"/>
          </w:tcPr>
          <w:p>
            <w:pPr>
              <w:pStyle w:val="TableContents"/>
              <w:bidi w:val="0"/>
              <w:spacing w:before="0" w:after="283"/>
              <w:jc w:val="both"/>
              <w:rPr>
                <w:rFonts w:ascii="Times New Roman;Times;Serif" w:hAnsi="Times New Roman;Times;Serif"/>
                <w:i/>
                <w:sz w:val="20"/>
              </w:rPr>
            </w:pPr>
            <w:r>
              <w:rPr>
                <w:rFonts w:ascii="Times New Roman;Times;Serif" w:hAnsi="Times New Roman;Times;Serif"/>
                <w:i/>
                <w:sz w:val="20"/>
              </w:rPr>
              <w:t>Property, plant and equipment comprised of:</w:t>
            </w:r>
          </w:p>
        </w:tc>
      </w:tr>
    </w:tbl>
    <w:p>
      <w:pPr>
        <w:pStyle w:val="TextBody"/>
        <w:bidi w:val="0"/>
        <w:spacing w:before="0" w:after="0"/>
        <w:ind w:left="0" w:right="0" w:hanging="0"/>
        <w:jc w:val="both"/>
        <w:rPr>
          <w:caps w:val="false"/>
          <w:smallCaps w:val="false"/>
        </w:rPr>
      </w:pPr>
      <w:r>
        <w:rPr>
          <w:caps w:val="false"/>
          <w:smallCaps w:val="false"/>
        </w:rPr>
        <w:t> </w:t>
      </w:r>
    </w:p>
    <w:tbl>
      <w:tblPr>
        <w:tblW w:w="7695" w:type="dxa"/>
        <w:jc w:val="left"/>
        <w:tblInd w:w="0" w:type="dxa"/>
        <w:tblLayout w:type="fixed"/>
        <w:tblCellMar>
          <w:top w:w="0" w:type="dxa"/>
          <w:left w:w="0" w:type="dxa"/>
          <w:bottom w:w="0" w:type="dxa"/>
          <w:right w:w="0" w:type="dxa"/>
        </w:tblCellMar>
      </w:tblPr>
      <w:tblGrid>
        <w:gridCol w:w="4730"/>
        <w:gridCol w:w="60"/>
        <w:gridCol w:w="78"/>
        <w:gridCol w:w="1277"/>
        <w:gridCol w:w="60"/>
        <w:gridCol w:w="60"/>
        <w:gridCol w:w="78"/>
        <w:gridCol w:w="1277"/>
        <w:gridCol w:w="75"/>
      </w:tblGrid>
      <w:tr>
        <w:trPr/>
        <w:tc>
          <w:tcPr>
            <w:tcW w:w="473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35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As of</w:t>
              <w:br/>
              <w:t>February 28,</w:t>
              <w:br/>
              <w:t>2026</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5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As of</w:t>
              <w:br/>
              <w:t>February 28,</w:t>
              <w:br/>
              <w:t>2025</w:t>
            </w:r>
          </w:p>
        </w:tc>
        <w:tc>
          <w:tcPr>
            <w:tcW w:w="75" w:type="dxa"/>
            <w:tcBorders/>
            <w:vAlign w:val="center"/>
          </w:tcPr>
          <w:p>
            <w:pPr>
              <w:pStyle w:val="TableContents"/>
              <w:bidi w:val="0"/>
              <w:spacing w:before="0" w:after="283"/>
              <w:jc w:val="left"/>
              <w:rPr/>
            </w:pPr>
            <w:r>
              <w:rPr/>
              <w:t> </w:t>
            </w:r>
          </w:p>
        </w:tc>
      </w:tr>
      <w:tr>
        <w:trPr/>
        <w:tc>
          <w:tcPr>
            <w:tcW w:w="4730"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pPr>
            <w:r>
              <w:rPr/>
              <w:t> </w:t>
            </w:r>
          </w:p>
        </w:tc>
        <w:tc>
          <w:tcPr>
            <w:tcW w:w="2830" w:type="dxa"/>
            <w:gridSpan w:val="6"/>
            <w:tcBorders/>
            <w:vAlign w:val="center"/>
          </w:tcPr>
          <w:p>
            <w:pPr>
              <w:pStyle w:val="TableContents"/>
              <w:bidi w:val="0"/>
              <w:spacing w:before="0" w:after="283"/>
              <w:jc w:val="center"/>
              <w:rPr>
                <w:b/>
              </w:rPr>
            </w:pPr>
            <w:r>
              <w:rPr>
                <w:b/>
              </w:rPr>
              <w:t>(Rand Thousands)</w:t>
            </w:r>
          </w:p>
        </w:tc>
        <w:tc>
          <w:tcPr>
            <w:tcW w:w="75" w:type="dxa"/>
            <w:tcBorders/>
            <w:vAlign w:val="center"/>
          </w:tcPr>
          <w:p>
            <w:pPr>
              <w:pStyle w:val="TableContents"/>
              <w:bidi w:val="0"/>
              <w:spacing w:before="0" w:after="283"/>
              <w:ind w:left="0" w:right="0" w:hanging="180"/>
              <w:jc w:val="left"/>
              <w:rPr/>
            </w:pPr>
            <w:r>
              <w:rPr/>
              <w:t> </w:t>
            </w:r>
          </w:p>
        </w:tc>
      </w:tr>
      <w:tr>
        <w:trPr/>
        <w:tc>
          <w:tcPr>
            <w:tcW w:w="4730" w:type="dxa"/>
            <w:tcBorders/>
            <w:shd w:fill="CCEEFF" w:val="clear"/>
            <w:vAlign w:val="center"/>
          </w:tcPr>
          <w:p>
            <w:pPr>
              <w:pStyle w:val="TableContents"/>
              <w:bidi w:val="0"/>
              <w:spacing w:before="0" w:after="283"/>
              <w:jc w:val="both"/>
              <w:rPr/>
            </w:pPr>
            <w:r>
              <w:rPr/>
              <w:t>Capitalized telematics devices – Work in progress</w:t>
            </w:r>
          </w:p>
        </w:tc>
        <w:tc>
          <w:tcPr>
            <w:tcW w:w="60" w:type="dxa"/>
            <w:tcBorders/>
            <w:shd w:fill="CCEEFF" w:val="clear"/>
            <w:vAlign w:val="center"/>
          </w:tcPr>
          <w:p>
            <w:pPr>
              <w:pStyle w:val="TableContents"/>
              <w:bidi w:val="0"/>
              <w:spacing w:before="0" w:after="283"/>
              <w:jc w:val="left"/>
              <w:rPr/>
            </w:pPr>
            <w:r>
              <w:rPr/>
              <w:t> </w:t>
            </w:r>
          </w:p>
        </w:tc>
        <w:tc>
          <w:tcPr>
            <w:tcW w:w="78" w:type="dxa"/>
            <w:tcBorders/>
            <w:shd w:fill="CCEEFF" w:val="clear"/>
            <w:vAlign w:val="center"/>
          </w:tcPr>
          <w:p>
            <w:pPr>
              <w:pStyle w:val="TableContents"/>
              <w:bidi w:val="0"/>
              <w:spacing w:before="0" w:after="283"/>
              <w:jc w:val="left"/>
              <w:rPr/>
            </w:pPr>
            <w:r>
              <w:rPr/>
              <w:t> </w:t>
            </w:r>
          </w:p>
        </w:tc>
        <w:tc>
          <w:tcPr>
            <w:tcW w:w="1277" w:type="dxa"/>
            <w:tcBorders/>
            <w:shd w:fill="CCEEFF" w:val="clear"/>
            <w:vAlign w:val="center"/>
          </w:tcPr>
          <w:p>
            <w:pPr>
              <w:pStyle w:val="TableContents"/>
              <w:bidi w:val="0"/>
              <w:spacing w:before="0" w:after="283"/>
              <w:jc w:val="right"/>
              <w:rPr/>
            </w:pPr>
            <w:r>
              <w:rPr/>
              <w:t>147,207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8" w:type="dxa"/>
            <w:tcBorders/>
            <w:shd w:fill="CCEEFF" w:val="clear"/>
            <w:vAlign w:val="center"/>
          </w:tcPr>
          <w:p>
            <w:pPr>
              <w:pStyle w:val="TableContents"/>
              <w:bidi w:val="0"/>
              <w:spacing w:before="0" w:after="283"/>
              <w:jc w:val="left"/>
              <w:rPr/>
            </w:pPr>
            <w:r>
              <w:rPr/>
              <w:t> </w:t>
            </w:r>
          </w:p>
        </w:tc>
        <w:tc>
          <w:tcPr>
            <w:tcW w:w="1277" w:type="dxa"/>
            <w:tcBorders/>
            <w:shd w:fill="CCEEFF" w:val="clear"/>
            <w:vAlign w:val="center"/>
          </w:tcPr>
          <w:p>
            <w:pPr>
              <w:pStyle w:val="TableContents"/>
              <w:bidi w:val="0"/>
              <w:spacing w:before="0" w:after="283"/>
              <w:jc w:val="right"/>
              <w:rPr/>
            </w:pPr>
            <w:r>
              <w:rPr/>
              <w:t>152,253</w:t>
            </w:r>
          </w:p>
        </w:tc>
        <w:tc>
          <w:tcPr>
            <w:tcW w:w="75" w:type="dxa"/>
            <w:tcBorders/>
            <w:shd w:fill="CCEEFF" w:val="clear"/>
            <w:vAlign w:val="center"/>
          </w:tcPr>
          <w:p>
            <w:pPr>
              <w:pStyle w:val="TableContents"/>
              <w:bidi w:val="0"/>
              <w:spacing w:before="0" w:after="283"/>
              <w:ind w:left="0" w:right="0" w:hanging="180"/>
              <w:jc w:val="left"/>
              <w:rPr/>
            </w:pPr>
            <w:r>
              <w:rPr/>
              <w:t> </w:t>
            </w:r>
          </w:p>
        </w:tc>
      </w:tr>
      <w:tr>
        <w:trPr/>
        <w:tc>
          <w:tcPr>
            <w:tcW w:w="4730" w:type="dxa"/>
            <w:tcBorders/>
            <w:shd w:fill="FFFFFF" w:val="clear"/>
            <w:vAlign w:val="center"/>
          </w:tcPr>
          <w:p>
            <w:pPr>
              <w:pStyle w:val="TableContents"/>
              <w:bidi w:val="0"/>
              <w:spacing w:before="0" w:after="283"/>
              <w:jc w:val="both"/>
              <w:rPr/>
            </w:pPr>
            <w:r>
              <w:rPr/>
              <w:t>Capitalized telematic devices – Uninstalled</w:t>
            </w:r>
          </w:p>
        </w:tc>
        <w:tc>
          <w:tcPr>
            <w:tcW w:w="60" w:type="dxa"/>
            <w:tcBorders/>
            <w:shd w:fill="FFFFFF" w:val="clear"/>
            <w:vAlign w:val="center"/>
          </w:tcPr>
          <w:p>
            <w:pPr>
              <w:pStyle w:val="TableContents"/>
              <w:bidi w:val="0"/>
              <w:spacing w:before="0" w:after="283"/>
              <w:jc w:val="left"/>
              <w:rPr/>
            </w:pPr>
            <w:r>
              <w:rPr/>
              <w:t> </w:t>
            </w:r>
          </w:p>
        </w:tc>
        <w:tc>
          <w:tcPr>
            <w:tcW w:w="78" w:type="dxa"/>
            <w:tcBorders/>
            <w:shd w:fill="FFFFFF" w:val="clear"/>
            <w:vAlign w:val="center"/>
          </w:tcPr>
          <w:p>
            <w:pPr>
              <w:pStyle w:val="TableContents"/>
              <w:bidi w:val="0"/>
              <w:spacing w:before="0" w:after="283"/>
              <w:jc w:val="left"/>
              <w:rPr/>
            </w:pPr>
            <w:r>
              <w:rPr/>
              <w:t> </w:t>
            </w:r>
          </w:p>
        </w:tc>
        <w:tc>
          <w:tcPr>
            <w:tcW w:w="1277" w:type="dxa"/>
            <w:tcBorders/>
            <w:shd w:fill="FFFFFF" w:val="clear"/>
            <w:vAlign w:val="center"/>
          </w:tcPr>
          <w:p>
            <w:pPr>
              <w:pStyle w:val="TableContents"/>
              <w:bidi w:val="0"/>
              <w:spacing w:before="0" w:after="283"/>
              <w:jc w:val="right"/>
              <w:rPr/>
            </w:pPr>
            <w:r>
              <w:rPr/>
              <w:t>214,517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8" w:type="dxa"/>
            <w:tcBorders/>
            <w:shd w:fill="FFFFFF" w:val="clear"/>
            <w:vAlign w:val="center"/>
          </w:tcPr>
          <w:p>
            <w:pPr>
              <w:pStyle w:val="TableContents"/>
              <w:bidi w:val="0"/>
              <w:spacing w:before="0" w:after="283"/>
              <w:jc w:val="left"/>
              <w:rPr/>
            </w:pPr>
            <w:r>
              <w:rPr/>
              <w:t> </w:t>
            </w:r>
          </w:p>
        </w:tc>
        <w:tc>
          <w:tcPr>
            <w:tcW w:w="1277" w:type="dxa"/>
            <w:tcBorders/>
            <w:shd w:fill="FFFFFF" w:val="clear"/>
            <w:vAlign w:val="center"/>
          </w:tcPr>
          <w:p>
            <w:pPr>
              <w:pStyle w:val="TableContents"/>
              <w:bidi w:val="0"/>
              <w:spacing w:before="0" w:after="283"/>
              <w:jc w:val="right"/>
              <w:rPr/>
            </w:pPr>
            <w:r>
              <w:rPr/>
              <w:t>259,360</w:t>
            </w:r>
          </w:p>
        </w:tc>
        <w:tc>
          <w:tcPr>
            <w:tcW w:w="75" w:type="dxa"/>
            <w:tcBorders/>
            <w:shd w:fill="FFFFFF" w:val="clear"/>
            <w:vAlign w:val="center"/>
          </w:tcPr>
          <w:p>
            <w:pPr>
              <w:pStyle w:val="TableContents"/>
              <w:bidi w:val="0"/>
              <w:spacing w:before="0" w:after="283"/>
              <w:ind w:left="0" w:right="0" w:hanging="180"/>
              <w:jc w:val="left"/>
              <w:rPr/>
            </w:pPr>
            <w:r>
              <w:rPr/>
              <w:t> </w:t>
            </w:r>
          </w:p>
        </w:tc>
      </w:tr>
      <w:tr>
        <w:trPr/>
        <w:tc>
          <w:tcPr>
            <w:tcW w:w="4730" w:type="dxa"/>
            <w:tcBorders/>
            <w:shd w:fill="CCEEFF" w:val="clear"/>
            <w:vAlign w:val="center"/>
          </w:tcPr>
          <w:p>
            <w:pPr>
              <w:pStyle w:val="TableContents"/>
              <w:bidi w:val="0"/>
              <w:spacing w:before="0" w:after="283"/>
              <w:jc w:val="both"/>
              <w:rPr/>
            </w:pPr>
            <w:r>
              <w:rPr/>
              <w:t>Capitalized telematic devices – Installed</w:t>
            </w:r>
          </w:p>
        </w:tc>
        <w:tc>
          <w:tcPr>
            <w:tcW w:w="60" w:type="dxa"/>
            <w:tcBorders/>
            <w:shd w:fill="CCEEFF" w:val="clear"/>
            <w:vAlign w:val="center"/>
          </w:tcPr>
          <w:p>
            <w:pPr>
              <w:pStyle w:val="TableContents"/>
              <w:bidi w:val="0"/>
              <w:spacing w:before="0" w:after="283"/>
              <w:jc w:val="left"/>
              <w:rPr/>
            </w:pPr>
            <w:r>
              <w:rPr/>
              <w:t> </w:t>
            </w:r>
          </w:p>
        </w:tc>
        <w:tc>
          <w:tcPr>
            <w:tcW w:w="78" w:type="dxa"/>
            <w:tcBorders/>
            <w:shd w:fill="CCEEFF" w:val="clear"/>
            <w:vAlign w:val="center"/>
          </w:tcPr>
          <w:p>
            <w:pPr>
              <w:pStyle w:val="TableContents"/>
              <w:bidi w:val="0"/>
              <w:spacing w:before="0" w:after="283"/>
              <w:jc w:val="left"/>
              <w:rPr/>
            </w:pPr>
            <w:r>
              <w:rPr/>
              <w:t> </w:t>
            </w:r>
          </w:p>
        </w:tc>
        <w:tc>
          <w:tcPr>
            <w:tcW w:w="1277" w:type="dxa"/>
            <w:tcBorders/>
            <w:shd w:fill="CCEEFF" w:val="clear"/>
            <w:vAlign w:val="center"/>
          </w:tcPr>
          <w:p>
            <w:pPr>
              <w:pStyle w:val="TableContents"/>
              <w:bidi w:val="0"/>
              <w:spacing w:before="0" w:after="283"/>
              <w:jc w:val="right"/>
              <w:rPr/>
            </w:pPr>
            <w:r>
              <w:rPr/>
              <w:t>1,945,837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8" w:type="dxa"/>
            <w:tcBorders/>
            <w:shd w:fill="CCEEFF" w:val="clear"/>
            <w:vAlign w:val="center"/>
          </w:tcPr>
          <w:p>
            <w:pPr>
              <w:pStyle w:val="TableContents"/>
              <w:bidi w:val="0"/>
              <w:spacing w:before="0" w:after="283"/>
              <w:jc w:val="left"/>
              <w:rPr/>
            </w:pPr>
            <w:r>
              <w:rPr/>
              <w:t> </w:t>
            </w:r>
          </w:p>
        </w:tc>
        <w:tc>
          <w:tcPr>
            <w:tcW w:w="1277" w:type="dxa"/>
            <w:tcBorders/>
            <w:shd w:fill="CCEEFF" w:val="clear"/>
            <w:vAlign w:val="center"/>
          </w:tcPr>
          <w:p>
            <w:pPr>
              <w:pStyle w:val="TableContents"/>
              <w:bidi w:val="0"/>
              <w:spacing w:before="0" w:after="283"/>
              <w:jc w:val="right"/>
              <w:rPr/>
            </w:pPr>
            <w:r>
              <w:rPr/>
              <w:t>1,342,091</w:t>
            </w:r>
          </w:p>
        </w:tc>
        <w:tc>
          <w:tcPr>
            <w:tcW w:w="75" w:type="dxa"/>
            <w:tcBorders/>
            <w:shd w:fill="CCEEFF" w:val="clear"/>
            <w:vAlign w:val="center"/>
          </w:tcPr>
          <w:p>
            <w:pPr>
              <w:pStyle w:val="TableContents"/>
              <w:bidi w:val="0"/>
              <w:spacing w:before="0" w:after="283"/>
              <w:ind w:left="0" w:right="0" w:hanging="180"/>
              <w:jc w:val="left"/>
              <w:rPr/>
            </w:pPr>
            <w:r>
              <w:rPr/>
              <w:t> </w:t>
            </w:r>
          </w:p>
        </w:tc>
      </w:tr>
      <w:tr>
        <w:trPr/>
        <w:tc>
          <w:tcPr>
            <w:tcW w:w="4730" w:type="dxa"/>
            <w:tcBorders/>
            <w:shd w:fill="FFFFFF" w:val="clear"/>
            <w:vAlign w:val="center"/>
          </w:tcPr>
          <w:p>
            <w:pPr>
              <w:pStyle w:val="TableContents"/>
              <w:bidi w:val="0"/>
              <w:spacing w:before="0" w:after="283"/>
              <w:jc w:val="both"/>
              <w:rPr/>
            </w:pPr>
            <w:r>
              <w:rPr/>
              <w:t>South African Central Office property</w:t>
            </w:r>
          </w:p>
        </w:tc>
        <w:tc>
          <w:tcPr>
            <w:tcW w:w="60" w:type="dxa"/>
            <w:tcBorders/>
            <w:shd w:fill="FFFFFF" w:val="clear"/>
            <w:vAlign w:val="center"/>
          </w:tcPr>
          <w:p>
            <w:pPr>
              <w:pStyle w:val="TableContents"/>
              <w:bidi w:val="0"/>
              <w:spacing w:before="0" w:after="283"/>
              <w:jc w:val="left"/>
              <w:rPr/>
            </w:pPr>
            <w:r>
              <w:rPr/>
              <w:t> </w:t>
            </w:r>
          </w:p>
        </w:tc>
        <w:tc>
          <w:tcPr>
            <w:tcW w:w="78" w:type="dxa"/>
            <w:tcBorders/>
            <w:shd w:fill="FFFFFF" w:val="clear"/>
            <w:vAlign w:val="center"/>
          </w:tcPr>
          <w:p>
            <w:pPr>
              <w:pStyle w:val="TableContents"/>
              <w:bidi w:val="0"/>
              <w:spacing w:before="0" w:after="283"/>
              <w:jc w:val="left"/>
              <w:rPr/>
            </w:pPr>
            <w:r>
              <w:rPr/>
              <w:t> </w:t>
            </w:r>
          </w:p>
        </w:tc>
        <w:tc>
          <w:tcPr>
            <w:tcW w:w="1277" w:type="dxa"/>
            <w:tcBorders/>
            <w:shd w:fill="FFFFFF" w:val="clear"/>
            <w:vAlign w:val="center"/>
          </w:tcPr>
          <w:p>
            <w:pPr>
              <w:pStyle w:val="TableContents"/>
              <w:bidi w:val="0"/>
              <w:spacing w:before="0" w:after="283"/>
              <w:jc w:val="right"/>
              <w:rPr/>
            </w:pPr>
            <w:r>
              <w:rPr/>
              <w:t>441,580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8" w:type="dxa"/>
            <w:tcBorders/>
            <w:shd w:fill="FFFFFF" w:val="clear"/>
            <w:vAlign w:val="center"/>
          </w:tcPr>
          <w:p>
            <w:pPr>
              <w:pStyle w:val="TableContents"/>
              <w:bidi w:val="0"/>
              <w:spacing w:before="0" w:after="283"/>
              <w:jc w:val="left"/>
              <w:rPr/>
            </w:pPr>
            <w:r>
              <w:rPr/>
              <w:t> </w:t>
            </w:r>
          </w:p>
        </w:tc>
        <w:tc>
          <w:tcPr>
            <w:tcW w:w="1277" w:type="dxa"/>
            <w:tcBorders/>
            <w:shd w:fill="FFFFFF" w:val="clear"/>
            <w:vAlign w:val="center"/>
          </w:tcPr>
          <w:p>
            <w:pPr>
              <w:pStyle w:val="TableContents"/>
              <w:bidi w:val="0"/>
              <w:spacing w:before="0" w:after="283"/>
              <w:jc w:val="right"/>
              <w:rPr/>
            </w:pPr>
            <w:r>
              <w:rPr/>
              <w:t>429,150</w:t>
            </w:r>
          </w:p>
        </w:tc>
        <w:tc>
          <w:tcPr>
            <w:tcW w:w="75" w:type="dxa"/>
            <w:tcBorders/>
            <w:shd w:fill="FFFFFF" w:val="clear"/>
            <w:vAlign w:val="center"/>
          </w:tcPr>
          <w:p>
            <w:pPr>
              <w:pStyle w:val="TableContents"/>
              <w:bidi w:val="0"/>
              <w:spacing w:before="0" w:after="283"/>
              <w:ind w:left="0" w:right="0" w:hanging="180"/>
              <w:jc w:val="left"/>
              <w:rPr/>
            </w:pPr>
            <w:r>
              <w:rPr/>
              <w:t> </w:t>
            </w:r>
          </w:p>
        </w:tc>
      </w:tr>
      <w:tr>
        <w:trPr/>
        <w:tc>
          <w:tcPr>
            <w:tcW w:w="4730" w:type="dxa"/>
            <w:tcBorders/>
            <w:shd w:fill="CCEEFF" w:val="clear"/>
            <w:vAlign w:val="center"/>
          </w:tcPr>
          <w:p>
            <w:pPr>
              <w:pStyle w:val="TableContents"/>
              <w:bidi w:val="0"/>
              <w:spacing w:before="0" w:after="283"/>
              <w:jc w:val="both"/>
              <w:rPr/>
            </w:pPr>
            <w:r>
              <w:rPr/>
              <w:t>Other fixed assets</w:t>
            </w:r>
          </w:p>
        </w:tc>
        <w:tc>
          <w:tcPr>
            <w:tcW w:w="60" w:type="dxa"/>
            <w:tcBorders/>
            <w:shd w:fill="CCEEFF" w:val="clear"/>
            <w:vAlign w:val="center"/>
          </w:tcPr>
          <w:p>
            <w:pPr>
              <w:pStyle w:val="TableContents"/>
              <w:bidi w:val="0"/>
              <w:spacing w:before="0" w:after="283"/>
              <w:jc w:val="left"/>
              <w:rPr/>
            </w:pPr>
            <w:r>
              <w:rPr/>
              <w:t> </w:t>
            </w:r>
          </w:p>
        </w:tc>
        <w:tc>
          <w:tcPr>
            <w:tcW w:w="78"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77" w:type="dxa"/>
            <w:tcBorders>
              <w:bottom w:val="single" w:sz="12" w:space="0" w:color="000000"/>
            </w:tcBorders>
            <w:shd w:fill="CCEEFF" w:val="clear"/>
            <w:tcMar>
              <w:bottom w:w="28" w:type="dxa"/>
            </w:tcMar>
            <w:vAlign w:val="center"/>
          </w:tcPr>
          <w:p>
            <w:pPr>
              <w:pStyle w:val="TableContents"/>
              <w:bidi w:val="0"/>
              <w:spacing w:before="0" w:after="283"/>
              <w:jc w:val="right"/>
              <w:rPr/>
            </w:pPr>
            <w:r>
              <w:rPr/>
              <w:t>401,549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8"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77" w:type="dxa"/>
            <w:tcBorders>
              <w:bottom w:val="single" w:sz="12" w:space="0" w:color="000000"/>
            </w:tcBorders>
            <w:shd w:fill="CCEEFF" w:val="clear"/>
            <w:tcMar>
              <w:bottom w:w="28" w:type="dxa"/>
            </w:tcMar>
            <w:vAlign w:val="center"/>
          </w:tcPr>
          <w:p>
            <w:pPr>
              <w:pStyle w:val="TableContents"/>
              <w:bidi w:val="0"/>
              <w:spacing w:before="0" w:after="283"/>
              <w:jc w:val="right"/>
              <w:rPr/>
            </w:pPr>
            <w:r>
              <w:rPr/>
              <w:t>325,361</w:t>
            </w:r>
          </w:p>
        </w:tc>
        <w:tc>
          <w:tcPr>
            <w:tcW w:w="75" w:type="dxa"/>
            <w:tcBorders/>
            <w:shd w:fill="CCEEFF" w:val="clear"/>
            <w:vAlign w:val="center"/>
          </w:tcPr>
          <w:p>
            <w:pPr>
              <w:pStyle w:val="TableContents"/>
              <w:bidi w:val="0"/>
              <w:spacing w:before="0" w:after="283"/>
              <w:ind w:left="0" w:right="0" w:hanging="180"/>
              <w:jc w:val="left"/>
              <w:rPr/>
            </w:pPr>
            <w:r>
              <w:rPr/>
              <w:t> </w:t>
            </w:r>
          </w:p>
        </w:tc>
      </w:tr>
      <w:tr>
        <w:trPr/>
        <w:tc>
          <w:tcPr>
            <w:tcW w:w="4730" w:type="dxa"/>
            <w:tcBorders/>
            <w:shd w:fill="FFFFFF" w:val="clear"/>
            <w:vAlign w:val="center"/>
          </w:tcPr>
          <w:p>
            <w:pPr>
              <w:pStyle w:val="TableContents"/>
              <w:bidi w:val="0"/>
              <w:spacing w:before="0" w:after="283"/>
              <w:jc w:val="both"/>
              <w:rPr/>
            </w:pPr>
            <w:r>
              <w:rPr/>
              <w:t>Total</w:t>
            </w:r>
          </w:p>
        </w:tc>
        <w:tc>
          <w:tcPr>
            <w:tcW w:w="60" w:type="dxa"/>
            <w:tcBorders/>
            <w:shd w:fill="FFFFFF" w:val="clear"/>
            <w:vAlign w:val="center"/>
          </w:tcPr>
          <w:p>
            <w:pPr>
              <w:pStyle w:val="TableContents"/>
              <w:bidi w:val="0"/>
              <w:spacing w:before="0" w:after="283"/>
              <w:jc w:val="left"/>
              <w:rPr/>
            </w:pPr>
            <w:r>
              <w:rPr/>
              <w:t> </w:t>
            </w:r>
          </w:p>
        </w:tc>
        <w:tc>
          <w:tcPr>
            <w:tcW w:w="78" w:type="dxa"/>
            <w:tcBorders>
              <w:bottom w:val="double" w:sz="10" w:space="0" w:color="000000"/>
            </w:tcBorders>
            <w:shd w:fill="FFFFFF" w:val="clear"/>
            <w:tcMar>
              <w:bottom w:w="28" w:type="dxa"/>
            </w:tcMar>
            <w:vAlign w:val="center"/>
          </w:tcPr>
          <w:p>
            <w:pPr>
              <w:pStyle w:val="TableContents"/>
              <w:bidi w:val="0"/>
              <w:spacing w:before="0" w:after="283"/>
              <w:jc w:val="left"/>
              <w:rPr/>
            </w:pPr>
            <w:r>
              <w:rPr/>
              <w:t> </w:t>
            </w:r>
          </w:p>
        </w:tc>
        <w:tc>
          <w:tcPr>
            <w:tcW w:w="1277" w:type="dxa"/>
            <w:tcBorders>
              <w:bottom w:val="double" w:sz="10" w:space="0" w:color="000000"/>
            </w:tcBorders>
            <w:shd w:fill="FFFFFF" w:val="clear"/>
            <w:tcMar>
              <w:bottom w:w="28" w:type="dxa"/>
            </w:tcMar>
            <w:vAlign w:val="center"/>
          </w:tcPr>
          <w:p>
            <w:pPr>
              <w:pStyle w:val="TableContents"/>
              <w:bidi w:val="0"/>
              <w:spacing w:before="0" w:after="283"/>
              <w:jc w:val="right"/>
              <w:rPr/>
            </w:pPr>
            <w:r>
              <w:rPr/>
              <w:t>3,150,690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8" w:type="dxa"/>
            <w:tcBorders>
              <w:bottom w:val="double" w:sz="10" w:space="0" w:color="000000"/>
            </w:tcBorders>
            <w:shd w:fill="FFFFFF" w:val="clear"/>
            <w:tcMar>
              <w:bottom w:w="28" w:type="dxa"/>
            </w:tcMar>
            <w:vAlign w:val="center"/>
          </w:tcPr>
          <w:p>
            <w:pPr>
              <w:pStyle w:val="TableContents"/>
              <w:bidi w:val="0"/>
              <w:spacing w:before="0" w:after="283"/>
              <w:jc w:val="left"/>
              <w:rPr/>
            </w:pPr>
            <w:r>
              <w:rPr/>
              <w:t> </w:t>
            </w:r>
          </w:p>
        </w:tc>
        <w:tc>
          <w:tcPr>
            <w:tcW w:w="1277" w:type="dxa"/>
            <w:tcBorders>
              <w:bottom w:val="double" w:sz="10" w:space="0" w:color="000000"/>
            </w:tcBorders>
            <w:shd w:fill="FFFFFF" w:val="clear"/>
            <w:tcMar>
              <w:bottom w:w="28" w:type="dxa"/>
            </w:tcMar>
            <w:vAlign w:val="center"/>
          </w:tcPr>
          <w:p>
            <w:pPr>
              <w:pStyle w:val="TableContents"/>
              <w:bidi w:val="0"/>
              <w:spacing w:before="0" w:after="283"/>
              <w:jc w:val="right"/>
              <w:rPr/>
            </w:pPr>
            <w:r>
              <w:rPr/>
              <w:t>2,508,215</w:t>
            </w:r>
          </w:p>
        </w:tc>
        <w:tc>
          <w:tcPr>
            <w:tcW w:w="75"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tbl>
      <w:tblPr>
        <w:tblW w:w="9715" w:type="dxa"/>
        <w:jc w:val="left"/>
        <w:tblInd w:w="0" w:type="dxa"/>
        <w:tblLayout w:type="fixed"/>
        <w:tblCellMar>
          <w:top w:w="0" w:type="dxa"/>
          <w:left w:w="0" w:type="dxa"/>
          <w:bottom w:w="0" w:type="dxa"/>
          <w:right w:w="0" w:type="dxa"/>
        </w:tblCellMar>
      </w:tblPr>
      <w:tblGrid>
        <w:gridCol w:w="185"/>
        <w:gridCol w:w="9530"/>
      </w:tblGrid>
      <w:tr>
        <w:trPr/>
        <w:tc>
          <w:tcPr>
            <w:tcW w:w="18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2.</w:t>
            </w:r>
          </w:p>
        </w:tc>
        <w:tc>
          <w:tcPr>
            <w:tcW w:w="9530" w:type="dxa"/>
            <w:tcBorders/>
            <w:vAlign w:val="center"/>
          </w:tcPr>
          <w:p>
            <w:pPr>
              <w:pStyle w:val="TableContents"/>
              <w:bidi w:val="0"/>
              <w:spacing w:before="0" w:after="283"/>
              <w:jc w:val="both"/>
              <w:rPr>
                <w:rFonts w:ascii="Times New Roman;Times;Serif" w:hAnsi="Times New Roman;Times;Serif"/>
                <w:i/>
                <w:sz w:val="20"/>
              </w:rPr>
            </w:pPr>
            <w:r>
              <w:rPr>
                <w:rFonts w:ascii="Times New Roman;Times;Serif" w:hAnsi="Times New Roman;Times;Serif"/>
                <w:i/>
                <w:sz w:val="20"/>
              </w:rPr>
              <w:t>Goodwill is net of an impairment charge of ZAR 43.6 million related to the Mozambique operations during Q4 2025.</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50"/>
        <w:gridCol w:w="10055"/>
      </w:tblGrid>
      <w:tr>
        <w:trPr/>
        <w:tc>
          <w:tcPr>
            <w:tcW w:w="150" w:type="dxa"/>
            <w:tcBorders/>
            <w:vAlign w:val="center"/>
          </w:tcPr>
          <w:p>
            <w:pPr>
              <w:pStyle w:val="TableContents"/>
              <w:bidi w:val="0"/>
              <w:spacing w:before="0" w:after="283"/>
              <w:jc w:val="both"/>
              <w:rPr>
                <w:rFonts w:ascii="Times New Roman;Times;Serif" w:hAnsi="Times New Roman;Times;Serif"/>
                <w:i/>
                <w:sz w:val="20"/>
              </w:rPr>
            </w:pPr>
            <w:r>
              <w:rPr>
                <w:rFonts w:ascii="Times New Roman;Times;Serif" w:hAnsi="Times New Roman;Times;Serif"/>
                <w:i/>
                <w:sz w:val="20"/>
              </w:rPr>
              <w:t>3.</w:t>
            </w:r>
          </w:p>
        </w:tc>
        <w:tc>
          <w:tcPr>
            <w:tcW w:w="10055" w:type="dxa"/>
            <w:tcBorders/>
            <w:vAlign w:val="center"/>
          </w:tcPr>
          <w:p>
            <w:pPr>
              <w:pStyle w:val="TableContents"/>
              <w:bidi w:val="0"/>
              <w:spacing w:before="0" w:after="283"/>
              <w:jc w:val="both"/>
              <w:rPr>
                <w:rFonts w:ascii="Times New Roman;Times;Serif" w:hAnsi="Times New Roman;Times;Serif"/>
                <w:i/>
                <w:sz w:val="20"/>
              </w:rPr>
            </w:pPr>
            <w:r>
              <w:rPr>
                <w:rFonts w:ascii="Times New Roman;Times;Serif" w:hAnsi="Times New Roman;Times;Serif"/>
                <w:i/>
                <w:sz w:val="20"/>
              </w:rPr>
              <w:t>The ZAR3.6 billion negative capital reserve on the balance sheet relates to the buyout of 95,350,657 Cartrack shares at ZAR42.00 per share from minorities when Cartrack delisted from the JSE totaling ZAR4.0 billion, offset by the ZAR0.4 billion previously reported in the non-controlling interest reserve line item. The ZAR0.4 billion relates to the net asset value of the 95,350,657 Cartrack minority shares bought by Karooooo.</w:t>
            </w:r>
          </w:p>
        </w:tc>
      </w:tr>
      <w:tr>
        <w:trPr/>
        <w:tc>
          <w:tcPr>
            <w:tcW w:w="150" w:type="dxa"/>
            <w:tcBorders/>
            <w:vAlign w:val="center"/>
          </w:tcPr>
          <w:p>
            <w:pPr>
              <w:pStyle w:val="TableContents"/>
              <w:bidi w:val="0"/>
              <w:spacing w:before="0" w:after="283"/>
              <w:jc w:val="both"/>
              <w:rPr/>
            </w:pPr>
            <w:r>
              <w:rPr/>
              <w:t> </w:t>
            </w:r>
          </w:p>
        </w:tc>
        <w:tc>
          <w:tcPr>
            <w:tcW w:w="10055" w:type="dxa"/>
            <w:tcBorders/>
            <w:vAlign w:val="center"/>
          </w:tcPr>
          <w:p>
            <w:pPr>
              <w:pStyle w:val="TableContents"/>
              <w:bidi w:val="0"/>
              <w:spacing w:before="0" w:after="283"/>
              <w:jc w:val="left"/>
              <w:rPr/>
            </w:pPr>
            <w:r>
              <w:rPr/>
              <w:t> </w:t>
            </w:r>
          </w:p>
        </w:tc>
      </w:tr>
      <w:tr>
        <w:trPr/>
        <w:tc>
          <w:tcPr>
            <w:tcW w:w="150" w:type="dxa"/>
            <w:tcBorders/>
            <w:vAlign w:val="center"/>
          </w:tcPr>
          <w:p>
            <w:pPr>
              <w:pStyle w:val="TableContents"/>
              <w:bidi w:val="0"/>
              <w:spacing w:before="0" w:after="283"/>
              <w:jc w:val="both"/>
              <w:rPr>
                <w:rFonts w:ascii="Times New Roman;Times;Serif" w:hAnsi="Times New Roman;Times;Serif"/>
                <w:i/>
                <w:sz w:val="20"/>
              </w:rPr>
            </w:pPr>
            <w:r>
              <w:rPr>
                <w:rFonts w:ascii="Times New Roman;Times;Serif" w:hAnsi="Times New Roman;Times;Serif"/>
                <w:i/>
                <w:sz w:val="20"/>
              </w:rPr>
              <w:t>4.</w:t>
            </w:r>
          </w:p>
        </w:tc>
        <w:tc>
          <w:tcPr>
            <w:tcW w:w="10055" w:type="dxa"/>
            <w:tcBorders/>
            <w:vAlign w:val="center"/>
          </w:tcPr>
          <w:p>
            <w:pPr>
              <w:pStyle w:val="TableContents"/>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Included in capital reserves are ZAR27.3 million relating to the cancellation of Karooooo’s treasury shares, ZAR30.0 million of capital reserve relating to the repurchase and cancellation of Karooooo Logistics’ ordinary shares and ZAR5.2 million of capital reserve relating to the repurchase and cancellation of Cartrack New Zealand’s ordinary shares.</w:t>
            </w:r>
          </w:p>
          <w:p>
            <w:pPr>
              <w:pStyle w:val="TableContents"/>
              <w:bidi w:val="0"/>
              <w:spacing w:before="0" w:after="0"/>
              <w:ind w:left="0" w:right="0" w:hanging="0"/>
              <w:jc w:val="both"/>
              <w:rPr>
                <w:caps w:val="false"/>
                <w:smallCaps w:val="false"/>
              </w:rPr>
            </w:pPr>
            <w:r>
              <w:rPr>
                <w:caps w:val="false"/>
                <w:smallCaps w:val="false"/>
              </w:rPr>
              <w:t> </w:t>
            </w:r>
          </w:p>
        </w:tc>
      </w:tr>
      <w:tr>
        <w:trPr/>
        <w:tc>
          <w:tcPr>
            <w:tcW w:w="150" w:type="dxa"/>
            <w:tcBorders/>
            <w:vAlign w:val="center"/>
          </w:tcPr>
          <w:p>
            <w:pPr>
              <w:pStyle w:val="TableContents"/>
              <w:bidi w:val="0"/>
              <w:spacing w:before="0" w:after="283"/>
              <w:jc w:val="both"/>
              <w:rPr>
                <w:rFonts w:ascii="Times New Roman;Times;Serif" w:hAnsi="Times New Roman;Times;Serif"/>
                <w:i/>
                <w:sz w:val="20"/>
              </w:rPr>
            </w:pPr>
            <w:r>
              <w:rPr>
                <w:rFonts w:ascii="Times New Roman;Times;Serif" w:hAnsi="Times New Roman;Times;Serif"/>
                <w:i/>
                <w:sz w:val="20"/>
              </w:rPr>
              <w:t>5.</w:t>
            </w:r>
          </w:p>
        </w:tc>
        <w:tc>
          <w:tcPr>
            <w:tcW w:w="10055" w:type="dxa"/>
            <w:tcBorders/>
            <w:vAlign w:val="center"/>
          </w:tcPr>
          <w:p>
            <w:pPr>
              <w:pStyle w:val="TableContents"/>
              <w:bidi w:val="0"/>
              <w:spacing w:before="0" w:after="283"/>
              <w:jc w:val="both"/>
              <w:rPr>
                <w:rFonts w:ascii="Times New Roman;Times;Serif" w:hAnsi="Times New Roman;Times;Serif"/>
                <w:i/>
                <w:sz w:val="20"/>
              </w:rPr>
            </w:pPr>
            <w:r>
              <w:rPr>
                <w:rFonts w:ascii="Times New Roman;Times;Serif" w:hAnsi="Times New Roman;Times;Serif"/>
                <w:i/>
                <w:sz w:val="20"/>
              </w:rPr>
              <w:t>The negative common control reserve of ZAR2.7 billion on the balance sheet relates to a common control transaction on November 18, 2020 in which the loan of USD194 million from Isaias Jose Calisto was converted into Karooooo share capital and as a consequence Karooooo acquired control of Cartrack. On that date, 20,331,894 shares were issued to Isaias Jose Calisto and Karooooo registered ZAR2.7 billion paid-up capital resulting in the common control reserve.</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54"/>
        <w:gridCol w:w="10051"/>
      </w:tblGrid>
      <w:tr>
        <w:trPr/>
        <w:tc>
          <w:tcPr>
            <w:tcW w:w="154" w:type="dxa"/>
            <w:tcBorders/>
            <w:vAlign w:val="center"/>
          </w:tcPr>
          <w:p>
            <w:pPr>
              <w:pStyle w:val="TableContents"/>
              <w:bidi w:val="0"/>
              <w:spacing w:before="0" w:after="283"/>
              <w:jc w:val="both"/>
              <w:rPr>
                <w:rFonts w:ascii="Times New Roman;Times;Serif" w:hAnsi="Times New Roman;Times;Serif"/>
                <w:i/>
                <w:sz w:val="20"/>
              </w:rPr>
            </w:pPr>
            <w:r>
              <w:rPr>
                <w:rFonts w:ascii="Times New Roman;Times;Serif" w:hAnsi="Times New Roman;Times;Serif"/>
                <w:i/>
                <w:sz w:val="20"/>
              </w:rPr>
              <w:t>6.</w:t>
            </w:r>
          </w:p>
        </w:tc>
        <w:tc>
          <w:tcPr>
            <w:tcW w:w="10051" w:type="dxa"/>
            <w:tcBorders/>
            <w:vAlign w:val="center"/>
          </w:tcPr>
          <w:p>
            <w:pPr>
              <w:pStyle w:val="TableContents"/>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In June 2024, The Standard Bank of South Africa Limited extended a loan of ZAR 250 million to Purple Rain Properties No. 444 Proprietary Limited (the owner of the regional South Africa central office under constructions) at the South Africa Prime Interest Rate less 1.5%. In February 2026, an additional tranche of ZAR 191.7 million was drawn down.</w:t>
            </w:r>
          </w:p>
        </w:tc>
      </w:tr>
      <w:tr>
        <w:trPr/>
        <w:tc>
          <w:tcPr>
            <w:tcW w:w="154" w:type="dxa"/>
            <w:tcBorders/>
            <w:vAlign w:val="center"/>
          </w:tcPr>
          <w:p>
            <w:pPr>
              <w:pStyle w:val="TableContents"/>
              <w:bidi w:val="0"/>
              <w:spacing w:before="0" w:after="283"/>
              <w:jc w:val="both"/>
              <w:rPr/>
            </w:pPr>
            <w:r>
              <w:rPr/>
              <w:t> </w:t>
            </w:r>
          </w:p>
        </w:tc>
        <w:tc>
          <w:tcPr>
            <w:tcW w:w="10051" w:type="dxa"/>
            <w:tcBorders/>
            <w:vAlign w:val="center"/>
          </w:tcPr>
          <w:p>
            <w:pPr>
              <w:pStyle w:val="TableContents"/>
              <w:bidi w:val="0"/>
              <w:spacing w:before="0" w:after="283"/>
              <w:jc w:val="left"/>
              <w:rPr/>
            </w:pPr>
            <w:r>
              <w:rPr/>
              <w:t> </w:t>
            </w:r>
          </w:p>
        </w:tc>
      </w:tr>
      <w:tr>
        <w:trPr/>
        <w:tc>
          <w:tcPr>
            <w:tcW w:w="154"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i/>
                <w:sz w:val="20"/>
              </w:rPr>
              <w:t>7</w:t>
            </w:r>
            <w:r>
              <w:rPr>
                <w:rFonts w:ascii="Times New Roman;Times;Serif" w:hAnsi="Times New Roman;Times;Serif"/>
                <w:sz w:val="20"/>
              </w:rPr>
              <w:t>.</w:t>
            </w:r>
          </w:p>
        </w:tc>
        <w:tc>
          <w:tcPr>
            <w:tcW w:w="10051" w:type="dxa"/>
            <w:tcBorders/>
            <w:vAlign w:val="center"/>
          </w:tcPr>
          <w:p>
            <w:pPr>
              <w:pStyle w:val="TableContents"/>
              <w:bidi w:val="0"/>
              <w:spacing w:before="0" w:after="283"/>
              <w:jc w:val="both"/>
              <w:rPr>
                <w:rFonts w:ascii="Times New Roman;Times;Serif" w:hAnsi="Times New Roman;Times;Serif"/>
                <w:i/>
                <w:sz w:val="20"/>
              </w:rPr>
            </w:pPr>
            <w:r>
              <w:rPr>
                <w:rFonts w:ascii="Times New Roman;Times;Serif" w:hAnsi="Times New Roman;Times;Serif"/>
                <w:i/>
                <w:sz w:val="20"/>
              </w:rPr>
              <w:t xml:space="preserve">In September 2024 and June 2025, Cartrack Portugal, S.A., secured loans of EUR2 million and EUR 1 million, respectively, from Banco Comercial Português, S.A. The loans bear an interest rate of 6-month Euribor rate plus 0.75%, with repayments scheduled over a seven-year and five-year period.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17</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KAROOOOO LTD.</w:t>
        <w:br/>
        <w:t>CONDENSED CONSOLIDATED STATEMENT OF CASH FLOWS</w:t>
        <w:br/>
        <w:t>(UNAUDITED)</w:t>
      </w:r>
    </w:p>
    <w:p>
      <w:pPr>
        <w:pStyle w:val="TextBody"/>
        <w:bidi w:val="0"/>
        <w:spacing w:before="0" w:after="0"/>
        <w:ind w:left="0" w:right="0" w:hanging="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5470"/>
        <w:gridCol w:w="60"/>
        <w:gridCol w:w="60"/>
        <w:gridCol w:w="875"/>
        <w:gridCol w:w="95"/>
        <w:gridCol w:w="60"/>
        <w:gridCol w:w="60"/>
        <w:gridCol w:w="875"/>
        <w:gridCol w:w="95"/>
        <w:gridCol w:w="60"/>
        <w:gridCol w:w="60"/>
        <w:gridCol w:w="1055"/>
        <w:gridCol w:w="95"/>
        <w:gridCol w:w="60"/>
        <w:gridCol w:w="60"/>
        <w:gridCol w:w="1055"/>
        <w:gridCol w:w="110"/>
      </w:tblGrid>
      <w:tr>
        <w:trPr/>
        <w:tc>
          <w:tcPr>
            <w:tcW w:w="5470"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2025" w:type="dxa"/>
            <w:gridSpan w:val="6"/>
            <w:tcBorders>
              <w:bottom w:val="single" w:sz="1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Three Months Ended</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February 28,</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385" w:type="dxa"/>
            <w:gridSpan w:val="6"/>
            <w:tcBorders>
              <w:bottom w:val="single" w:sz="1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Year Ended </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February 28,</w:t>
            </w:r>
          </w:p>
        </w:tc>
        <w:tc>
          <w:tcPr>
            <w:tcW w:w="110" w:type="dxa"/>
            <w:tcBorders/>
            <w:vAlign w:val="center"/>
          </w:tcPr>
          <w:p>
            <w:pPr>
              <w:pStyle w:val="TableContents"/>
              <w:bidi w:val="0"/>
              <w:spacing w:before="0" w:after="283"/>
              <w:jc w:val="left"/>
              <w:rPr/>
            </w:pPr>
            <w:r>
              <w:rPr/>
              <w:t> </w:t>
            </w:r>
          </w:p>
        </w:tc>
      </w:tr>
      <w:tr>
        <w:trPr/>
        <w:tc>
          <w:tcPr>
            <w:tcW w:w="547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93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2026</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3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2025</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1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2026</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1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2025</w:t>
            </w:r>
          </w:p>
        </w:tc>
        <w:tc>
          <w:tcPr>
            <w:tcW w:w="110" w:type="dxa"/>
            <w:tcBorders/>
            <w:vAlign w:val="center"/>
          </w:tcPr>
          <w:p>
            <w:pPr>
              <w:pStyle w:val="TableContents"/>
              <w:bidi w:val="0"/>
              <w:spacing w:before="0" w:after="283"/>
              <w:jc w:val="left"/>
              <w:rPr/>
            </w:pPr>
            <w:r>
              <w:rPr/>
              <w:t> </w:t>
            </w:r>
          </w:p>
        </w:tc>
      </w:tr>
      <w:tr>
        <w:trPr/>
        <w:tc>
          <w:tcPr>
            <w:tcW w:w="5470"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4565" w:type="dxa"/>
            <w:gridSpan w:val="14"/>
            <w:tcBorders/>
            <w:vAlign w:val="center"/>
          </w:tcPr>
          <w:p>
            <w:pPr>
              <w:pStyle w:val="TableContents"/>
              <w:bidi w:val="0"/>
              <w:spacing w:before="0" w:after="283"/>
              <w:jc w:val="center"/>
              <w:rPr>
                <w:b/>
              </w:rPr>
            </w:pPr>
            <w:r>
              <w:rPr>
                <w:b/>
              </w:rPr>
              <w:t>(Rand Thousands)</w:t>
            </w:r>
          </w:p>
        </w:tc>
        <w:tc>
          <w:tcPr>
            <w:tcW w:w="110" w:type="dxa"/>
            <w:tcBorders/>
            <w:vAlign w:val="center"/>
          </w:tcPr>
          <w:p>
            <w:pPr>
              <w:pStyle w:val="TableContents"/>
              <w:bidi w:val="0"/>
              <w:spacing w:before="0" w:after="283"/>
              <w:jc w:val="left"/>
              <w:rPr/>
            </w:pPr>
            <w:r>
              <w:rPr/>
              <w:t> </w:t>
            </w:r>
          </w:p>
        </w:tc>
      </w:tr>
      <w:tr>
        <w:trPr/>
        <w:tc>
          <w:tcPr>
            <w:tcW w:w="5470" w:type="dxa"/>
            <w:tcBorders/>
            <w:shd w:fill="CCEEFF" w:val="clear"/>
            <w:vAlign w:val="center"/>
          </w:tcPr>
          <w:p>
            <w:pPr>
              <w:pStyle w:val="TableContents"/>
              <w:bidi w:val="0"/>
              <w:spacing w:before="0" w:after="283"/>
              <w:jc w:val="left"/>
              <w:rPr/>
            </w:pPr>
            <w:r>
              <w:rPr/>
              <w:t>Cash generated from operations before working capital changes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622,229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567,336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2,408,393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2,060,410</w:t>
            </w:r>
          </w:p>
        </w:tc>
        <w:tc>
          <w:tcPr>
            <w:tcW w:w="110" w:type="dxa"/>
            <w:tcBorders/>
            <w:shd w:fill="CCEEFF" w:val="clear"/>
            <w:vAlign w:val="center"/>
          </w:tcPr>
          <w:p>
            <w:pPr>
              <w:pStyle w:val="TableContents"/>
              <w:bidi w:val="0"/>
              <w:spacing w:before="0" w:after="283"/>
              <w:jc w:val="left"/>
              <w:rPr/>
            </w:pPr>
            <w:r>
              <w:rPr/>
              <w:t> </w:t>
            </w:r>
          </w:p>
        </w:tc>
      </w:tr>
      <w:tr>
        <w:trPr/>
        <w:tc>
          <w:tcPr>
            <w:tcW w:w="547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Changes to working capital</w:t>
            </w:r>
            <w:r>
              <w:rPr>
                <w:rFonts w:ascii="Times New Roman;Times;Serif" w:hAnsi="Times New Roman;Times;Serif"/>
                <w:position w:val="7"/>
                <w:sz w:val="16"/>
                <w:sz w:val="20"/>
              </w:rPr>
              <w:t>1</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875" w:type="dxa"/>
            <w:tcBorders>
              <w:bottom w:val="single" w:sz="12" w:space="0" w:color="000000"/>
            </w:tcBorders>
            <w:shd w:fill="FFFFFF" w:val="clear"/>
            <w:tcMar>
              <w:bottom w:w="28" w:type="dxa"/>
            </w:tcMar>
            <w:vAlign w:val="center"/>
          </w:tcPr>
          <w:p>
            <w:pPr>
              <w:pStyle w:val="TableContents"/>
              <w:bidi w:val="0"/>
              <w:spacing w:before="0" w:after="283"/>
              <w:jc w:val="right"/>
              <w:rPr/>
            </w:pPr>
            <w:r>
              <w:rPr/>
              <w:t>(23,562</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875" w:type="dxa"/>
            <w:tcBorders>
              <w:bottom w:val="single" w:sz="12" w:space="0" w:color="000000"/>
            </w:tcBorders>
            <w:shd w:fill="FFFFFF" w:val="clear"/>
            <w:tcMar>
              <w:bottom w:w="28" w:type="dxa"/>
            </w:tcMar>
            <w:vAlign w:val="center"/>
          </w:tcPr>
          <w:p>
            <w:pPr>
              <w:pStyle w:val="TableContents"/>
              <w:bidi w:val="0"/>
              <w:spacing w:before="0" w:after="283"/>
              <w:jc w:val="right"/>
              <w:rPr/>
            </w:pPr>
            <w:r>
              <w:rPr/>
              <w:t>(144,441</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055" w:type="dxa"/>
            <w:tcBorders>
              <w:bottom w:val="single" w:sz="12" w:space="0" w:color="000000"/>
            </w:tcBorders>
            <w:shd w:fill="FFFFFF" w:val="clear"/>
            <w:tcMar>
              <w:bottom w:w="28" w:type="dxa"/>
            </w:tcMar>
            <w:vAlign w:val="center"/>
          </w:tcPr>
          <w:p>
            <w:pPr>
              <w:pStyle w:val="TableContents"/>
              <w:bidi w:val="0"/>
              <w:spacing w:before="0" w:after="283"/>
              <w:jc w:val="right"/>
              <w:rPr/>
            </w:pPr>
            <w:r>
              <w:rPr/>
              <w:t>(134,071</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055" w:type="dxa"/>
            <w:tcBorders>
              <w:bottom w:val="single" w:sz="12" w:space="0" w:color="000000"/>
            </w:tcBorders>
            <w:shd w:fill="FFFFFF" w:val="clear"/>
            <w:tcMar>
              <w:bottom w:w="28" w:type="dxa"/>
            </w:tcMar>
            <w:vAlign w:val="center"/>
          </w:tcPr>
          <w:p>
            <w:pPr>
              <w:pStyle w:val="TableContents"/>
              <w:bidi w:val="0"/>
              <w:spacing w:before="0" w:after="283"/>
              <w:jc w:val="right"/>
              <w:rPr/>
            </w:pPr>
            <w:r>
              <w:rPr/>
              <w:t>215,763</w:t>
            </w:r>
          </w:p>
        </w:tc>
        <w:tc>
          <w:tcPr>
            <w:tcW w:w="110" w:type="dxa"/>
            <w:tcBorders/>
            <w:shd w:fill="FFFFFF" w:val="clear"/>
            <w:vAlign w:val="center"/>
          </w:tcPr>
          <w:p>
            <w:pPr>
              <w:pStyle w:val="TableContents"/>
              <w:bidi w:val="0"/>
              <w:spacing w:before="0" w:after="283"/>
              <w:jc w:val="left"/>
              <w:rPr/>
            </w:pPr>
            <w:r>
              <w:rPr/>
              <w:t> </w:t>
            </w:r>
          </w:p>
        </w:tc>
      </w:tr>
      <w:tr>
        <w:trPr/>
        <w:tc>
          <w:tcPr>
            <w:tcW w:w="5470" w:type="dxa"/>
            <w:tcBorders/>
            <w:shd w:fill="CCEEFF" w:val="clear"/>
            <w:vAlign w:val="center"/>
          </w:tcPr>
          <w:p>
            <w:pPr>
              <w:pStyle w:val="TableContents"/>
              <w:bidi w:val="0"/>
              <w:spacing w:before="0" w:after="283"/>
              <w:jc w:val="left"/>
              <w:rPr/>
            </w:pPr>
            <w:r>
              <w:rPr/>
              <w:t>Cash generated from operations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598,667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422,895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2,274,322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2,276,173</w:t>
            </w:r>
          </w:p>
        </w:tc>
        <w:tc>
          <w:tcPr>
            <w:tcW w:w="110" w:type="dxa"/>
            <w:tcBorders/>
            <w:shd w:fill="CCEEFF" w:val="clear"/>
            <w:vAlign w:val="center"/>
          </w:tcPr>
          <w:p>
            <w:pPr>
              <w:pStyle w:val="TableContents"/>
              <w:bidi w:val="0"/>
              <w:spacing w:before="0" w:after="283"/>
              <w:jc w:val="left"/>
              <w:rPr/>
            </w:pPr>
            <w:r>
              <w:rPr/>
              <w:t> </w:t>
            </w:r>
          </w:p>
        </w:tc>
      </w:tr>
      <w:tr>
        <w:trPr/>
        <w:tc>
          <w:tcPr>
            <w:tcW w:w="5470" w:type="dxa"/>
            <w:tcBorders/>
            <w:shd w:fill="FFFFFF" w:val="clear"/>
            <w:vAlign w:val="center"/>
          </w:tcPr>
          <w:p>
            <w:pPr>
              <w:pStyle w:val="TableContents"/>
              <w:bidi w:val="0"/>
              <w:spacing w:before="0" w:after="283"/>
              <w:jc w:val="left"/>
              <w:rPr/>
            </w:pPr>
            <w:r>
              <w:rPr/>
              <w:t>Finance income received</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pPr>
            <w:r>
              <w:rPr/>
              <w:t>7,617</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pPr>
            <w:r>
              <w:rPr/>
              <w:t>10,422</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34,476</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44,167</w:t>
            </w:r>
          </w:p>
        </w:tc>
        <w:tc>
          <w:tcPr>
            <w:tcW w:w="110" w:type="dxa"/>
            <w:tcBorders/>
            <w:shd w:fill="FFFFFF" w:val="clear"/>
            <w:vAlign w:val="center"/>
          </w:tcPr>
          <w:p>
            <w:pPr>
              <w:pStyle w:val="TableContents"/>
              <w:bidi w:val="0"/>
              <w:spacing w:before="0" w:after="283"/>
              <w:jc w:val="left"/>
              <w:rPr/>
            </w:pPr>
            <w:r>
              <w:rPr/>
              <w:t> </w:t>
            </w:r>
          </w:p>
        </w:tc>
      </w:tr>
      <w:tr>
        <w:trPr/>
        <w:tc>
          <w:tcPr>
            <w:tcW w:w="5470" w:type="dxa"/>
            <w:tcBorders/>
            <w:shd w:fill="CCEEFF" w:val="clear"/>
            <w:vAlign w:val="center"/>
          </w:tcPr>
          <w:p>
            <w:pPr>
              <w:pStyle w:val="TableContents"/>
              <w:bidi w:val="0"/>
              <w:spacing w:before="0" w:after="283"/>
              <w:jc w:val="left"/>
              <w:rPr/>
            </w:pPr>
            <w:r>
              <w:rPr/>
              <w:t>Finance cost paid</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(24,884</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(14,366</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(78,843</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(48,610</w:t>
            </w:r>
          </w:p>
        </w:tc>
        <w:tc>
          <w:tcPr>
            <w:tcW w:w="110" w:type="dxa"/>
            <w:tcBorders/>
            <w:shd w:fill="CCEEFF" w:val="clear"/>
            <w:vAlign w:val="center"/>
          </w:tcPr>
          <w:p>
            <w:pPr>
              <w:pStyle w:val="TableContents"/>
              <w:bidi w:val="0"/>
              <w:spacing w:before="0" w:after="283"/>
              <w:jc w:val="left"/>
              <w:rPr/>
            </w:pPr>
            <w:r>
              <w:rPr/>
              <w:t>)</w:t>
            </w:r>
          </w:p>
        </w:tc>
      </w:tr>
      <w:tr>
        <w:trPr/>
        <w:tc>
          <w:tcPr>
            <w:tcW w:w="5470" w:type="dxa"/>
            <w:tcBorders/>
            <w:shd w:fill="FFFFFF" w:val="clear"/>
            <w:vAlign w:val="center"/>
          </w:tcPr>
          <w:p>
            <w:pPr>
              <w:pStyle w:val="TableContents"/>
              <w:bidi w:val="0"/>
              <w:spacing w:before="0" w:after="283"/>
              <w:jc w:val="left"/>
              <w:rPr/>
            </w:pPr>
            <w:r>
              <w:rPr/>
              <w:t>Income tax paid</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875" w:type="dxa"/>
            <w:tcBorders>
              <w:bottom w:val="single" w:sz="12" w:space="0" w:color="000000"/>
            </w:tcBorders>
            <w:shd w:fill="FFFFFF" w:val="clear"/>
            <w:tcMar>
              <w:bottom w:w="28" w:type="dxa"/>
            </w:tcMar>
            <w:vAlign w:val="center"/>
          </w:tcPr>
          <w:p>
            <w:pPr>
              <w:pStyle w:val="TableContents"/>
              <w:bidi w:val="0"/>
              <w:spacing w:before="0" w:after="283"/>
              <w:jc w:val="right"/>
              <w:rPr/>
            </w:pPr>
            <w:r>
              <w:rPr/>
              <w:t>(79,567</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875" w:type="dxa"/>
            <w:tcBorders>
              <w:bottom w:val="single" w:sz="12" w:space="0" w:color="000000"/>
            </w:tcBorders>
            <w:shd w:fill="FFFFFF" w:val="clear"/>
            <w:tcMar>
              <w:bottom w:w="28" w:type="dxa"/>
            </w:tcMar>
            <w:vAlign w:val="center"/>
          </w:tcPr>
          <w:p>
            <w:pPr>
              <w:pStyle w:val="TableContents"/>
              <w:bidi w:val="0"/>
              <w:spacing w:before="0" w:after="283"/>
              <w:jc w:val="right"/>
              <w:rPr/>
            </w:pPr>
            <w:r>
              <w:rPr/>
              <w:t>(158,438</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055" w:type="dxa"/>
            <w:tcBorders>
              <w:bottom w:val="single" w:sz="12" w:space="0" w:color="000000"/>
            </w:tcBorders>
            <w:shd w:fill="FFFFFF" w:val="clear"/>
            <w:tcMar>
              <w:bottom w:w="28" w:type="dxa"/>
            </w:tcMar>
            <w:vAlign w:val="center"/>
          </w:tcPr>
          <w:p>
            <w:pPr>
              <w:pStyle w:val="TableContents"/>
              <w:bidi w:val="0"/>
              <w:spacing w:before="0" w:after="283"/>
              <w:jc w:val="right"/>
              <w:rPr/>
            </w:pPr>
            <w:r>
              <w:rPr/>
              <w:t>(262,895</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055" w:type="dxa"/>
            <w:tcBorders>
              <w:bottom w:val="single" w:sz="12" w:space="0" w:color="000000"/>
            </w:tcBorders>
            <w:shd w:fill="FFFFFF" w:val="clear"/>
            <w:tcMar>
              <w:bottom w:w="28" w:type="dxa"/>
            </w:tcMar>
            <w:vAlign w:val="center"/>
          </w:tcPr>
          <w:p>
            <w:pPr>
              <w:pStyle w:val="TableContents"/>
              <w:bidi w:val="0"/>
              <w:spacing w:before="0" w:after="283"/>
              <w:jc w:val="right"/>
              <w:rPr/>
            </w:pPr>
            <w:r>
              <w:rPr/>
              <w:t>(338,435</w:t>
            </w:r>
          </w:p>
        </w:tc>
        <w:tc>
          <w:tcPr>
            <w:tcW w:w="110" w:type="dxa"/>
            <w:tcBorders/>
            <w:shd w:fill="FFFFFF" w:val="clear"/>
            <w:vAlign w:val="center"/>
          </w:tcPr>
          <w:p>
            <w:pPr>
              <w:pStyle w:val="TableContents"/>
              <w:bidi w:val="0"/>
              <w:spacing w:before="0" w:after="283"/>
              <w:jc w:val="left"/>
              <w:rPr/>
            </w:pPr>
            <w:r>
              <w:rPr/>
              <w:t>)</w:t>
            </w:r>
          </w:p>
        </w:tc>
      </w:tr>
      <w:tr>
        <w:trPr/>
        <w:tc>
          <w:tcPr>
            <w:tcW w:w="5470" w:type="dxa"/>
            <w:tcBorders/>
            <w:shd w:fill="CCEEFF" w:val="clear"/>
            <w:vAlign w:val="center"/>
          </w:tcPr>
          <w:p>
            <w:pPr>
              <w:pStyle w:val="TableContents"/>
              <w:bidi w:val="0"/>
              <w:spacing w:before="0" w:after="283"/>
              <w:jc w:val="left"/>
              <w:rPr/>
            </w:pPr>
            <w:r>
              <w:rPr/>
              <w:t>Net cash flows from operating activities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501,833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260,513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1,967,060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1,933,295</w:t>
            </w:r>
          </w:p>
        </w:tc>
        <w:tc>
          <w:tcPr>
            <w:tcW w:w="110" w:type="dxa"/>
            <w:tcBorders/>
            <w:shd w:fill="CCEEFF" w:val="clear"/>
            <w:vAlign w:val="center"/>
          </w:tcPr>
          <w:p>
            <w:pPr>
              <w:pStyle w:val="TableContents"/>
              <w:bidi w:val="0"/>
              <w:spacing w:before="0" w:after="283"/>
              <w:jc w:val="left"/>
              <w:rPr/>
            </w:pPr>
            <w:r>
              <w:rPr/>
              <w:t> </w:t>
            </w:r>
          </w:p>
        </w:tc>
      </w:tr>
      <w:tr>
        <w:trPr/>
        <w:tc>
          <w:tcPr>
            <w:tcW w:w="5470" w:type="dxa"/>
            <w:tcBorders/>
            <w:shd w:fill="FFFFFF" w:val="clear"/>
            <w:vAlign w:val="center"/>
          </w:tcPr>
          <w:p>
            <w:pPr>
              <w:pStyle w:val="TableContents"/>
              <w:bidi w:val="0"/>
              <w:spacing w:before="0" w:after="283"/>
              <w:jc w:val="left"/>
              <w:rPr/>
            </w:pPr>
            <w:r>
              <w:rPr/>
              <w:t>Net cash flows utilized by investing activities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pPr>
            <w:r>
              <w:rPr/>
              <w:t>(302,265</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pPr>
            <w:r>
              <w:rPr/>
              <w:t>(287,754</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(1,213,952</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(1,076,835</w:t>
            </w:r>
          </w:p>
        </w:tc>
        <w:tc>
          <w:tcPr>
            <w:tcW w:w="110" w:type="dxa"/>
            <w:tcBorders/>
            <w:shd w:fill="FFFFFF" w:val="clear"/>
            <w:vAlign w:val="center"/>
          </w:tcPr>
          <w:p>
            <w:pPr>
              <w:pStyle w:val="TableContents"/>
              <w:bidi w:val="0"/>
              <w:spacing w:before="0" w:after="283"/>
              <w:jc w:val="left"/>
              <w:rPr/>
            </w:pPr>
            <w:r>
              <w:rPr/>
              <w:t>)</w:t>
            </w:r>
          </w:p>
        </w:tc>
      </w:tr>
      <w:tr>
        <w:trPr/>
        <w:tc>
          <w:tcPr>
            <w:tcW w:w="5470" w:type="dxa"/>
            <w:tcBorders/>
            <w:shd w:fill="CCEEFF" w:val="clear"/>
            <w:vAlign w:val="center"/>
          </w:tcPr>
          <w:p>
            <w:pPr>
              <w:pStyle w:val="TableContents"/>
              <w:bidi w:val="0"/>
              <w:spacing w:before="0" w:after="283"/>
              <w:jc w:val="left"/>
              <w:rPr/>
            </w:pPr>
            <w:r>
              <w:rPr/>
              <w:t>Net cash flows from/(utilized by) financing activities</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75" w:type="dxa"/>
            <w:tcBorders>
              <w:bottom w:val="single" w:sz="12" w:space="0" w:color="000000"/>
            </w:tcBorders>
            <w:shd w:fill="CCEEFF" w:val="clear"/>
            <w:tcMar>
              <w:bottom w:w="28" w:type="dxa"/>
            </w:tcMar>
            <w:vAlign w:val="center"/>
          </w:tcPr>
          <w:p>
            <w:pPr>
              <w:pStyle w:val="TableContents"/>
              <w:bidi w:val="0"/>
              <w:spacing w:before="0" w:after="283"/>
              <w:jc w:val="right"/>
              <w:rPr/>
            </w:pPr>
            <w:r>
              <w:rPr/>
              <w:t>98,814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75" w:type="dxa"/>
            <w:tcBorders>
              <w:bottom w:val="single" w:sz="12" w:space="0" w:color="000000"/>
            </w:tcBorders>
            <w:shd w:fill="CCEEFF" w:val="clear"/>
            <w:tcMar>
              <w:bottom w:w="28" w:type="dxa"/>
            </w:tcMar>
            <w:vAlign w:val="center"/>
          </w:tcPr>
          <w:p>
            <w:pPr>
              <w:pStyle w:val="TableContents"/>
              <w:bidi w:val="0"/>
              <w:spacing w:before="0" w:after="283"/>
              <w:jc w:val="right"/>
              <w:rPr/>
            </w:pPr>
            <w:r>
              <w:rPr/>
              <w:t>(29,380</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55" w:type="dxa"/>
            <w:tcBorders>
              <w:bottom w:val="single" w:sz="12" w:space="0" w:color="000000"/>
            </w:tcBorders>
            <w:shd w:fill="CCEEFF" w:val="clear"/>
            <w:tcMar>
              <w:bottom w:w="28" w:type="dxa"/>
            </w:tcMar>
            <w:vAlign w:val="center"/>
          </w:tcPr>
          <w:p>
            <w:pPr>
              <w:pStyle w:val="TableContents"/>
              <w:bidi w:val="0"/>
              <w:spacing w:before="0" w:after="283"/>
              <w:jc w:val="right"/>
              <w:rPr/>
            </w:pPr>
            <w:r>
              <w:rPr/>
              <w:t>(707,086</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55" w:type="dxa"/>
            <w:tcBorders>
              <w:bottom w:val="single" w:sz="12" w:space="0" w:color="000000"/>
            </w:tcBorders>
            <w:shd w:fill="CCEEFF" w:val="clear"/>
            <w:tcMar>
              <w:bottom w:w="28" w:type="dxa"/>
            </w:tcMar>
            <w:vAlign w:val="center"/>
          </w:tcPr>
          <w:p>
            <w:pPr>
              <w:pStyle w:val="TableContents"/>
              <w:bidi w:val="0"/>
              <w:spacing w:before="0" w:after="283"/>
              <w:jc w:val="right"/>
              <w:rPr/>
            </w:pPr>
            <w:r>
              <w:rPr/>
              <w:t>(443,760</w:t>
            </w:r>
          </w:p>
        </w:tc>
        <w:tc>
          <w:tcPr>
            <w:tcW w:w="110" w:type="dxa"/>
            <w:tcBorders/>
            <w:shd w:fill="CCEEFF" w:val="clear"/>
            <w:vAlign w:val="center"/>
          </w:tcPr>
          <w:p>
            <w:pPr>
              <w:pStyle w:val="TableContents"/>
              <w:bidi w:val="0"/>
              <w:spacing w:before="0" w:after="283"/>
              <w:jc w:val="left"/>
              <w:rPr/>
            </w:pPr>
            <w:r>
              <w:rPr/>
              <w:t>)</w:t>
            </w:r>
          </w:p>
        </w:tc>
      </w:tr>
      <w:tr>
        <w:trPr/>
        <w:tc>
          <w:tcPr>
            <w:tcW w:w="5470" w:type="dxa"/>
            <w:tcBorders/>
            <w:shd w:fill="FFFFFF" w:val="clear"/>
            <w:vAlign w:val="center"/>
          </w:tcPr>
          <w:p>
            <w:pPr>
              <w:pStyle w:val="TableContents"/>
              <w:bidi w:val="0"/>
              <w:spacing w:before="0" w:after="283"/>
              <w:jc w:val="left"/>
              <w:rPr>
                <w:b/>
              </w:rPr>
            </w:pPr>
            <w:r>
              <w:rPr>
                <w:b/>
              </w:rPr>
              <w:t>Net cash and cash equivalents movements for the period</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pPr>
            <w:r>
              <w:rPr/>
              <w:t>298,382</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pPr>
            <w:r>
              <w:rPr/>
              <w:t>(56,621</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46,022</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412,700</w:t>
            </w:r>
          </w:p>
        </w:tc>
        <w:tc>
          <w:tcPr>
            <w:tcW w:w="110" w:type="dxa"/>
            <w:tcBorders/>
            <w:shd w:fill="FFFFFF" w:val="clear"/>
            <w:vAlign w:val="center"/>
          </w:tcPr>
          <w:p>
            <w:pPr>
              <w:pStyle w:val="TableContents"/>
              <w:bidi w:val="0"/>
              <w:spacing w:before="0" w:after="283"/>
              <w:jc w:val="left"/>
              <w:rPr/>
            </w:pPr>
            <w:r>
              <w:rPr/>
              <w:t> </w:t>
            </w:r>
          </w:p>
        </w:tc>
      </w:tr>
      <w:tr>
        <w:trPr/>
        <w:tc>
          <w:tcPr>
            <w:tcW w:w="5470" w:type="dxa"/>
            <w:tcBorders/>
            <w:shd w:fill="CCEEFF" w:val="clear"/>
            <w:vAlign w:val="center"/>
          </w:tcPr>
          <w:p>
            <w:pPr>
              <w:pStyle w:val="TableContents"/>
              <w:bidi w:val="0"/>
              <w:spacing w:before="0" w:after="283"/>
              <w:jc w:val="left"/>
              <w:rPr/>
            </w:pPr>
            <w:r>
              <w:rPr/>
              <w:t>Cash and cash equivalents as at the beginning of the period</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531,346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855,926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837,583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436,165</w:t>
            </w:r>
          </w:p>
        </w:tc>
        <w:tc>
          <w:tcPr>
            <w:tcW w:w="110" w:type="dxa"/>
            <w:tcBorders/>
            <w:shd w:fill="CCEEFF" w:val="clear"/>
            <w:vAlign w:val="center"/>
          </w:tcPr>
          <w:p>
            <w:pPr>
              <w:pStyle w:val="TableContents"/>
              <w:bidi w:val="0"/>
              <w:spacing w:before="0" w:after="283"/>
              <w:jc w:val="left"/>
              <w:rPr/>
            </w:pPr>
            <w:r>
              <w:rPr/>
              <w:t> </w:t>
            </w:r>
          </w:p>
        </w:tc>
      </w:tr>
      <w:tr>
        <w:trPr/>
        <w:tc>
          <w:tcPr>
            <w:tcW w:w="5470" w:type="dxa"/>
            <w:tcBorders/>
            <w:shd w:fill="FFFFFF" w:val="clear"/>
            <w:vAlign w:val="center"/>
          </w:tcPr>
          <w:p>
            <w:pPr>
              <w:pStyle w:val="TableContents"/>
              <w:bidi w:val="0"/>
              <w:spacing w:before="0" w:after="283"/>
              <w:jc w:val="left"/>
              <w:rPr/>
            </w:pPr>
            <w:r>
              <w:rPr/>
              <w:t>Translation differences on cash and cash equivalents</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875" w:type="dxa"/>
            <w:tcBorders>
              <w:bottom w:val="single" w:sz="12" w:space="0" w:color="000000"/>
            </w:tcBorders>
            <w:shd w:fill="FFFFFF" w:val="clear"/>
            <w:tcMar>
              <w:bottom w:w="28" w:type="dxa"/>
            </w:tcMar>
            <w:vAlign w:val="center"/>
          </w:tcPr>
          <w:p>
            <w:pPr>
              <w:pStyle w:val="TableContents"/>
              <w:bidi w:val="0"/>
              <w:spacing w:before="0" w:after="283"/>
              <w:jc w:val="right"/>
              <w:rPr/>
            </w:pPr>
            <w:r>
              <w:rPr/>
              <w:t>(83,522</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875" w:type="dxa"/>
            <w:tcBorders>
              <w:bottom w:val="single" w:sz="12" w:space="0" w:color="000000"/>
            </w:tcBorders>
            <w:shd w:fill="FFFFFF" w:val="clear"/>
            <w:tcMar>
              <w:bottom w:w="28" w:type="dxa"/>
            </w:tcMar>
            <w:vAlign w:val="center"/>
          </w:tcPr>
          <w:p>
            <w:pPr>
              <w:pStyle w:val="TableContents"/>
              <w:bidi w:val="0"/>
              <w:spacing w:before="0" w:after="283"/>
              <w:jc w:val="right"/>
              <w:rPr/>
            </w:pPr>
            <w:r>
              <w:rPr/>
              <w:t>38,278</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055" w:type="dxa"/>
            <w:tcBorders>
              <w:bottom w:val="single" w:sz="12" w:space="0" w:color="000000"/>
            </w:tcBorders>
            <w:shd w:fill="FFFFFF" w:val="clear"/>
            <w:tcMar>
              <w:bottom w:w="28" w:type="dxa"/>
            </w:tcMar>
            <w:vAlign w:val="center"/>
          </w:tcPr>
          <w:p>
            <w:pPr>
              <w:pStyle w:val="TableContents"/>
              <w:bidi w:val="0"/>
              <w:spacing w:before="0" w:after="283"/>
              <w:jc w:val="right"/>
              <w:rPr/>
            </w:pPr>
            <w:r>
              <w:rPr/>
              <w:t>(137,399</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055" w:type="dxa"/>
            <w:tcBorders>
              <w:bottom w:val="single" w:sz="12" w:space="0" w:color="000000"/>
            </w:tcBorders>
            <w:shd w:fill="FFFFFF" w:val="clear"/>
            <w:tcMar>
              <w:bottom w:w="28" w:type="dxa"/>
            </w:tcMar>
            <w:vAlign w:val="center"/>
          </w:tcPr>
          <w:p>
            <w:pPr>
              <w:pStyle w:val="TableContents"/>
              <w:bidi w:val="0"/>
              <w:spacing w:before="0" w:after="283"/>
              <w:jc w:val="right"/>
              <w:rPr/>
            </w:pPr>
            <w:r>
              <w:rPr/>
              <w:t>(11,282</w:t>
            </w:r>
          </w:p>
        </w:tc>
        <w:tc>
          <w:tcPr>
            <w:tcW w:w="110" w:type="dxa"/>
            <w:tcBorders/>
            <w:shd w:fill="FFFFFF" w:val="clear"/>
            <w:vAlign w:val="center"/>
          </w:tcPr>
          <w:p>
            <w:pPr>
              <w:pStyle w:val="TableContents"/>
              <w:bidi w:val="0"/>
              <w:spacing w:before="0" w:after="283"/>
              <w:jc w:val="left"/>
              <w:rPr/>
            </w:pPr>
            <w:r>
              <w:rPr/>
              <w:t>)</w:t>
            </w:r>
          </w:p>
        </w:tc>
      </w:tr>
      <w:tr>
        <w:trPr/>
        <w:tc>
          <w:tcPr>
            <w:tcW w:w="5470" w:type="dxa"/>
            <w:tcBorders/>
            <w:shd w:fill="CCEEFF" w:val="clear"/>
            <w:vAlign w:val="center"/>
          </w:tcPr>
          <w:p>
            <w:pPr>
              <w:pStyle w:val="TableContents"/>
              <w:bidi w:val="0"/>
              <w:spacing w:before="0" w:after="283"/>
              <w:jc w:val="left"/>
              <w:rPr>
                <w:b/>
              </w:rPr>
            </w:pPr>
            <w:r>
              <w:rPr>
                <w:b/>
              </w:rPr>
              <w:t>Total cash and cash equivalents at the end of the period</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875" w:type="dxa"/>
            <w:tcBorders>
              <w:bottom w:val="double" w:sz="10" w:space="0" w:color="000000"/>
            </w:tcBorders>
            <w:shd w:fill="CCEEFF" w:val="clear"/>
            <w:tcMar>
              <w:bottom w:w="28" w:type="dxa"/>
            </w:tcMar>
            <w:vAlign w:val="center"/>
          </w:tcPr>
          <w:p>
            <w:pPr>
              <w:pStyle w:val="TableContents"/>
              <w:bidi w:val="0"/>
              <w:spacing w:before="0" w:after="283"/>
              <w:jc w:val="right"/>
              <w:rPr/>
            </w:pPr>
            <w:r>
              <w:rPr/>
              <w:t>746,206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875" w:type="dxa"/>
            <w:tcBorders>
              <w:bottom w:val="double" w:sz="10" w:space="0" w:color="000000"/>
            </w:tcBorders>
            <w:shd w:fill="CCEEFF" w:val="clear"/>
            <w:tcMar>
              <w:bottom w:w="28" w:type="dxa"/>
            </w:tcMar>
            <w:vAlign w:val="center"/>
          </w:tcPr>
          <w:p>
            <w:pPr>
              <w:pStyle w:val="TableContents"/>
              <w:bidi w:val="0"/>
              <w:spacing w:before="0" w:after="283"/>
              <w:jc w:val="right"/>
              <w:rPr/>
            </w:pPr>
            <w:r>
              <w:rPr/>
              <w:t>837,583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1055" w:type="dxa"/>
            <w:tcBorders>
              <w:bottom w:val="double" w:sz="10" w:space="0" w:color="000000"/>
            </w:tcBorders>
            <w:shd w:fill="CCEEFF" w:val="clear"/>
            <w:tcMar>
              <w:bottom w:w="28" w:type="dxa"/>
            </w:tcMar>
            <w:vAlign w:val="center"/>
          </w:tcPr>
          <w:p>
            <w:pPr>
              <w:pStyle w:val="TableContents"/>
              <w:bidi w:val="0"/>
              <w:spacing w:before="0" w:after="283"/>
              <w:jc w:val="right"/>
              <w:rPr/>
            </w:pPr>
            <w:r>
              <w:rPr/>
              <w:t>746,206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1055" w:type="dxa"/>
            <w:tcBorders>
              <w:bottom w:val="double" w:sz="10" w:space="0" w:color="000000"/>
            </w:tcBorders>
            <w:shd w:fill="CCEEFF" w:val="clear"/>
            <w:tcMar>
              <w:bottom w:w="28" w:type="dxa"/>
            </w:tcMar>
            <w:vAlign w:val="center"/>
          </w:tcPr>
          <w:p>
            <w:pPr>
              <w:pStyle w:val="TableContents"/>
              <w:bidi w:val="0"/>
              <w:spacing w:before="0" w:after="283"/>
              <w:jc w:val="right"/>
              <w:rPr/>
            </w:pPr>
            <w:r>
              <w:rPr/>
              <w:t>837,583</w:t>
            </w:r>
          </w:p>
        </w:tc>
        <w:tc>
          <w:tcPr>
            <w:tcW w:w="11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75"/>
        <w:gridCol w:w="10030"/>
      </w:tblGrid>
      <w:tr>
        <w:trPr/>
        <w:tc>
          <w:tcPr>
            <w:tcW w:w="175" w:type="dxa"/>
            <w:tcBorders/>
            <w:vAlign w:val="center"/>
          </w:tcPr>
          <w:p>
            <w:pPr>
              <w:pStyle w:val="TableContents"/>
              <w:bidi w:val="0"/>
              <w:spacing w:before="0" w:after="283"/>
              <w:jc w:val="left"/>
              <w:rPr/>
            </w:pPr>
            <w:r>
              <w:rPr/>
              <w:t>1.</w:t>
            </w:r>
          </w:p>
        </w:tc>
        <w:tc>
          <w:tcPr>
            <w:tcW w:w="10030" w:type="dxa"/>
            <w:tcBorders/>
            <w:vAlign w:val="center"/>
          </w:tcPr>
          <w:p>
            <w:pPr>
              <w:pStyle w:val="TableContents"/>
              <w:bidi w:val="0"/>
              <w:spacing w:before="0" w:after="283"/>
              <w:jc w:val="both"/>
              <w:rPr>
                <w:i/>
              </w:rPr>
            </w:pPr>
            <w:r>
              <w:rPr>
                <w:i/>
              </w:rPr>
              <w:t>As of February 29, 2024 the group had ZAR486 million in bank fixed deposits with maturity dates exceeding three months (these bank fixed deposits were classified under trade and other receivables as of February 29, 2024 and as cash on and cash equivalents as of May 31, 2024).</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18</w:t>
      </w:r>
    </w:p>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KAROOOOO LTD.</w:t>
        <w:br/>
        <w:t xml:space="preserve">RECONCILIATION OF FREE CASH FLOW (A NON-IFRS MEASURE)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AND ADJUSTED FREE CASH FLOW (A NON-IFRS MEASURE)</w:t>
        <w:br/>
        <w:t>(UNAUDITED)</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5299"/>
        <w:gridCol w:w="60"/>
        <w:gridCol w:w="64"/>
        <w:gridCol w:w="949"/>
        <w:gridCol w:w="102"/>
        <w:gridCol w:w="64"/>
        <w:gridCol w:w="64"/>
        <w:gridCol w:w="949"/>
        <w:gridCol w:w="95"/>
        <w:gridCol w:w="60"/>
        <w:gridCol w:w="60"/>
        <w:gridCol w:w="1055"/>
        <w:gridCol w:w="95"/>
        <w:gridCol w:w="60"/>
        <w:gridCol w:w="60"/>
        <w:gridCol w:w="1055"/>
        <w:gridCol w:w="114"/>
      </w:tblGrid>
      <w:tr>
        <w:trPr/>
        <w:tc>
          <w:tcPr>
            <w:tcW w:w="5299"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2192"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Three Months Ended</w:t>
              <w:br/>
              <w:t>February 28,</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385"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 xml:space="preserve">Year Ended </w:t>
              <w:br/>
              <w:t>February 28,</w:t>
            </w:r>
          </w:p>
        </w:tc>
        <w:tc>
          <w:tcPr>
            <w:tcW w:w="114" w:type="dxa"/>
            <w:tcBorders/>
            <w:vAlign w:val="center"/>
          </w:tcPr>
          <w:p>
            <w:pPr>
              <w:pStyle w:val="TableContents"/>
              <w:bidi w:val="0"/>
              <w:spacing w:before="0" w:after="283"/>
              <w:jc w:val="left"/>
              <w:rPr/>
            </w:pPr>
            <w:r>
              <w:rPr/>
              <w:t> </w:t>
            </w:r>
          </w:p>
        </w:tc>
      </w:tr>
      <w:tr>
        <w:trPr/>
        <w:tc>
          <w:tcPr>
            <w:tcW w:w="5299"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013"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2026</w:t>
            </w:r>
          </w:p>
        </w:tc>
        <w:tc>
          <w:tcPr>
            <w:tcW w:w="102" w:type="dxa"/>
            <w:tcBorders/>
            <w:vAlign w:val="center"/>
          </w:tcPr>
          <w:p>
            <w:pPr>
              <w:pStyle w:val="TableContents"/>
              <w:bidi w:val="0"/>
              <w:spacing w:before="0" w:after="283"/>
              <w:jc w:val="left"/>
              <w:rPr/>
            </w:pPr>
            <w:r>
              <w:rPr/>
              <w:t> </w:t>
            </w:r>
          </w:p>
        </w:tc>
        <w:tc>
          <w:tcPr>
            <w:tcW w:w="64" w:type="dxa"/>
            <w:tcBorders/>
            <w:vAlign w:val="center"/>
          </w:tcPr>
          <w:p>
            <w:pPr>
              <w:pStyle w:val="TableContents"/>
              <w:bidi w:val="0"/>
              <w:spacing w:before="0" w:after="283"/>
              <w:jc w:val="left"/>
              <w:rPr/>
            </w:pPr>
            <w:r>
              <w:rPr/>
              <w:t> </w:t>
            </w:r>
          </w:p>
        </w:tc>
        <w:tc>
          <w:tcPr>
            <w:tcW w:w="1013"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2025</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1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2026</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1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2025</w:t>
            </w:r>
          </w:p>
        </w:tc>
        <w:tc>
          <w:tcPr>
            <w:tcW w:w="114" w:type="dxa"/>
            <w:tcBorders/>
            <w:vAlign w:val="center"/>
          </w:tcPr>
          <w:p>
            <w:pPr>
              <w:pStyle w:val="TableContents"/>
              <w:bidi w:val="0"/>
              <w:spacing w:before="0" w:after="283"/>
              <w:jc w:val="left"/>
              <w:rPr/>
            </w:pPr>
            <w:r>
              <w:rPr/>
              <w:t> </w:t>
            </w:r>
          </w:p>
        </w:tc>
      </w:tr>
      <w:tr>
        <w:trPr/>
        <w:tc>
          <w:tcPr>
            <w:tcW w:w="5299"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4732" w:type="dxa"/>
            <w:gridSpan w:val="14"/>
            <w:tcBorders/>
            <w:vAlign w:val="center"/>
          </w:tcPr>
          <w:p>
            <w:pPr>
              <w:pStyle w:val="TableContents"/>
              <w:bidi w:val="0"/>
              <w:spacing w:before="0" w:after="283"/>
              <w:jc w:val="center"/>
              <w:rPr>
                <w:b/>
              </w:rPr>
            </w:pPr>
            <w:r>
              <w:rPr>
                <w:b/>
              </w:rPr>
              <w:t>(Rand Thousands)</w:t>
            </w:r>
          </w:p>
        </w:tc>
        <w:tc>
          <w:tcPr>
            <w:tcW w:w="114" w:type="dxa"/>
            <w:tcBorders/>
            <w:vAlign w:val="center"/>
          </w:tcPr>
          <w:p>
            <w:pPr>
              <w:pStyle w:val="TableContents"/>
              <w:bidi w:val="0"/>
              <w:spacing w:before="0" w:after="283"/>
              <w:jc w:val="left"/>
              <w:rPr/>
            </w:pPr>
            <w:r>
              <w:rPr/>
              <w:t> </w:t>
            </w:r>
          </w:p>
        </w:tc>
      </w:tr>
      <w:tr>
        <w:trPr/>
        <w:tc>
          <w:tcPr>
            <w:tcW w:w="5299" w:type="dxa"/>
            <w:tcBorders/>
            <w:shd w:fill="CCEEFF" w:val="clear"/>
            <w:vAlign w:val="center"/>
          </w:tcPr>
          <w:p>
            <w:pPr>
              <w:pStyle w:val="TableContents"/>
              <w:bidi w:val="0"/>
              <w:spacing w:before="0" w:after="283"/>
              <w:jc w:val="left"/>
              <w:rPr/>
            </w:pPr>
            <w:r>
              <w:rPr/>
              <w:t>Net cash generated from operating activities</w:t>
            </w:r>
          </w:p>
        </w:tc>
        <w:tc>
          <w:tcPr>
            <w:tcW w:w="60"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949" w:type="dxa"/>
            <w:tcBorders/>
            <w:shd w:fill="CCEEFF" w:val="clear"/>
            <w:vAlign w:val="center"/>
          </w:tcPr>
          <w:p>
            <w:pPr>
              <w:pStyle w:val="TableContents"/>
              <w:bidi w:val="0"/>
              <w:spacing w:before="0" w:after="283"/>
              <w:jc w:val="right"/>
              <w:rPr/>
            </w:pPr>
            <w:r>
              <w:rPr/>
              <w:t>501,833</w:t>
            </w:r>
          </w:p>
        </w:tc>
        <w:tc>
          <w:tcPr>
            <w:tcW w:w="102"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949" w:type="dxa"/>
            <w:tcBorders/>
            <w:shd w:fill="CCEEFF" w:val="clear"/>
            <w:vAlign w:val="center"/>
          </w:tcPr>
          <w:p>
            <w:pPr>
              <w:pStyle w:val="TableContents"/>
              <w:bidi w:val="0"/>
              <w:spacing w:before="0" w:after="283"/>
              <w:jc w:val="right"/>
              <w:rPr/>
            </w:pPr>
            <w:r>
              <w:rPr/>
              <w:t>260,513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1,967,060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1,933,295</w:t>
            </w:r>
          </w:p>
        </w:tc>
        <w:tc>
          <w:tcPr>
            <w:tcW w:w="114" w:type="dxa"/>
            <w:tcBorders/>
            <w:shd w:fill="CCEEFF" w:val="clear"/>
            <w:vAlign w:val="center"/>
          </w:tcPr>
          <w:p>
            <w:pPr>
              <w:pStyle w:val="TableContents"/>
              <w:bidi w:val="0"/>
              <w:spacing w:before="0" w:after="283"/>
              <w:jc w:val="left"/>
              <w:rPr/>
            </w:pPr>
            <w:r>
              <w:rPr/>
              <w:t> </w:t>
            </w:r>
          </w:p>
        </w:tc>
      </w:tr>
      <w:tr>
        <w:trPr/>
        <w:tc>
          <w:tcPr>
            <w:tcW w:w="5299"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Less: purchase of property, plant and equipment</w:t>
            </w:r>
            <w:r>
              <w:rPr>
                <w:rFonts w:ascii="Times New Roman;Times;Serif" w:hAnsi="Times New Roman;Times;Serif"/>
                <w:position w:val="7"/>
                <w:sz w:val="16"/>
                <w:sz w:val="20"/>
              </w:rPr>
              <w:t>1</w:t>
            </w:r>
          </w:p>
        </w:tc>
        <w:tc>
          <w:tcPr>
            <w:tcW w:w="60" w:type="dxa"/>
            <w:tcBorders/>
            <w:shd w:fill="FFFFFF" w:val="clear"/>
            <w:vAlign w:val="center"/>
          </w:tcPr>
          <w:p>
            <w:pPr>
              <w:pStyle w:val="TableContents"/>
              <w:bidi w:val="0"/>
              <w:spacing w:before="0" w:after="283"/>
              <w:jc w:val="left"/>
              <w:rPr/>
            </w:pPr>
            <w:r>
              <w:rPr/>
              <w:t> </w:t>
            </w:r>
          </w:p>
        </w:tc>
        <w:tc>
          <w:tcPr>
            <w:tcW w:w="64"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949" w:type="dxa"/>
            <w:tcBorders>
              <w:bottom w:val="single" w:sz="12" w:space="0" w:color="000000"/>
            </w:tcBorders>
            <w:shd w:fill="FFFFFF" w:val="clear"/>
            <w:tcMar>
              <w:bottom w:w="28" w:type="dxa"/>
            </w:tcMar>
            <w:vAlign w:val="center"/>
          </w:tcPr>
          <w:p>
            <w:pPr>
              <w:pStyle w:val="TableContents"/>
              <w:bidi w:val="0"/>
              <w:spacing w:before="0" w:after="283"/>
              <w:jc w:val="right"/>
              <w:rPr/>
            </w:pPr>
            <w:r>
              <w:rPr/>
              <w:t>(289,778</w:t>
            </w:r>
          </w:p>
        </w:tc>
        <w:tc>
          <w:tcPr>
            <w:tcW w:w="102" w:type="dxa"/>
            <w:tcBorders/>
            <w:shd w:fill="FFFFFF" w:val="clear"/>
            <w:vAlign w:val="center"/>
          </w:tcPr>
          <w:p>
            <w:pPr>
              <w:pStyle w:val="TableContents"/>
              <w:bidi w:val="0"/>
              <w:spacing w:before="0" w:after="283"/>
              <w:jc w:val="left"/>
              <w:rPr/>
            </w:pPr>
            <w:r>
              <w:rPr/>
              <w:t>)</w:t>
            </w:r>
          </w:p>
        </w:tc>
        <w:tc>
          <w:tcPr>
            <w:tcW w:w="64" w:type="dxa"/>
            <w:tcBorders/>
            <w:shd w:fill="FFFFFF" w:val="clear"/>
            <w:vAlign w:val="center"/>
          </w:tcPr>
          <w:p>
            <w:pPr>
              <w:pStyle w:val="TableContents"/>
              <w:bidi w:val="0"/>
              <w:spacing w:before="0" w:after="283"/>
              <w:jc w:val="left"/>
              <w:rPr/>
            </w:pPr>
            <w:r>
              <w:rPr/>
              <w:t> </w:t>
            </w:r>
          </w:p>
        </w:tc>
        <w:tc>
          <w:tcPr>
            <w:tcW w:w="64"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949" w:type="dxa"/>
            <w:tcBorders>
              <w:bottom w:val="single" w:sz="12" w:space="0" w:color="000000"/>
            </w:tcBorders>
            <w:shd w:fill="FFFFFF" w:val="clear"/>
            <w:tcMar>
              <w:bottom w:w="28" w:type="dxa"/>
            </w:tcMar>
            <w:vAlign w:val="center"/>
          </w:tcPr>
          <w:p>
            <w:pPr>
              <w:pStyle w:val="TableContents"/>
              <w:bidi w:val="0"/>
              <w:spacing w:before="0" w:after="283"/>
              <w:jc w:val="right"/>
              <w:rPr/>
            </w:pPr>
            <w:r>
              <w:rPr/>
              <w:t>(271,702</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055" w:type="dxa"/>
            <w:tcBorders>
              <w:bottom w:val="single" w:sz="12" w:space="0" w:color="000000"/>
            </w:tcBorders>
            <w:shd w:fill="FFFFFF" w:val="clear"/>
            <w:tcMar>
              <w:bottom w:w="28" w:type="dxa"/>
            </w:tcMar>
            <w:vAlign w:val="center"/>
          </w:tcPr>
          <w:p>
            <w:pPr>
              <w:pStyle w:val="TableContents"/>
              <w:bidi w:val="0"/>
              <w:spacing w:before="0" w:after="283"/>
              <w:jc w:val="right"/>
              <w:rPr/>
            </w:pPr>
            <w:r>
              <w:rPr/>
              <w:t>(1,157,969</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055" w:type="dxa"/>
            <w:tcBorders>
              <w:bottom w:val="single" w:sz="12" w:space="0" w:color="000000"/>
            </w:tcBorders>
            <w:shd w:fill="FFFFFF" w:val="clear"/>
            <w:tcMar>
              <w:bottom w:w="28" w:type="dxa"/>
            </w:tcMar>
            <w:vAlign w:val="center"/>
          </w:tcPr>
          <w:p>
            <w:pPr>
              <w:pStyle w:val="TableContents"/>
              <w:bidi w:val="0"/>
              <w:spacing w:before="0" w:after="283"/>
              <w:jc w:val="right"/>
              <w:rPr/>
            </w:pPr>
            <w:r>
              <w:rPr/>
              <w:t>(1,022,371</w:t>
            </w:r>
          </w:p>
        </w:tc>
        <w:tc>
          <w:tcPr>
            <w:tcW w:w="114" w:type="dxa"/>
            <w:tcBorders/>
            <w:shd w:fill="FFFFFF" w:val="clear"/>
            <w:vAlign w:val="center"/>
          </w:tcPr>
          <w:p>
            <w:pPr>
              <w:pStyle w:val="TableContents"/>
              <w:bidi w:val="0"/>
              <w:spacing w:before="0" w:after="283"/>
              <w:jc w:val="left"/>
              <w:rPr/>
            </w:pPr>
            <w:r>
              <w:rPr/>
              <w:t>)</w:t>
            </w:r>
          </w:p>
        </w:tc>
      </w:tr>
      <w:tr>
        <w:trPr/>
        <w:tc>
          <w:tcPr>
            <w:tcW w:w="5299" w:type="dxa"/>
            <w:tcBorders/>
            <w:shd w:fill="CCEEFF" w:val="clear"/>
            <w:vAlign w:val="center"/>
          </w:tcPr>
          <w:p>
            <w:pPr>
              <w:pStyle w:val="TableContents"/>
              <w:bidi w:val="0"/>
              <w:spacing w:before="0" w:after="283"/>
              <w:jc w:val="left"/>
              <w:rPr>
                <w:b/>
              </w:rPr>
            </w:pPr>
            <w:r>
              <w:rPr>
                <w:b/>
              </w:rPr>
              <w:t xml:space="preserve">Free Cash Flow </w:t>
            </w:r>
            <w:r>
              <w:rPr>
                <w:b w:val="false"/>
                <w:i w:val="false"/>
                <w:caps w:val="false"/>
                <w:smallCaps w:val="false"/>
              </w:rPr>
              <w:t>(a non-IFRS measure)</w:t>
            </w:r>
          </w:p>
        </w:tc>
        <w:tc>
          <w:tcPr>
            <w:tcW w:w="60"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949" w:type="dxa"/>
            <w:tcBorders/>
            <w:shd w:fill="CCEEFF" w:val="clear"/>
            <w:vAlign w:val="center"/>
          </w:tcPr>
          <w:p>
            <w:pPr>
              <w:pStyle w:val="TableContents"/>
              <w:bidi w:val="0"/>
              <w:spacing w:before="0" w:after="283"/>
              <w:jc w:val="right"/>
              <w:rPr/>
            </w:pPr>
            <w:r>
              <w:rPr/>
              <w:t>212,055</w:t>
            </w:r>
          </w:p>
        </w:tc>
        <w:tc>
          <w:tcPr>
            <w:tcW w:w="102"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949" w:type="dxa"/>
            <w:tcBorders/>
            <w:shd w:fill="CCEEFF" w:val="clear"/>
            <w:vAlign w:val="center"/>
          </w:tcPr>
          <w:p>
            <w:pPr>
              <w:pStyle w:val="TableContents"/>
              <w:bidi w:val="0"/>
              <w:spacing w:before="0" w:after="283"/>
              <w:jc w:val="right"/>
              <w:rPr/>
            </w:pPr>
            <w:r>
              <w:rPr/>
              <w:t>(11,189</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809,091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910,924</w:t>
            </w:r>
          </w:p>
        </w:tc>
        <w:tc>
          <w:tcPr>
            <w:tcW w:w="114" w:type="dxa"/>
            <w:tcBorders/>
            <w:shd w:fill="CCEEFF" w:val="clear"/>
            <w:vAlign w:val="center"/>
          </w:tcPr>
          <w:p>
            <w:pPr>
              <w:pStyle w:val="TableContents"/>
              <w:bidi w:val="0"/>
              <w:spacing w:before="0" w:after="283"/>
              <w:jc w:val="left"/>
              <w:rPr/>
            </w:pPr>
            <w:r>
              <w:rPr/>
              <w:t> </w:t>
            </w:r>
          </w:p>
        </w:tc>
      </w:tr>
      <w:tr>
        <w:trPr/>
        <w:tc>
          <w:tcPr>
            <w:tcW w:w="5299" w:type="dxa"/>
            <w:tcBorders/>
            <w:shd w:fill="FFFFFF" w:val="clear"/>
            <w:vAlign w:val="center"/>
          </w:tcPr>
          <w:p>
            <w:pPr>
              <w:pStyle w:val="TableContents"/>
              <w:bidi w:val="0"/>
              <w:spacing w:before="0" w:after="283"/>
              <w:jc w:val="left"/>
              <w:rPr/>
            </w:pPr>
            <w:r>
              <w:rPr/>
              <w:t>Fixed deposits with maturity dates exceeding three months</w:t>
            </w:r>
          </w:p>
        </w:tc>
        <w:tc>
          <w:tcPr>
            <w:tcW w:w="60" w:type="dxa"/>
            <w:tcBorders/>
            <w:shd w:fill="FFFFFF" w:val="clear"/>
            <w:vAlign w:val="center"/>
          </w:tcPr>
          <w:p>
            <w:pPr>
              <w:pStyle w:val="TableContents"/>
              <w:bidi w:val="0"/>
              <w:spacing w:before="0" w:after="283"/>
              <w:jc w:val="left"/>
              <w:rPr/>
            </w:pPr>
            <w:r>
              <w:rPr/>
              <w:t> </w:t>
            </w:r>
          </w:p>
        </w:tc>
        <w:tc>
          <w:tcPr>
            <w:tcW w:w="64"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949"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102" w:type="dxa"/>
            <w:tcBorders/>
            <w:shd w:fill="FFFFFF" w:val="clear"/>
            <w:vAlign w:val="center"/>
          </w:tcPr>
          <w:p>
            <w:pPr>
              <w:pStyle w:val="TableContents"/>
              <w:bidi w:val="0"/>
              <w:spacing w:before="0" w:after="283"/>
              <w:jc w:val="left"/>
              <w:rPr/>
            </w:pPr>
            <w:r>
              <w:rPr/>
              <w:t> </w:t>
            </w:r>
          </w:p>
        </w:tc>
        <w:tc>
          <w:tcPr>
            <w:tcW w:w="64" w:type="dxa"/>
            <w:tcBorders/>
            <w:shd w:fill="FFFFFF" w:val="clear"/>
            <w:vAlign w:val="center"/>
          </w:tcPr>
          <w:p>
            <w:pPr>
              <w:pStyle w:val="TableContents"/>
              <w:bidi w:val="0"/>
              <w:spacing w:before="0" w:after="283"/>
              <w:jc w:val="left"/>
              <w:rPr/>
            </w:pPr>
            <w:r>
              <w:rPr/>
              <w:t> </w:t>
            </w:r>
          </w:p>
        </w:tc>
        <w:tc>
          <w:tcPr>
            <w:tcW w:w="64"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949"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055"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055" w:type="dxa"/>
            <w:tcBorders>
              <w:bottom w:val="single" w:sz="12" w:space="0" w:color="000000"/>
            </w:tcBorders>
            <w:shd w:fill="FFFFFF" w:val="clear"/>
            <w:tcMar>
              <w:bottom w:w="28" w:type="dxa"/>
            </w:tcMar>
            <w:vAlign w:val="center"/>
          </w:tcPr>
          <w:p>
            <w:pPr>
              <w:pStyle w:val="TableContents"/>
              <w:bidi w:val="0"/>
              <w:spacing w:before="0" w:after="283"/>
              <w:jc w:val="right"/>
              <w:rPr/>
            </w:pPr>
            <w:r>
              <w:rPr/>
              <w:t>(485,681</w:t>
            </w:r>
          </w:p>
        </w:tc>
        <w:tc>
          <w:tcPr>
            <w:tcW w:w="114" w:type="dxa"/>
            <w:tcBorders/>
            <w:shd w:fill="FFFFFF" w:val="clear"/>
            <w:vAlign w:val="center"/>
          </w:tcPr>
          <w:p>
            <w:pPr>
              <w:pStyle w:val="TableContents"/>
              <w:bidi w:val="0"/>
              <w:spacing w:before="0" w:after="283"/>
              <w:jc w:val="left"/>
              <w:rPr/>
            </w:pPr>
            <w:r>
              <w:rPr/>
              <w:t>)</w:t>
            </w:r>
          </w:p>
        </w:tc>
      </w:tr>
      <w:tr>
        <w:trPr/>
        <w:tc>
          <w:tcPr>
            <w:tcW w:w="5299" w:type="dxa"/>
            <w:tcBorders/>
            <w:shd w:fill="CCEEFF" w:val="clear"/>
            <w:vAlign w:val="center"/>
          </w:tcPr>
          <w:p>
            <w:pPr>
              <w:pStyle w:val="TableContents"/>
              <w:bidi w:val="0"/>
              <w:spacing w:before="0" w:after="283"/>
              <w:jc w:val="left"/>
              <w:rPr>
                <w:b/>
              </w:rPr>
            </w:pPr>
            <w:r>
              <w:rPr>
                <w:b/>
              </w:rPr>
              <w:t xml:space="preserve">Adjusted Free Cash Flow </w:t>
            </w:r>
            <w:r>
              <w:rPr>
                <w:b w:val="false"/>
                <w:i w:val="false"/>
                <w:caps w:val="false"/>
                <w:smallCaps w:val="false"/>
              </w:rPr>
              <w:t>(a non-IFRS measure)</w:t>
            </w:r>
          </w:p>
        </w:tc>
        <w:tc>
          <w:tcPr>
            <w:tcW w:w="60" w:type="dxa"/>
            <w:tcBorders/>
            <w:shd w:fill="CCEEFF" w:val="clear"/>
            <w:vAlign w:val="center"/>
          </w:tcPr>
          <w:p>
            <w:pPr>
              <w:pStyle w:val="TableContents"/>
              <w:bidi w:val="0"/>
              <w:spacing w:before="0" w:after="283"/>
              <w:jc w:val="left"/>
              <w:rPr/>
            </w:pPr>
            <w:r>
              <w:rPr/>
              <w:t> </w:t>
            </w:r>
          </w:p>
        </w:tc>
        <w:tc>
          <w:tcPr>
            <w:tcW w:w="64"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949" w:type="dxa"/>
            <w:tcBorders>
              <w:bottom w:val="double" w:sz="10" w:space="0" w:color="000000"/>
            </w:tcBorders>
            <w:shd w:fill="CCEEFF" w:val="clear"/>
            <w:tcMar>
              <w:bottom w:w="28" w:type="dxa"/>
            </w:tcMar>
            <w:vAlign w:val="center"/>
          </w:tcPr>
          <w:p>
            <w:pPr>
              <w:pStyle w:val="TableContents"/>
              <w:bidi w:val="0"/>
              <w:spacing w:before="0" w:after="283"/>
              <w:jc w:val="right"/>
              <w:rPr/>
            </w:pPr>
            <w:r>
              <w:rPr/>
              <w:t>212,055</w:t>
            </w:r>
          </w:p>
        </w:tc>
        <w:tc>
          <w:tcPr>
            <w:tcW w:w="102"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64"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949" w:type="dxa"/>
            <w:tcBorders>
              <w:bottom w:val="double" w:sz="10" w:space="0" w:color="000000"/>
            </w:tcBorders>
            <w:shd w:fill="CCEEFF" w:val="clear"/>
            <w:tcMar>
              <w:bottom w:w="28" w:type="dxa"/>
            </w:tcMar>
            <w:vAlign w:val="center"/>
          </w:tcPr>
          <w:p>
            <w:pPr>
              <w:pStyle w:val="TableContents"/>
              <w:bidi w:val="0"/>
              <w:spacing w:before="0" w:after="283"/>
              <w:jc w:val="right"/>
              <w:rPr/>
            </w:pPr>
            <w:r>
              <w:rPr/>
              <w:t>(11,189</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1055" w:type="dxa"/>
            <w:tcBorders>
              <w:bottom w:val="double" w:sz="10" w:space="0" w:color="000000"/>
            </w:tcBorders>
            <w:shd w:fill="CCEEFF" w:val="clear"/>
            <w:tcMar>
              <w:bottom w:w="28" w:type="dxa"/>
            </w:tcMar>
            <w:vAlign w:val="center"/>
          </w:tcPr>
          <w:p>
            <w:pPr>
              <w:pStyle w:val="TableContents"/>
              <w:bidi w:val="0"/>
              <w:spacing w:before="0" w:after="283"/>
              <w:jc w:val="right"/>
              <w:rPr/>
            </w:pPr>
            <w:r>
              <w:rPr/>
              <w:t>809,091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1055" w:type="dxa"/>
            <w:tcBorders>
              <w:bottom w:val="double" w:sz="10" w:space="0" w:color="000000"/>
            </w:tcBorders>
            <w:shd w:fill="CCEEFF" w:val="clear"/>
            <w:tcMar>
              <w:bottom w:w="28" w:type="dxa"/>
            </w:tcMar>
            <w:vAlign w:val="center"/>
          </w:tcPr>
          <w:p>
            <w:pPr>
              <w:pStyle w:val="TableContents"/>
              <w:bidi w:val="0"/>
              <w:spacing w:before="0" w:after="283"/>
              <w:jc w:val="right"/>
              <w:rPr/>
            </w:pPr>
            <w:r>
              <w:rPr/>
              <w:t>425,243</w:t>
            </w:r>
          </w:p>
        </w:tc>
        <w:tc>
          <w:tcPr>
            <w:tcW w:w="114"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61"/>
        <w:gridCol w:w="10044"/>
      </w:tblGrid>
      <w:tr>
        <w:trPr/>
        <w:tc>
          <w:tcPr>
            <w:tcW w:w="161" w:type="dxa"/>
            <w:tcBorders/>
            <w:vAlign w:val="center"/>
          </w:tcPr>
          <w:p>
            <w:pPr>
              <w:pStyle w:val="TableContents"/>
              <w:bidi w:val="0"/>
              <w:spacing w:before="0" w:after="283"/>
              <w:jc w:val="left"/>
              <w:rPr>
                <w:rFonts w:ascii="Times New Roman;Times;Serif" w:hAnsi="Times New Roman;Times;Serif"/>
                <w:i/>
                <w:sz w:val="20"/>
              </w:rPr>
            </w:pPr>
            <w:r>
              <w:rPr>
                <w:rFonts w:ascii="Times New Roman;Times;Serif" w:hAnsi="Times New Roman;Times;Serif"/>
                <w:i/>
                <w:sz w:val="20"/>
              </w:rPr>
              <w:t>1.</w:t>
            </w:r>
          </w:p>
        </w:tc>
        <w:tc>
          <w:tcPr>
            <w:tcW w:w="10044" w:type="dxa"/>
            <w:tcBorders/>
            <w:vAlign w:val="center"/>
          </w:tcPr>
          <w:p>
            <w:pPr>
              <w:pStyle w:val="TableContents"/>
              <w:bidi w:val="0"/>
              <w:spacing w:before="0" w:after="283"/>
              <w:jc w:val="both"/>
              <w:rPr>
                <w:rFonts w:ascii="Times New Roman;Times;Serif" w:hAnsi="Times New Roman;Times;Serif"/>
                <w:i/>
                <w:sz w:val="20"/>
              </w:rPr>
            </w:pPr>
            <w:r>
              <w:rPr>
                <w:rFonts w:ascii="Times New Roman;Times;Serif" w:hAnsi="Times New Roman;Times;Serif"/>
                <w:i/>
                <w:sz w:val="20"/>
              </w:rPr>
              <w:t>For the quarter ended February 28, 2026, included in the purchase of property, plant and equipment are development cost of ZAR9 million (February 28, 2025: ZAR1 million) for the new South African Central Office in Rosebank, Johannesburg.</w:t>
            </w:r>
          </w:p>
        </w:tc>
      </w:tr>
    </w:tbl>
    <w:p>
      <w:pPr>
        <w:pStyle w:val="TextBody"/>
        <w:bidi w:val="0"/>
        <w:spacing w:before="0" w:after="0"/>
        <w:ind w:left="360" w:right="0" w:hanging="360"/>
        <w:jc w:val="both"/>
        <w:rPr>
          <w:caps w:val="false"/>
          <w:smallCaps w:val="false"/>
        </w:rPr>
      </w:pPr>
      <w:r>
        <w:rPr>
          <w:caps w:val="false"/>
          <w:smallCaps w:val="false"/>
        </w:rPr>
        <w:t> </w:t>
      </w:r>
    </w:p>
    <w:p>
      <w:pPr>
        <w:pStyle w:val="TextBody"/>
        <w:bidi w:val="0"/>
        <w:spacing w:before="0" w:after="0"/>
        <w:ind w:left="360" w:right="0" w:hanging="36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19</w:t>
      </w:r>
    </w:p>
    <w:p>
      <w:pPr>
        <w:pStyle w:val="TextBody"/>
        <w:bidi w:val="0"/>
        <w:spacing w:before="0" w:after="0"/>
        <w:ind w:left="0" w:right="0" w:hanging="0"/>
        <w:jc w:val="left"/>
        <w:rPr/>
      </w:pPr>
      <w:r>
        <w:rPr/>
        <w:t> </w:t>
      </w:r>
    </w:p>
    <w:p>
      <w:pPr>
        <w:pStyle w:val="TextBody"/>
        <w:bidi w:val="0"/>
        <w:spacing w:before="0" w:after="0"/>
        <w:ind w:left="360" w:right="0" w:hanging="36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KAROOOOO LTD.</w:t>
        <w:br/>
        <w:t xml:space="preserve">RECONCILIATION OF PROFIT FOR THE PERIOD TO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ADJUSTED EBITDA (A NON-IFRS MEASURE)</w:t>
        <w:br/>
        <w:t>(UNAUDITED)</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5164"/>
        <w:gridCol w:w="60"/>
        <w:gridCol w:w="63"/>
        <w:gridCol w:w="850"/>
        <w:gridCol w:w="228"/>
        <w:gridCol w:w="63"/>
        <w:gridCol w:w="63"/>
        <w:gridCol w:w="850"/>
        <w:gridCol w:w="215"/>
        <w:gridCol w:w="60"/>
        <w:gridCol w:w="60"/>
        <w:gridCol w:w="980"/>
        <w:gridCol w:w="215"/>
        <w:gridCol w:w="60"/>
        <w:gridCol w:w="60"/>
        <w:gridCol w:w="980"/>
        <w:gridCol w:w="234"/>
      </w:tblGrid>
      <w:tr>
        <w:trPr/>
        <w:tc>
          <w:tcPr>
            <w:tcW w:w="5164"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2117"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Three Months Ended</w:t>
              <w:br/>
              <w:t>February 28,</w:t>
            </w:r>
          </w:p>
        </w:tc>
        <w:tc>
          <w:tcPr>
            <w:tcW w:w="2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355"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 xml:space="preserve">Year Ended </w:t>
              <w:br/>
              <w:t>February 28,</w:t>
            </w:r>
          </w:p>
        </w:tc>
        <w:tc>
          <w:tcPr>
            <w:tcW w:w="234" w:type="dxa"/>
            <w:tcBorders/>
            <w:vAlign w:val="center"/>
          </w:tcPr>
          <w:p>
            <w:pPr>
              <w:pStyle w:val="TableContents"/>
              <w:bidi w:val="0"/>
              <w:spacing w:before="0" w:after="283"/>
              <w:jc w:val="left"/>
              <w:rPr/>
            </w:pPr>
            <w:r>
              <w:rPr/>
              <w:t> </w:t>
            </w:r>
          </w:p>
        </w:tc>
      </w:tr>
      <w:tr>
        <w:trPr/>
        <w:tc>
          <w:tcPr>
            <w:tcW w:w="5164"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913"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2026</w:t>
            </w:r>
          </w:p>
        </w:tc>
        <w:tc>
          <w:tcPr>
            <w:tcW w:w="228" w:type="dxa"/>
            <w:tcBorders/>
            <w:vAlign w:val="center"/>
          </w:tcPr>
          <w:p>
            <w:pPr>
              <w:pStyle w:val="TableContents"/>
              <w:bidi w:val="0"/>
              <w:spacing w:before="0" w:after="283"/>
              <w:jc w:val="left"/>
              <w:rPr/>
            </w:pPr>
            <w:r>
              <w:rPr/>
              <w:t> </w:t>
            </w:r>
          </w:p>
        </w:tc>
        <w:tc>
          <w:tcPr>
            <w:tcW w:w="63" w:type="dxa"/>
            <w:tcBorders/>
            <w:vAlign w:val="center"/>
          </w:tcPr>
          <w:p>
            <w:pPr>
              <w:pStyle w:val="TableContents"/>
              <w:bidi w:val="0"/>
              <w:spacing w:before="0" w:after="283"/>
              <w:jc w:val="left"/>
              <w:rPr/>
            </w:pPr>
            <w:r>
              <w:rPr/>
              <w:t> </w:t>
            </w:r>
          </w:p>
        </w:tc>
        <w:tc>
          <w:tcPr>
            <w:tcW w:w="913"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2025</w:t>
            </w:r>
          </w:p>
        </w:tc>
        <w:tc>
          <w:tcPr>
            <w:tcW w:w="2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4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2026</w:t>
            </w:r>
          </w:p>
        </w:tc>
        <w:tc>
          <w:tcPr>
            <w:tcW w:w="2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4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2025</w:t>
            </w:r>
          </w:p>
        </w:tc>
        <w:tc>
          <w:tcPr>
            <w:tcW w:w="234" w:type="dxa"/>
            <w:tcBorders/>
            <w:vAlign w:val="center"/>
          </w:tcPr>
          <w:p>
            <w:pPr>
              <w:pStyle w:val="TableContents"/>
              <w:bidi w:val="0"/>
              <w:spacing w:before="0" w:after="283"/>
              <w:jc w:val="left"/>
              <w:rPr/>
            </w:pPr>
            <w:r>
              <w:rPr/>
              <w:t> </w:t>
            </w:r>
          </w:p>
        </w:tc>
      </w:tr>
      <w:tr>
        <w:trPr/>
        <w:tc>
          <w:tcPr>
            <w:tcW w:w="5164"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4747" w:type="dxa"/>
            <w:gridSpan w:val="14"/>
            <w:tcBorders/>
            <w:vAlign w:val="center"/>
          </w:tcPr>
          <w:p>
            <w:pPr>
              <w:pStyle w:val="TableContents"/>
              <w:bidi w:val="0"/>
              <w:spacing w:before="0" w:after="283"/>
              <w:jc w:val="center"/>
              <w:rPr>
                <w:b/>
              </w:rPr>
            </w:pPr>
            <w:r>
              <w:rPr>
                <w:b/>
              </w:rPr>
              <w:t>(Rand Thousands)</w:t>
            </w:r>
          </w:p>
        </w:tc>
        <w:tc>
          <w:tcPr>
            <w:tcW w:w="234" w:type="dxa"/>
            <w:tcBorders/>
            <w:vAlign w:val="center"/>
          </w:tcPr>
          <w:p>
            <w:pPr>
              <w:pStyle w:val="TableContents"/>
              <w:bidi w:val="0"/>
              <w:spacing w:before="0" w:after="283"/>
              <w:ind w:left="0" w:right="0" w:hanging="180"/>
              <w:jc w:val="left"/>
              <w:rPr/>
            </w:pPr>
            <w:r>
              <w:rPr/>
              <w:t> </w:t>
            </w:r>
          </w:p>
        </w:tc>
      </w:tr>
      <w:tr>
        <w:trPr/>
        <w:tc>
          <w:tcPr>
            <w:tcW w:w="5164" w:type="dxa"/>
            <w:tcBorders/>
            <w:shd w:fill="CCEEFF" w:val="clear"/>
            <w:vAlign w:val="center"/>
          </w:tcPr>
          <w:p>
            <w:pPr>
              <w:pStyle w:val="TableContents"/>
              <w:bidi w:val="0"/>
              <w:spacing w:before="0" w:after="283"/>
              <w:jc w:val="left"/>
              <w:rPr>
                <w:b/>
              </w:rPr>
            </w:pPr>
            <w:r>
              <w:rPr>
                <w:b/>
              </w:rPr>
              <w:t>Profit for the period</w:t>
            </w:r>
          </w:p>
        </w:tc>
        <w:tc>
          <w:tcPr>
            <w:tcW w:w="60"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c>
          <w:tcPr>
            <w:tcW w:w="850" w:type="dxa"/>
            <w:tcBorders/>
            <w:shd w:fill="CCEEFF" w:val="clear"/>
            <w:vAlign w:val="center"/>
          </w:tcPr>
          <w:p>
            <w:pPr>
              <w:pStyle w:val="TableContents"/>
              <w:bidi w:val="0"/>
              <w:spacing w:before="0" w:after="283"/>
              <w:jc w:val="right"/>
              <w:rPr/>
            </w:pPr>
            <w:r>
              <w:rPr/>
              <w:t>225,183</w:t>
            </w:r>
          </w:p>
        </w:tc>
        <w:tc>
          <w:tcPr>
            <w:tcW w:w="228"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c>
          <w:tcPr>
            <w:tcW w:w="850" w:type="dxa"/>
            <w:tcBorders/>
            <w:shd w:fill="CCEEFF" w:val="clear"/>
            <w:vAlign w:val="center"/>
          </w:tcPr>
          <w:p>
            <w:pPr>
              <w:pStyle w:val="TableContents"/>
              <w:bidi w:val="0"/>
              <w:spacing w:before="0" w:after="283"/>
              <w:jc w:val="right"/>
              <w:rPr/>
            </w:pPr>
            <w:r>
              <w:rPr/>
              <w:t>255,336</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1,011,112</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937,110</w:t>
            </w:r>
          </w:p>
        </w:tc>
        <w:tc>
          <w:tcPr>
            <w:tcW w:w="234" w:type="dxa"/>
            <w:tcBorders/>
            <w:shd w:fill="CCEEFF" w:val="clear"/>
            <w:vAlign w:val="center"/>
          </w:tcPr>
          <w:p>
            <w:pPr>
              <w:pStyle w:val="TableContents"/>
              <w:bidi w:val="0"/>
              <w:spacing w:before="0" w:after="283"/>
              <w:ind w:left="0" w:right="0" w:hanging="180"/>
              <w:jc w:val="left"/>
              <w:rPr/>
            </w:pPr>
            <w:r>
              <w:rPr/>
              <w:t> </w:t>
            </w:r>
          </w:p>
        </w:tc>
      </w:tr>
      <w:tr>
        <w:trPr/>
        <w:tc>
          <w:tcPr>
            <w:tcW w:w="5164" w:type="dxa"/>
            <w:tcBorders/>
            <w:shd w:fill="FFFFFF" w:val="clear"/>
            <w:vAlign w:val="center"/>
          </w:tcPr>
          <w:p>
            <w:pPr>
              <w:pStyle w:val="TableContents"/>
              <w:bidi w:val="0"/>
              <w:spacing w:before="0" w:after="283"/>
              <w:jc w:val="left"/>
              <w:rPr/>
            </w:pPr>
            <w:r>
              <w:rPr/>
              <w:t>Taxation</w:t>
            </w:r>
          </w:p>
        </w:tc>
        <w:tc>
          <w:tcPr>
            <w:tcW w:w="60" w:type="dxa"/>
            <w:tcBorders/>
            <w:shd w:fill="FFFFFF" w:val="clear"/>
            <w:vAlign w:val="center"/>
          </w:tcPr>
          <w:p>
            <w:pPr>
              <w:pStyle w:val="TableContents"/>
              <w:bidi w:val="0"/>
              <w:spacing w:before="0" w:after="283"/>
              <w:jc w:val="left"/>
              <w:rPr/>
            </w:pPr>
            <w:r>
              <w:rPr/>
              <w:t> </w:t>
            </w:r>
          </w:p>
        </w:tc>
        <w:tc>
          <w:tcPr>
            <w:tcW w:w="63" w:type="dxa"/>
            <w:tcBorders/>
            <w:shd w:fill="FFFFFF" w:val="clear"/>
            <w:vAlign w:val="center"/>
          </w:tcPr>
          <w:p>
            <w:pPr>
              <w:pStyle w:val="TableContents"/>
              <w:bidi w:val="0"/>
              <w:spacing w:before="0" w:after="283"/>
              <w:jc w:val="left"/>
              <w:rPr/>
            </w:pPr>
            <w:r>
              <w:rPr/>
              <w:t> </w:t>
            </w:r>
          </w:p>
        </w:tc>
        <w:tc>
          <w:tcPr>
            <w:tcW w:w="850" w:type="dxa"/>
            <w:tcBorders/>
            <w:shd w:fill="FFFFFF" w:val="clear"/>
            <w:vAlign w:val="center"/>
          </w:tcPr>
          <w:p>
            <w:pPr>
              <w:pStyle w:val="TableContents"/>
              <w:bidi w:val="0"/>
              <w:spacing w:before="0" w:after="283"/>
              <w:jc w:val="right"/>
              <w:rPr/>
            </w:pPr>
            <w:r>
              <w:rPr/>
              <w:t>95,371</w:t>
            </w:r>
          </w:p>
        </w:tc>
        <w:tc>
          <w:tcPr>
            <w:tcW w:w="228" w:type="dxa"/>
            <w:tcBorders/>
            <w:shd w:fill="FFFFFF" w:val="clear"/>
            <w:vAlign w:val="center"/>
          </w:tcPr>
          <w:p>
            <w:pPr>
              <w:pStyle w:val="TableContents"/>
              <w:bidi w:val="0"/>
              <w:spacing w:before="0" w:after="283"/>
              <w:jc w:val="left"/>
              <w:rPr/>
            </w:pPr>
            <w:r>
              <w:rPr/>
              <w:t> </w:t>
            </w:r>
          </w:p>
        </w:tc>
        <w:tc>
          <w:tcPr>
            <w:tcW w:w="63" w:type="dxa"/>
            <w:tcBorders/>
            <w:shd w:fill="FFFFFF" w:val="clear"/>
            <w:vAlign w:val="center"/>
          </w:tcPr>
          <w:p>
            <w:pPr>
              <w:pStyle w:val="TableContents"/>
              <w:bidi w:val="0"/>
              <w:spacing w:before="0" w:after="283"/>
              <w:jc w:val="left"/>
              <w:rPr/>
            </w:pPr>
            <w:r>
              <w:rPr/>
              <w:t> </w:t>
            </w:r>
          </w:p>
        </w:tc>
        <w:tc>
          <w:tcPr>
            <w:tcW w:w="63" w:type="dxa"/>
            <w:tcBorders/>
            <w:shd w:fill="FFFFFF" w:val="clear"/>
            <w:vAlign w:val="center"/>
          </w:tcPr>
          <w:p>
            <w:pPr>
              <w:pStyle w:val="TableContents"/>
              <w:bidi w:val="0"/>
              <w:spacing w:before="0" w:after="283"/>
              <w:jc w:val="left"/>
              <w:rPr/>
            </w:pPr>
            <w:r>
              <w:rPr/>
              <w:t> </w:t>
            </w:r>
          </w:p>
        </w:tc>
        <w:tc>
          <w:tcPr>
            <w:tcW w:w="850" w:type="dxa"/>
            <w:tcBorders/>
            <w:shd w:fill="FFFFFF" w:val="clear"/>
            <w:vAlign w:val="center"/>
          </w:tcPr>
          <w:p>
            <w:pPr>
              <w:pStyle w:val="TableContents"/>
              <w:bidi w:val="0"/>
              <w:spacing w:before="0" w:after="283"/>
              <w:jc w:val="right"/>
              <w:rPr/>
            </w:pPr>
            <w:r>
              <w:rPr/>
              <w:t>80,027</w:t>
            </w:r>
          </w:p>
        </w:tc>
        <w:tc>
          <w:tcPr>
            <w:tcW w:w="2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348,535</w:t>
            </w:r>
          </w:p>
        </w:tc>
        <w:tc>
          <w:tcPr>
            <w:tcW w:w="2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309,811</w:t>
            </w:r>
          </w:p>
        </w:tc>
        <w:tc>
          <w:tcPr>
            <w:tcW w:w="234" w:type="dxa"/>
            <w:tcBorders/>
            <w:shd w:fill="FFFFFF" w:val="clear"/>
            <w:vAlign w:val="center"/>
          </w:tcPr>
          <w:p>
            <w:pPr>
              <w:pStyle w:val="TableContents"/>
              <w:bidi w:val="0"/>
              <w:spacing w:before="0" w:after="283"/>
              <w:ind w:left="0" w:right="0" w:hanging="180"/>
              <w:jc w:val="left"/>
              <w:rPr/>
            </w:pPr>
            <w:r>
              <w:rPr/>
              <w:t> </w:t>
            </w:r>
          </w:p>
        </w:tc>
      </w:tr>
      <w:tr>
        <w:trPr/>
        <w:tc>
          <w:tcPr>
            <w:tcW w:w="5164" w:type="dxa"/>
            <w:tcBorders/>
            <w:shd w:fill="CCEEFF" w:val="clear"/>
            <w:vAlign w:val="center"/>
          </w:tcPr>
          <w:p>
            <w:pPr>
              <w:pStyle w:val="TableContents"/>
              <w:bidi w:val="0"/>
              <w:spacing w:before="0" w:after="283"/>
              <w:jc w:val="left"/>
              <w:rPr/>
            </w:pPr>
            <w:r>
              <w:rPr/>
              <w:t>Finance income</w:t>
            </w:r>
          </w:p>
        </w:tc>
        <w:tc>
          <w:tcPr>
            <w:tcW w:w="60"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c>
          <w:tcPr>
            <w:tcW w:w="850" w:type="dxa"/>
            <w:tcBorders/>
            <w:shd w:fill="CCEEFF" w:val="clear"/>
            <w:vAlign w:val="center"/>
          </w:tcPr>
          <w:p>
            <w:pPr>
              <w:pStyle w:val="TableContents"/>
              <w:bidi w:val="0"/>
              <w:spacing w:before="0" w:after="283"/>
              <w:jc w:val="right"/>
              <w:rPr/>
            </w:pPr>
            <w:r>
              <w:rPr/>
              <w:t>(7,617</w:t>
            </w:r>
          </w:p>
        </w:tc>
        <w:tc>
          <w:tcPr>
            <w:tcW w:w="228" w:type="dxa"/>
            <w:tcBorders/>
            <w:shd w:fill="CCEEFF" w:val="clear"/>
            <w:vAlign w:val="center"/>
          </w:tcPr>
          <w:p>
            <w:pPr>
              <w:pStyle w:val="TableContents"/>
              <w:bidi w:val="0"/>
              <w:spacing w:before="0" w:after="283"/>
              <w:jc w:val="left"/>
              <w:rPr/>
            </w:pPr>
            <w:r>
              <w:rPr/>
              <w:t>)</w:t>
            </w:r>
          </w:p>
        </w:tc>
        <w:tc>
          <w:tcPr>
            <w:tcW w:w="63"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c>
          <w:tcPr>
            <w:tcW w:w="850" w:type="dxa"/>
            <w:tcBorders/>
            <w:shd w:fill="CCEEFF" w:val="clear"/>
            <w:vAlign w:val="center"/>
          </w:tcPr>
          <w:p>
            <w:pPr>
              <w:pStyle w:val="TableContents"/>
              <w:bidi w:val="0"/>
              <w:spacing w:before="0" w:after="283"/>
              <w:jc w:val="right"/>
              <w:rPr/>
            </w:pPr>
            <w:r>
              <w:rPr/>
              <w:t>(10,422</w:t>
            </w:r>
          </w:p>
        </w:tc>
        <w:tc>
          <w:tcPr>
            <w:tcW w:w="21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(34,476</w:t>
            </w:r>
          </w:p>
        </w:tc>
        <w:tc>
          <w:tcPr>
            <w:tcW w:w="21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(44,167</w:t>
            </w:r>
          </w:p>
        </w:tc>
        <w:tc>
          <w:tcPr>
            <w:tcW w:w="234" w:type="dxa"/>
            <w:tcBorders/>
            <w:shd w:fill="CCEEFF" w:val="clear"/>
            <w:vAlign w:val="center"/>
          </w:tcPr>
          <w:p>
            <w:pPr>
              <w:pStyle w:val="TableContents"/>
              <w:bidi w:val="0"/>
              <w:spacing w:before="0" w:after="283"/>
              <w:ind w:left="0" w:right="0" w:hanging="180"/>
              <w:jc w:val="left"/>
              <w:rPr/>
            </w:pPr>
            <w:r>
              <w:rPr/>
              <w:t>)</w:t>
            </w:r>
          </w:p>
        </w:tc>
      </w:tr>
      <w:tr>
        <w:trPr/>
        <w:tc>
          <w:tcPr>
            <w:tcW w:w="5164" w:type="dxa"/>
            <w:tcBorders/>
            <w:shd w:fill="FFFFFF" w:val="clear"/>
            <w:vAlign w:val="center"/>
          </w:tcPr>
          <w:p>
            <w:pPr>
              <w:pStyle w:val="TableContents"/>
              <w:bidi w:val="0"/>
              <w:spacing w:before="0" w:after="283"/>
              <w:jc w:val="left"/>
              <w:rPr/>
            </w:pPr>
            <w:r>
              <w:rPr/>
              <w:t>Finance costs</w:t>
            </w:r>
          </w:p>
        </w:tc>
        <w:tc>
          <w:tcPr>
            <w:tcW w:w="60" w:type="dxa"/>
            <w:tcBorders/>
            <w:shd w:fill="FFFFFF" w:val="clear"/>
            <w:vAlign w:val="center"/>
          </w:tcPr>
          <w:p>
            <w:pPr>
              <w:pStyle w:val="TableContents"/>
              <w:bidi w:val="0"/>
              <w:spacing w:before="0" w:after="283"/>
              <w:jc w:val="left"/>
              <w:rPr/>
            </w:pPr>
            <w:r>
              <w:rPr/>
              <w:t> </w:t>
            </w:r>
          </w:p>
        </w:tc>
        <w:tc>
          <w:tcPr>
            <w:tcW w:w="63" w:type="dxa"/>
            <w:tcBorders/>
            <w:shd w:fill="FFFFFF" w:val="clear"/>
            <w:vAlign w:val="center"/>
          </w:tcPr>
          <w:p>
            <w:pPr>
              <w:pStyle w:val="TableContents"/>
              <w:bidi w:val="0"/>
              <w:spacing w:before="0" w:after="283"/>
              <w:jc w:val="left"/>
              <w:rPr/>
            </w:pPr>
            <w:r>
              <w:rPr/>
              <w:t> </w:t>
            </w:r>
          </w:p>
        </w:tc>
        <w:tc>
          <w:tcPr>
            <w:tcW w:w="850" w:type="dxa"/>
            <w:tcBorders/>
            <w:shd w:fill="FFFFFF" w:val="clear"/>
            <w:vAlign w:val="center"/>
          </w:tcPr>
          <w:p>
            <w:pPr>
              <w:pStyle w:val="TableContents"/>
              <w:bidi w:val="0"/>
              <w:spacing w:before="0" w:after="283"/>
              <w:jc w:val="right"/>
              <w:rPr/>
            </w:pPr>
            <w:r>
              <w:rPr/>
              <w:t>25,085</w:t>
            </w:r>
          </w:p>
        </w:tc>
        <w:tc>
          <w:tcPr>
            <w:tcW w:w="228" w:type="dxa"/>
            <w:tcBorders/>
            <w:shd w:fill="FFFFFF" w:val="clear"/>
            <w:vAlign w:val="center"/>
          </w:tcPr>
          <w:p>
            <w:pPr>
              <w:pStyle w:val="TableContents"/>
              <w:bidi w:val="0"/>
              <w:spacing w:before="0" w:after="283"/>
              <w:jc w:val="left"/>
              <w:rPr/>
            </w:pPr>
            <w:r>
              <w:rPr/>
              <w:t> </w:t>
            </w:r>
          </w:p>
        </w:tc>
        <w:tc>
          <w:tcPr>
            <w:tcW w:w="63" w:type="dxa"/>
            <w:tcBorders/>
            <w:shd w:fill="FFFFFF" w:val="clear"/>
            <w:vAlign w:val="center"/>
          </w:tcPr>
          <w:p>
            <w:pPr>
              <w:pStyle w:val="TableContents"/>
              <w:bidi w:val="0"/>
              <w:spacing w:before="0" w:after="283"/>
              <w:jc w:val="left"/>
              <w:rPr/>
            </w:pPr>
            <w:r>
              <w:rPr/>
              <w:t> </w:t>
            </w:r>
          </w:p>
        </w:tc>
        <w:tc>
          <w:tcPr>
            <w:tcW w:w="63" w:type="dxa"/>
            <w:tcBorders/>
            <w:shd w:fill="FFFFFF" w:val="clear"/>
            <w:vAlign w:val="center"/>
          </w:tcPr>
          <w:p>
            <w:pPr>
              <w:pStyle w:val="TableContents"/>
              <w:bidi w:val="0"/>
              <w:spacing w:before="0" w:after="283"/>
              <w:jc w:val="left"/>
              <w:rPr/>
            </w:pPr>
            <w:r>
              <w:rPr/>
              <w:t> </w:t>
            </w:r>
          </w:p>
        </w:tc>
        <w:tc>
          <w:tcPr>
            <w:tcW w:w="850" w:type="dxa"/>
            <w:tcBorders/>
            <w:shd w:fill="FFFFFF" w:val="clear"/>
            <w:vAlign w:val="center"/>
          </w:tcPr>
          <w:p>
            <w:pPr>
              <w:pStyle w:val="TableContents"/>
              <w:bidi w:val="0"/>
              <w:spacing w:before="0" w:after="283"/>
              <w:jc w:val="right"/>
              <w:rPr/>
            </w:pPr>
            <w:r>
              <w:rPr/>
              <w:t>16,622</w:t>
            </w:r>
          </w:p>
        </w:tc>
        <w:tc>
          <w:tcPr>
            <w:tcW w:w="2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77,874</w:t>
            </w:r>
          </w:p>
        </w:tc>
        <w:tc>
          <w:tcPr>
            <w:tcW w:w="2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50,866</w:t>
            </w:r>
          </w:p>
        </w:tc>
        <w:tc>
          <w:tcPr>
            <w:tcW w:w="234" w:type="dxa"/>
            <w:tcBorders/>
            <w:shd w:fill="FFFFFF" w:val="clear"/>
            <w:vAlign w:val="center"/>
          </w:tcPr>
          <w:p>
            <w:pPr>
              <w:pStyle w:val="TableContents"/>
              <w:bidi w:val="0"/>
              <w:spacing w:before="0" w:after="283"/>
              <w:ind w:left="0" w:right="0" w:hanging="180"/>
              <w:jc w:val="left"/>
              <w:rPr/>
            </w:pPr>
            <w:r>
              <w:rPr/>
              <w:t> </w:t>
            </w:r>
          </w:p>
        </w:tc>
      </w:tr>
      <w:tr>
        <w:trPr/>
        <w:tc>
          <w:tcPr>
            <w:tcW w:w="5164" w:type="dxa"/>
            <w:tcBorders/>
            <w:shd w:fill="CCEEFF" w:val="clear"/>
            <w:vAlign w:val="center"/>
          </w:tcPr>
          <w:p>
            <w:pPr>
              <w:pStyle w:val="TableContents"/>
              <w:bidi w:val="0"/>
              <w:spacing w:before="0" w:after="283"/>
              <w:jc w:val="left"/>
              <w:rPr/>
            </w:pPr>
            <w:r>
              <w:rPr/>
              <w:t>Offering costs</w:t>
            </w:r>
          </w:p>
        </w:tc>
        <w:tc>
          <w:tcPr>
            <w:tcW w:w="60"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c>
          <w:tcPr>
            <w:tcW w:w="850" w:type="dxa"/>
            <w:tcBorders/>
            <w:shd w:fill="CCEEFF" w:val="clear"/>
            <w:vAlign w:val="center"/>
          </w:tcPr>
          <w:p>
            <w:pPr>
              <w:pStyle w:val="TableContents"/>
              <w:bidi w:val="0"/>
              <w:spacing w:before="0" w:after="283"/>
              <w:jc w:val="right"/>
              <w:rPr/>
            </w:pPr>
            <w:r>
              <w:rPr/>
              <w:t>(302</w:t>
            </w:r>
          </w:p>
        </w:tc>
        <w:tc>
          <w:tcPr>
            <w:tcW w:w="228" w:type="dxa"/>
            <w:tcBorders/>
            <w:shd w:fill="CCEEFF" w:val="clear"/>
            <w:vAlign w:val="center"/>
          </w:tcPr>
          <w:p>
            <w:pPr>
              <w:pStyle w:val="TableContents"/>
              <w:bidi w:val="0"/>
              <w:spacing w:before="0" w:after="283"/>
              <w:jc w:val="left"/>
              <w:rPr/>
            </w:pPr>
            <w:r>
              <w:rPr/>
              <w:t>)</w:t>
            </w:r>
          </w:p>
        </w:tc>
        <w:tc>
          <w:tcPr>
            <w:tcW w:w="63"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c>
          <w:tcPr>
            <w:tcW w:w="850" w:type="dxa"/>
            <w:tcBorders/>
            <w:shd w:fill="CCEEFF" w:val="clear"/>
            <w:vAlign w:val="center"/>
          </w:tcPr>
          <w:p>
            <w:pPr>
              <w:pStyle w:val="TableContents"/>
              <w:bidi w:val="0"/>
              <w:spacing w:before="0" w:after="283"/>
              <w:jc w:val="right"/>
              <w:rPr/>
            </w:pPr>
            <w:r>
              <w:rPr/>
              <w:t>50</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11,667</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15,113</w:t>
            </w:r>
          </w:p>
        </w:tc>
        <w:tc>
          <w:tcPr>
            <w:tcW w:w="234" w:type="dxa"/>
            <w:tcBorders/>
            <w:shd w:fill="CCEEFF" w:val="clear"/>
            <w:vAlign w:val="center"/>
          </w:tcPr>
          <w:p>
            <w:pPr>
              <w:pStyle w:val="TableContents"/>
              <w:bidi w:val="0"/>
              <w:spacing w:before="0" w:after="283"/>
              <w:ind w:left="0" w:right="0" w:hanging="180"/>
              <w:jc w:val="left"/>
              <w:rPr/>
            </w:pPr>
            <w:r>
              <w:rPr/>
              <w:t> </w:t>
            </w:r>
          </w:p>
        </w:tc>
      </w:tr>
      <w:tr>
        <w:trPr/>
        <w:tc>
          <w:tcPr>
            <w:tcW w:w="5164" w:type="dxa"/>
            <w:tcBorders/>
            <w:shd w:fill="FFFFFF" w:val="clear"/>
            <w:vAlign w:val="center"/>
          </w:tcPr>
          <w:p>
            <w:pPr>
              <w:pStyle w:val="TableContents"/>
              <w:bidi w:val="0"/>
              <w:spacing w:before="0" w:after="283"/>
              <w:jc w:val="left"/>
              <w:rPr/>
            </w:pPr>
            <w:r>
              <w:rPr/>
              <w:t>Gain on disposal of subsidiaries</w:t>
            </w:r>
          </w:p>
        </w:tc>
        <w:tc>
          <w:tcPr>
            <w:tcW w:w="60" w:type="dxa"/>
            <w:tcBorders/>
            <w:shd w:fill="FFFFFF" w:val="clear"/>
            <w:vAlign w:val="center"/>
          </w:tcPr>
          <w:p>
            <w:pPr>
              <w:pStyle w:val="TableContents"/>
              <w:bidi w:val="0"/>
              <w:spacing w:before="0" w:after="283"/>
              <w:jc w:val="left"/>
              <w:rPr/>
            </w:pPr>
            <w:r>
              <w:rPr/>
              <w:t> </w:t>
            </w:r>
          </w:p>
        </w:tc>
        <w:tc>
          <w:tcPr>
            <w:tcW w:w="63" w:type="dxa"/>
            <w:tcBorders/>
            <w:shd w:fill="FFFFFF" w:val="clear"/>
            <w:vAlign w:val="center"/>
          </w:tcPr>
          <w:p>
            <w:pPr>
              <w:pStyle w:val="TableContents"/>
              <w:bidi w:val="0"/>
              <w:spacing w:before="0" w:after="283"/>
              <w:jc w:val="left"/>
              <w:rPr/>
            </w:pPr>
            <w:r>
              <w:rPr/>
              <w:t> </w:t>
            </w:r>
          </w:p>
        </w:tc>
        <w:tc>
          <w:tcPr>
            <w:tcW w:w="850" w:type="dxa"/>
            <w:tcBorders/>
            <w:shd w:fill="FFFFFF" w:val="clear"/>
            <w:vAlign w:val="center"/>
          </w:tcPr>
          <w:p>
            <w:pPr>
              <w:pStyle w:val="TableContents"/>
              <w:bidi w:val="0"/>
              <w:spacing w:before="0" w:after="283"/>
              <w:jc w:val="right"/>
              <w:rPr/>
            </w:pPr>
            <w:r>
              <w:rPr/>
              <w:t>-</w:t>
            </w:r>
          </w:p>
        </w:tc>
        <w:tc>
          <w:tcPr>
            <w:tcW w:w="228" w:type="dxa"/>
            <w:tcBorders/>
            <w:shd w:fill="FFFFFF" w:val="clear"/>
            <w:vAlign w:val="center"/>
          </w:tcPr>
          <w:p>
            <w:pPr>
              <w:pStyle w:val="TableContents"/>
              <w:bidi w:val="0"/>
              <w:spacing w:before="0" w:after="283"/>
              <w:jc w:val="left"/>
              <w:rPr/>
            </w:pPr>
            <w:r>
              <w:rPr/>
              <w:t> </w:t>
            </w:r>
          </w:p>
        </w:tc>
        <w:tc>
          <w:tcPr>
            <w:tcW w:w="63" w:type="dxa"/>
            <w:tcBorders/>
            <w:shd w:fill="FFFFFF" w:val="clear"/>
            <w:vAlign w:val="center"/>
          </w:tcPr>
          <w:p>
            <w:pPr>
              <w:pStyle w:val="TableContents"/>
              <w:bidi w:val="0"/>
              <w:spacing w:before="0" w:after="283"/>
              <w:jc w:val="left"/>
              <w:rPr/>
            </w:pPr>
            <w:r>
              <w:rPr/>
              <w:t> </w:t>
            </w:r>
          </w:p>
        </w:tc>
        <w:tc>
          <w:tcPr>
            <w:tcW w:w="63" w:type="dxa"/>
            <w:tcBorders/>
            <w:shd w:fill="FFFFFF" w:val="clear"/>
            <w:vAlign w:val="center"/>
          </w:tcPr>
          <w:p>
            <w:pPr>
              <w:pStyle w:val="TableContents"/>
              <w:bidi w:val="0"/>
              <w:spacing w:before="0" w:after="283"/>
              <w:jc w:val="left"/>
              <w:rPr/>
            </w:pPr>
            <w:r>
              <w:rPr/>
              <w:t> </w:t>
            </w:r>
          </w:p>
        </w:tc>
        <w:tc>
          <w:tcPr>
            <w:tcW w:w="850" w:type="dxa"/>
            <w:tcBorders/>
            <w:shd w:fill="FFFFFF" w:val="clear"/>
            <w:vAlign w:val="center"/>
          </w:tcPr>
          <w:p>
            <w:pPr>
              <w:pStyle w:val="TableContents"/>
              <w:bidi w:val="0"/>
              <w:spacing w:before="0" w:after="283"/>
              <w:jc w:val="right"/>
              <w:rPr/>
            </w:pPr>
            <w:r>
              <w:rPr/>
              <w:t>(1,432</w:t>
            </w:r>
          </w:p>
        </w:tc>
        <w:tc>
          <w:tcPr>
            <w:tcW w:w="21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w:t>
            </w:r>
          </w:p>
        </w:tc>
        <w:tc>
          <w:tcPr>
            <w:tcW w:w="2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(1,432</w:t>
            </w:r>
          </w:p>
        </w:tc>
        <w:tc>
          <w:tcPr>
            <w:tcW w:w="234" w:type="dxa"/>
            <w:tcBorders/>
            <w:shd w:fill="FFFFFF" w:val="clear"/>
            <w:vAlign w:val="center"/>
          </w:tcPr>
          <w:p>
            <w:pPr>
              <w:pStyle w:val="TableContents"/>
              <w:bidi w:val="0"/>
              <w:spacing w:before="0" w:after="283"/>
              <w:ind w:left="0" w:right="0" w:hanging="180"/>
              <w:jc w:val="left"/>
              <w:rPr/>
            </w:pPr>
            <w:r>
              <w:rPr/>
              <w:t>)</w:t>
            </w:r>
          </w:p>
        </w:tc>
      </w:tr>
      <w:tr>
        <w:trPr/>
        <w:tc>
          <w:tcPr>
            <w:tcW w:w="5164" w:type="dxa"/>
            <w:tcBorders/>
            <w:shd w:fill="CCEEFF" w:val="clear"/>
            <w:vAlign w:val="center"/>
          </w:tcPr>
          <w:p>
            <w:pPr>
              <w:pStyle w:val="TableContents"/>
              <w:bidi w:val="0"/>
              <w:spacing w:before="0" w:after="283"/>
              <w:jc w:val="left"/>
              <w:rPr/>
            </w:pPr>
            <w:r>
              <w:rPr/>
              <w:t>Impairment of goodwill</w:t>
            </w:r>
          </w:p>
        </w:tc>
        <w:tc>
          <w:tcPr>
            <w:tcW w:w="60"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c>
          <w:tcPr>
            <w:tcW w:w="850" w:type="dxa"/>
            <w:tcBorders/>
            <w:shd w:fill="CCEEFF" w:val="clear"/>
            <w:vAlign w:val="center"/>
          </w:tcPr>
          <w:p>
            <w:pPr>
              <w:pStyle w:val="TableContents"/>
              <w:bidi w:val="0"/>
              <w:spacing w:before="0" w:after="283"/>
              <w:jc w:val="right"/>
              <w:rPr/>
            </w:pPr>
            <w:r>
              <w:rPr/>
              <w:t>-</w:t>
            </w:r>
          </w:p>
        </w:tc>
        <w:tc>
          <w:tcPr>
            <w:tcW w:w="228"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c>
          <w:tcPr>
            <w:tcW w:w="850" w:type="dxa"/>
            <w:tcBorders/>
            <w:shd w:fill="CCEEFF" w:val="clear"/>
            <w:vAlign w:val="center"/>
          </w:tcPr>
          <w:p>
            <w:pPr>
              <w:pStyle w:val="TableContents"/>
              <w:bidi w:val="0"/>
              <w:spacing w:before="0" w:after="283"/>
              <w:jc w:val="right"/>
              <w:rPr/>
            </w:pPr>
            <w:r>
              <w:rPr/>
              <w:t>43,600</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43,600</w:t>
            </w:r>
          </w:p>
        </w:tc>
        <w:tc>
          <w:tcPr>
            <w:tcW w:w="234" w:type="dxa"/>
            <w:tcBorders/>
            <w:shd w:fill="CCEEFF" w:val="clear"/>
            <w:vAlign w:val="center"/>
          </w:tcPr>
          <w:p>
            <w:pPr>
              <w:pStyle w:val="TableContents"/>
              <w:bidi w:val="0"/>
              <w:spacing w:before="0" w:after="283"/>
              <w:ind w:left="0" w:right="0" w:hanging="180"/>
              <w:jc w:val="left"/>
              <w:rPr/>
            </w:pPr>
            <w:r>
              <w:rPr/>
              <w:t> </w:t>
            </w:r>
          </w:p>
        </w:tc>
      </w:tr>
      <w:tr>
        <w:trPr/>
        <w:tc>
          <w:tcPr>
            <w:tcW w:w="5164" w:type="dxa"/>
            <w:tcBorders/>
            <w:shd w:fill="FFFFFF" w:val="clear"/>
            <w:vAlign w:val="center"/>
          </w:tcPr>
          <w:p>
            <w:pPr>
              <w:pStyle w:val="TableContents"/>
              <w:bidi w:val="0"/>
              <w:spacing w:before="0" w:after="283"/>
              <w:jc w:val="left"/>
              <w:rPr/>
            </w:pPr>
            <w:r>
              <w:rPr/>
              <w:t>Depreciation of property, plant and equipment and amortization of intangible assets</w:t>
            </w:r>
          </w:p>
        </w:tc>
        <w:tc>
          <w:tcPr>
            <w:tcW w:w="60" w:type="dxa"/>
            <w:tcBorders/>
            <w:shd w:fill="FFFFFF" w:val="clear"/>
            <w:vAlign w:val="center"/>
          </w:tcPr>
          <w:p>
            <w:pPr>
              <w:pStyle w:val="TableContents"/>
              <w:bidi w:val="0"/>
              <w:spacing w:before="0" w:after="283"/>
              <w:jc w:val="left"/>
              <w:rPr/>
            </w:pPr>
            <w:r>
              <w:rPr/>
              <w:t> </w:t>
            </w:r>
          </w:p>
        </w:tc>
        <w:tc>
          <w:tcPr>
            <w:tcW w:w="63" w:type="dxa"/>
            <w:tcBorders/>
            <w:shd w:fill="FFFFFF" w:val="clear"/>
            <w:vAlign w:val="center"/>
          </w:tcPr>
          <w:p>
            <w:pPr>
              <w:pStyle w:val="TableContents"/>
              <w:bidi w:val="0"/>
              <w:spacing w:before="0" w:after="283"/>
              <w:jc w:val="left"/>
              <w:rPr/>
            </w:pPr>
            <w:r>
              <w:rPr/>
              <w:t> </w:t>
            </w:r>
          </w:p>
        </w:tc>
        <w:tc>
          <w:tcPr>
            <w:tcW w:w="850" w:type="dxa"/>
            <w:tcBorders/>
            <w:shd w:fill="FFFFFF" w:val="clear"/>
            <w:vAlign w:val="center"/>
          </w:tcPr>
          <w:p>
            <w:pPr>
              <w:pStyle w:val="TableContents"/>
              <w:bidi w:val="0"/>
              <w:spacing w:before="0" w:after="283"/>
              <w:jc w:val="right"/>
              <w:rPr/>
            </w:pPr>
            <w:r>
              <w:rPr/>
              <w:t>245,392</w:t>
            </w:r>
          </w:p>
        </w:tc>
        <w:tc>
          <w:tcPr>
            <w:tcW w:w="228" w:type="dxa"/>
            <w:tcBorders/>
            <w:shd w:fill="FFFFFF" w:val="clear"/>
            <w:vAlign w:val="center"/>
          </w:tcPr>
          <w:p>
            <w:pPr>
              <w:pStyle w:val="TableContents"/>
              <w:bidi w:val="0"/>
              <w:spacing w:before="0" w:after="283"/>
              <w:jc w:val="left"/>
              <w:rPr/>
            </w:pPr>
            <w:r>
              <w:rPr/>
              <w:t> </w:t>
            </w:r>
          </w:p>
        </w:tc>
        <w:tc>
          <w:tcPr>
            <w:tcW w:w="63" w:type="dxa"/>
            <w:tcBorders/>
            <w:shd w:fill="FFFFFF" w:val="clear"/>
            <w:vAlign w:val="center"/>
          </w:tcPr>
          <w:p>
            <w:pPr>
              <w:pStyle w:val="TableContents"/>
              <w:bidi w:val="0"/>
              <w:spacing w:before="0" w:after="283"/>
              <w:jc w:val="left"/>
              <w:rPr/>
            </w:pPr>
            <w:r>
              <w:rPr/>
              <w:t> </w:t>
            </w:r>
          </w:p>
        </w:tc>
        <w:tc>
          <w:tcPr>
            <w:tcW w:w="63" w:type="dxa"/>
            <w:tcBorders/>
            <w:shd w:fill="FFFFFF" w:val="clear"/>
            <w:vAlign w:val="center"/>
          </w:tcPr>
          <w:p>
            <w:pPr>
              <w:pStyle w:val="TableContents"/>
              <w:bidi w:val="0"/>
              <w:spacing w:before="0" w:after="283"/>
              <w:jc w:val="left"/>
              <w:rPr/>
            </w:pPr>
            <w:r>
              <w:rPr/>
              <w:t> </w:t>
            </w:r>
          </w:p>
        </w:tc>
        <w:tc>
          <w:tcPr>
            <w:tcW w:w="850" w:type="dxa"/>
            <w:tcBorders/>
            <w:shd w:fill="FFFFFF" w:val="clear"/>
            <w:vAlign w:val="center"/>
          </w:tcPr>
          <w:p>
            <w:pPr>
              <w:pStyle w:val="TableContents"/>
              <w:bidi w:val="0"/>
              <w:spacing w:before="0" w:after="283"/>
              <w:jc w:val="right"/>
              <w:rPr/>
            </w:pPr>
            <w:r>
              <w:rPr/>
              <w:t>159,191</w:t>
            </w:r>
          </w:p>
        </w:tc>
        <w:tc>
          <w:tcPr>
            <w:tcW w:w="2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870,700</w:t>
            </w:r>
          </w:p>
        </w:tc>
        <w:tc>
          <w:tcPr>
            <w:tcW w:w="2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662,559</w:t>
            </w:r>
          </w:p>
        </w:tc>
        <w:tc>
          <w:tcPr>
            <w:tcW w:w="234" w:type="dxa"/>
            <w:tcBorders/>
            <w:shd w:fill="FFFFFF" w:val="clear"/>
            <w:vAlign w:val="center"/>
          </w:tcPr>
          <w:p>
            <w:pPr>
              <w:pStyle w:val="TableContents"/>
              <w:bidi w:val="0"/>
              <w:spacing w:before="0" w:after="283"/>
              <w:ind w:left="0" w:right="0" w:hanging="180"/>
              <w:jc w:val="left"/>
              <w:rPr/>
            </w:pPr>
            <w:r>
              <w:rPr/>
              <w:t> </w:t>
            </w:r>
          </w:p>
        </w:tc>
      </w:tr>
      <w:tr>
        <w:trPr/>
        <w:tc>
          <w:tcPr>
            <w:tcW w:w="5164" w:type="dxa"/>
            <w:tcBorders/>
            <w:shd w:fill="CCEEFF" w:val="clear"/>
            <w:vAlign w:val="center"/>
          </w:tcPr>
          <w:p>
            <w:pPr>
              <w:pStyle w:val="TableContents"/>
              <w:bidi w:val="0"/>
              <w:spacing w:before="0" w:after="283"/>
              <w:jc w:val="left"/>
              <w:rPr/>
            </w:pPr>
            <w:r>
              <w:rPr/>
              <w:t>Fair value changes to derivative assets</w:t>
            </w:r>
          </w:p>
        </w:tc>
        <w:tc>
          <w:tcPr>
            <w:tcW w:w="60" w:type="dxa"/>
            <w:tcBorders/>
            <w:shd w:fill="CCEEFF" w:val="clear"/>
            <w:vAlign w:val="center"/>
          </w:tcPr>
          <w:p>
            <w:pPr>
              <w:pStyle w:val="TableContents"/>
              <w:bidi w:val="0"/>
              <w:spacing w:before="0" w:after="283"/>
              <w:jc w:val="left"/>
              <w:rPr/>
            </w:pPr>
            <w:r>
              <w:rPr/>
              <w:t> </w:t>
            </w:r>
          </w:p>
        </w:tc>
        <w:tc>
          <w:tcPr>
            <w:tcW w:w="63"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50"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228"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c>
          <w:tcPr>
            <w:tcW w:w="63"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50"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234" w:type="dxa"/>
            <w:tcBorders/>
            <w:shd w:fill="CCEEFF" w:val="clear"/>
            <w:vAlign w:val="center"/>
          </w:tcPr>
          <w:p>
            <w:pPr>
              <w:pStyle w:val="TableContents"/>
              <w:bidi w:val="0"/>
              <w:spacing w:before="0" w:after="283"/>
              <w:ind w:left="0" w:right="0" w:hanging="180"/>
              <w:jc w:val="left"/>
              <w:rPr/>
            </w:pPr>
            <w:r>
              <w:rPr/>
              <w:t> </w:t>
            </w:r>
          </w:p>
        </w:tc>
      </w:tr>
      <w:tr>
        <w:trPr/>
        <w:tc>
          <w:tcPr>
            <w:tcW w:w="5164" w:type="dxa"/>
            <w:tcBorders/>
            <w:shd w:fill="FFFFFF" w:val="clear"/>
            <w:vAlign w:val="center"/>
          </w:tcPr>
          <w:p>
            <w:pPr>
              <w:pStyle w:val="TableContents"/>
              <w:bidi w:val="0"/>
              <w:spacing w:before="0" w:after="283"/>
              <w:jc w:val="left"/>
              <w:rPr>
                <w:b/>
              </w:rPr>
            </w:pPr>
            <w:r>
              <w:rPr>
                <w:b/>
              </w:rPr>
              <w:t xml:space="preserve">Adjusted EBITDA </w:t>
            </w:r>
            <w:r>
              <w:rPr>
                <w:b w:val="false"/>
                <w:i w:val="false"/>
                <w:caps w:val="false"/>
                <w:smallCaps w:val="false"/>
              </w:rPr>
              <w:t>(a non-IFRS measure)</w:t>
            </w:r>
          </w:p>
        </w:tc>
        <w:tc>
          <w:tcPr>
            <w:tcW w:w="60" w:type="dxa"/>
            <w:tcBorders/>
            <w:shd w:fill="FFFFFF" w:val="clear"/>
            <w:vAlign w:val="center"/>
          </w:tcPr>
          <w:p>
            <w:pPr>
              <w:pStyle w:val="TableContents"/>
              <w:bidi w:val="0"/>
              <w:spacing w:before="0" w:after="283"/>
              <w:jc w:val="left"/>
              <w:rPr/>
            </w:pPr>
            <w:r>
              <w:rPr/>
              <w:t> </w:t>
            </w:r>
          </w:p>
        </w:tc>
        <w:tc>
          <w:tcPr>
            <w:tcW w:w="63" w:type="dxa"/>
            <w:tcBorders>
              <w:bottom w:val="double" w:sz="10" w:space="0" w:color="000000"/>
            </w:tcBorders>
            <w:shd w:fill="FFFFFF" w:val="clear"/>
            <w:tcMar>
              <w:bottom w:w="28" w:type="dxa"/>
            </w:tcMar>
            <w:vAlign w:val="center"/>
          </w:tcPr>
          <w:p>
            <w:pPr>
              <w:pStyle w:val="TableContents"/>
              <w:bidi w:val="0"/>
              <w:spacing w:before="0" w:after="283"/>
              <w:jc w:val="left"/>
              <w:rPr/>
            </w:pPr>
            <w:r>
              <w:rPr/>
              <w:t> </w:t>
            </w:r>
          </w:p>
        </w:tc>
        <w:tc>
          <w:tcPr>
            <w:tcW w:w="850" w:type="dxa"/>
            <w:tcBorders>
              <w:bottom w:val="double" w:sz="10" w:space="0" w:color="000000"/>
            </w:tcBorders>
            <w:shd w:fill="FFFFFF" w:val="clear"/>
            <w:tcMar>
              <w:bottom w:w="28" w:type="dxa"/>
            </w:tcMar>
            <w:vAlign w:val="center"/>
          </w:tcPr>
          <w:p>
            <w:pPr>
              <w:pStyle w:val="TableContents"/>
              <w:bidi w:val="0"/>
              <w:spacing w:before="0" w:after="283"/>
              <w:jc w:val="right"/>
              <w:rPr/>
            </w:pPr>
            <w:r>
              <w:rPr/>
              <w:t>583,112</w:t>
            </w:r>
          </w:p>
        </w:tc>
        <w:tc>
          <w:tcPr>
            <w:tcW w:w="228" w:type="dxa"/>
            <w:tcBorders/>
            <w:shd w:fill="FFFFFF" w:val="clear"/>
            <w:vAlign w:val="center"/>
          </w:tcPr>
          <w:p>
            <w:pPr>
              <w:pStyle w:val="TableContents"/>
              <w:bidi w:val="0"/>
              <w:spacing w:before="0" w:after="283"/>
              <w:jc w:val="left"/>
              <w:rPr/>
            </w:pPr>
            <w:r>
              <w:rPr/>
              <w:t> </w:t>
            </w:r>
          </w:p>
        </w:tc>
        <w:tc>
          <w:tcPr>
            <w:tcW w:w="63" w:type="dxa"/>
            <w:tcBorders/>
            <w:shd w:fill="FFFFFF" w:val="clear"/>
            <w:vAlign w:val="center"/>
          </w:tcPr>
          <w:p>
            <w:pPr>
              <w:pStyle w:val="TableContents"/>
              <w:bidi w:val="0"/>
              <w:spacing w:before="0" w:after="283"/>
              <w:jc w:val="left"/>
              <w:rPr/>
            </w:pPr>
            <w:r>
              <w:rPr/>
              <w:t> </w:t>
            </w:r>
          </w:p>
        </w:tc>
        <w:tc>
          <w:tcPr>
            <w:tcW w:w="63" w:type="dxa"/>
            <w:tcBorders>
              <w:bottom w:val="double" w:sz="10" w:space="0" w:color="000000"/>
            </w:tcBorders>
            <w:shd w:fill="FFFFFF" w:val="clear"/>
            <w:tcMar>
              <w:bottom w:w="28" w:type="dxa"/>
            </w:tcMar>
            <w:vAlign w:val="center"/>
          </w:tcPr>
          <w:p>
            <w:pPr>
              <w:pStyle w:val="TableContents"/>
              <w:bidi w:val="0"/>
              <w:spacing w:before="0" w:after="283"/>
              <w:jc w:val="left"/>
              <w:rPr/>
            </w:pPr>
            <w:r>
              <w:rPr/>
              <w:t> </w:t>
            </w:r>
          </w:p>
        </w:tc>
        <w:tc>
          <w:tcPr>
            <w:tcW w:w="850" w:type="dxa"/>
            <w:tcBorders>
              <w:bottom w:val="double" w:sz="10" w:space="0" w:color="000000"/>
            </w:tcBorders>
            <w:shd w:fill="FFFFFF" w:val="clear"/>
            <w:tcMar>
              <w:bottom w:w="28" w:type="dxa"/>
            </w:tcMar>
            <w:vAlign w:val="center"/>
          </w:tcPr>
          <w:p>
            <w:pPr>
              <w:pStyle w:val="TableContents"/>
              <w:bidi w:val="0"/>
              <w:spacing w:before="0" w:after="283"/>
              <w:jc w:val="right"/>
              <w:rPr/>
            </w:pPr>
            <w:r>
              <w:rPr/>
              <w:t>542,972</w:t>
            </w:r>
          </w:p>
        </w:tc>
        <w:tc>
          <w:tcPr>
            <w:tcW w:w="2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10" w:space="0" w:color="000000"/>
            </w:tcBorders>
            <w:shd w:fill="FFFFFF" w:val="clear"/>
            <w:tcMar>
              <w:bottom w:w="28" w:type="dxa"/>
            </w:tcMar>
            <w:vAlign w:val="center"/>
          </w:tcPr>
          <w:p>
            <w:pPr>
              <w:pStyle w:val="TableContents"/>
              <w:bidi w:val="0"/>
              <w:spacing w:before="0" w:after="283"/>
              <w:jc w:val="left"/>
              <w:rPr/>
            </w:pPr>
            <w:r>
              <w:rPr/>
              <w:t> </w:t>
            </w:r>
          </w:p>
        </w:tc>
        <w:tc>
          <w:tcPr>
            <w:tcW w:w="980" w:type="dxa"/>
            <w:tcBorders>
              <w:bottom w:val="double" w:sz="10" w:space="0" w:color="000000"/>
            </w:tcBorders>
            <w:shd w:fill="FFFFFF" w:val="clear"/>
            <w:tcMar>
              <w:bottom w:w="28" w:type="dxa"/>
            </w:tcMar>
            <w:vAlign w:val="center"/>
          </w:tcPr>
          <w:p>
            <w:pPr>
              <w:pStyle w:val="TableContents"/>
              <w:bidi w:val="0"/>
              <w:spacing w:before="0" w:after="283"/>
              <w:jc w:val="right"/>
              <w:rPr/>
            </w:pPr>
            <w:r>
              <w:rPr/>
              <w:t>2,285,412</w:t>
            </w:r>
          </w:p>
        </w:tc>
        <w:tc>
          <w:tcPr>
            <w:tcW w:w="2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10" w:space="0" w:color="000000"/>
            </w:tcBorders>
            <w:shd w:fill="FFFFFF" w:val="clear"/>
            <w:tcMar>
              <w:bottom w:w="28" w:type="dxa"/>
            </w:tcMar>
            <w:vAlign w:val="center"/>
          </w:tcPr>
          <w:p>
            <w:pPr>
              <w:pStyle w:val="TableContents"/>
              <w:bidi w:val="0"/>
              <w:spacing w:before="0" w:after="283"/>
              <w:jc w:val="left"/>
              <w:rPr/>
            </w:pPr>
            <w:r>
              <w:rPr/>
              <w:t> </w:t>
            </w:r>
          </w:p>
        </w:tc>
        <w:tc>
          <w:tcPr>
            <w:tcW w:w="980" w:type="dxa"/>
            <w:tcBorders>
              <w:bottom w:val="double" w:sz="10" w:space="0" w:color="000000"/>
            </w:tcBorders>
            <w:shd w:fill="FFFFFF" w:val="clear"/>
            <w:tcMar>
              <w:bottom w:w="28" w:type="dxa"/>
            </w:tcMar>
            <w:vAlign w:val="center"/>
          </w:tcPr>
          <w:p>
            <w:pPr>
              <w:pStyle w:val="TableContents"/>
              <w:bidi w:val="0"/>
              <w:spacing w:before="0" w:after="283"/>
              <w:jc w:val="right"/>
              <w:rPr/>
            </w:pPr>
            <w:r>
              <w:rPr/>
              <w:t>1,973,460</w:t>
            </w:r>
          </w:p>
        </w:tc>
        <w:tc>
          <w:tcPr>
            <w:tcW w:w="234" w:type="dxa"/>
            <w:tcBorders/>
            <w:shd w:fill="FFFFFF" w:val="clear"/>
            <w:vAlign w:val="center"/>
          </w:tcPr>
          <w:p>
            <w:pPr>
              <w:pStyle w:val="TableContents"/>
              <w:bidi w:val="0"/>
              <w:spacing w:before="0" w:after="283"/>
              <w:ind w:left="0" w:right="0" w:hanging="180"/>
              <w:jc w:val="left"/>
              <w:rPr/>
            </w:pPr>
            <w:r>
              <w:rPr/>
              <w:t> </w:t>
            </w:r>
          </w:p>
        </w:tc>
      </w:tr>
      <w:tr>
        <w:trPr/>
        <w:tc>
          <w:tcPr>
            <w:tcW w:w="5164" w:type="dxa"/>
            <w:tcBorders/>
            <w:shd w:fill="CCEEFF" w:val="clear"/>
            <w:vAlign w:val="center"/>
          </w:tcPr>
          <w:p>
            <w:pPr>
              <w:pStyle w:val="TableContents"/>
              <w:bidi w:val="0"/>
              <w:spacing w:before="0" w:after="283"/>
              <w:jc w:val="left"/>
              <w:rPr>
                <w:b/>
              </w:rPr>
            </w:pPr>
            <w:r>
              <w:rPr>
                <w:b/>
              </w:rPr>
              <w:t>Profit margin</w:t>
            </w:r>
          </w:p>
        </w:tc>
        <w:tc>
          <w:tcPr>
            <w:tcW w:w="60"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c>
          <w:tcPr>
            <w:tcW w:w="850" w:type="dxa"/>
            <w:tcBorders/>
            <w:shd w:fill="CCEEFF" w:val="clear"/>
            <w:vAlign w:val="center"/>
          </w:tcPr>
          <w:p>
            <w:pPr>
              <w:pStyle w:val="TableContents"/>
              <w:bidi w:val="0"/>
              <w:spacing w:before="0" w:after="283"/>
              <w:jc w:val="right"/>
              <w:rPr/>
            </w:pPr>
            <w:r>
              <w:rPr/>
              <w:t>16</w:t>
            </w:r>
          </w:p>
        </w:tc>
        <w:tc>
          <w:tcPr>
            <w:tcW w:w="228" w:type="dxa"/>
            <w:tcBorders/>
            <w:shd w:fill="CCEEFF" w:val="clear"/>
            <w:vAlign w:val="center"/>
          </w:tcPr>
          <w:p>
            <w:pPr>
              <w:pStyle w:val="TableContents"/>
              <w:bidi w:val="0"/>
              <w:spacing w:before="0" w:after="283"/>
              <w:jc w:val="left"/>
              <w:rPr/>
            </w:pPr>
            <w:r>
              <w:rPr/>
              <w:t>%</w:t>
            </w:r>
          </w:p>
        </w:tc>
        <w:tc>
          <w:tcPr>
            <w:tcW w:w="63"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c>
          <w:tcPr>
            <w:tcW w:w="850" w:type="dxa"/>
            <w:tcBorders/>
            <w:shd w:fill="CCEEFF" w:val="clear"/>
            <w:vAlign w:val="center"/>
          </w:tcPr>
          <w:p>
            <w:pPr>
              <w:pStyle w:val="TableContents"/>
              <w:bidi w:val="0"/>
              <w:spacing w:before="0" w:after="283"/>
              <w:jc w:val="right"/>
              <w:rPr/>
            </w:pPr>
            <w:r>
              <w:rPr/>
              <w:t>21</w:t>
            </w:r>
          </w:p>
        </w:tc>
        <w:tc>
          <w:tcPr>
            <w:tcW w:w="21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18</w:t>
            </w:r>
          </w:p>
        </w:tc>
        <w:tc>
          <w:tcPr>
            <w:tcW w:w="21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21</w:t>
            </w:r>
          </w:p>
        </w:tc>
        <w:tc>
          <w:tcPr>
            <w:tcW w:w="234" w:type="dxa"/>
            <w:tcBorders/>
            <w:shd w:fill="CCEEFF" w:val="clear"/>
            <w:vAlign w:val="center"/>
          </w:tcPr>
          <w:p>
            <w:pPr>
              <w:pStyle w:val="TableContents"/>
              <w:bidi w:val="0"/>
              <w:spacing w:before="0" w:after="283"/>
              <w:ind w:left="0" w:right="0" w:hanging="180"/>
              <w:jc w:val="left"/>
              <w:rPr/>
            </w:pPr>
            <w:r>
              <w:rPr/>
              <w:t>%</w:t>
            </w:r>
          </w:p>
        </w:tc>
      </w:tr>
      <w:tr>
        <w:trPr/>
        <w:tc>
          <w:tcPr>
            <w:tcW w:w="5164" w:type="dxa"/>
            <w:tcBorders/>
            <w:shd w:fill="FFFFFF" w:val="clear"/>
            <w:vAlign w:val="center"/>
          </w:tcPr>
          <w:p>
            <w:pPr>
              <w:pStyle w:val="TableContents"/>
              <w:bidi w:val="0"/>
              <w:spacing w:before="0" w:after="283"/>
              <w:jc w:val="left"/>
              <w:rPr>
                <w:b/>
              </w:rPr>
            </w:pPr>
            <w:r>
              <w:rPr>
                <w:b/>
              </w:rPr>
              <w:t xml:space="preserve">Adjusted EBITDA margin </w:t>
            </w:r>
            <w:r>
              <w:rPr>
                <w:b w:val="false"/>
                <w:i w:val="false"/>
                <w:caps w:val="false"/>
                <w:smallCaps w:val="false"/>
              </w:rPr>
              <w:t>(a non-IFRS measure)</w:t>
            </w:r>
          </w:p>
        </w:tc>
        <w:tc>
          <w:tcPr>
            <w:tcW w:w="60" w:type="dxa"/>
            <w:tcBorders/>
            <w:shd w:fill="FFFFFF" w:val="clear"/>
            <w:vAlign w:val="center"/>
          </w:tcPr>
          <w:p>
            <w:pPr>
              <w:pStyle w:val="TableContents"/>
              <w:bidi w:val="0"/>
              <w:spacing w:before="0" w:after="283"/>
              <w:jc w:val="left"/>
              <w:rPr/>
            </w:pPr>
            <w:r>
              <w:rPr/>
              <w:t> </w:t>
            </w:r>
          </w:p>
        </w:tc>
        <w:tc>
          <w:tcPr>
            <w:tcW w:w="63" w:type="dxa"/>
            <w:tcBorders/>
            <w:shd w:fill="FFFFFF" w:val="clear"/>
            <w:vAlign w:val="center"/>
          </w:tcPr>
          <w:p>
            <w:pPr>
              <w:pStyle w:val="TableContents"/>
              <w:bidi w:val="0"/>
              <w:spacing w:before="0" w:after="283"/>
              <w:jc w:val="left"/>
              <w:rPr/>
            </w:pPr>
            <w:r>
              <w:rPr/>
              <w:t> </w:t>
            </w:r>
          </w:p>
        </w:tc>
        <w:tc>
          <w:tcPr>
            <w:tcW w:w="850" w:type="dxa"/>
            <w:tcBorders/>
            <w:shd w:fill="FFFFFF" w:val="clear"/>
            <w:vAlign w:val="center"/>
          </w:tcPr>
          <w:p>
            <w:pPr>
              <w:pStyle w:val="TableContents"/>
              <w:bidi w:val="0"/>
              <w:spacing w:before="0" w:after="283"/>
              <w:jc w:val="right"/>
              <w:rPr/>
            </w:pPr>
            <w:r>
              <w:rPr/>
              <w:t>40</w:t>
            </w:r>
          </w:p>
        </w:tc>
        <w:tc>
          <w:tcPr>
            <w:tcW w:w="228" w:type="dxa"/>
            <w:tcBorders/>
            <w:shd w:fill="FFFFFF" w:val="clear"/>
            <w:vAlign w:val="center"/>
          </w:tcPr>
          <w:p>
            <w:pPr>
              <w:pStyle w:val="TableContents"/>
              <w:bidi w:val="0"/>
              <w:spacing w:before="0" w:after="283"/>
              <w:jc w:val="left"/>
              <w:rPr/>
            </w:pPr>
            <w:r>
              <w:rPr/>
              <w:t>%</w:t>
            </w:r>
          </w:p>
        </w:tc>
        <w:tc>
          <w:tcPr>
            <w:tcW w:w="63" w:type="dxa"/>
            <w:tcBorders/>
            <w:shd w:fill="FFFFFF" w:val="clear"/>
            <w:vAlign w:val="center"/>
          </w:tcPr>
          <w:p>
            <w:pPr>
              <w:pStyle w:val="TableContents"/>
              <w:bidi w:val="0"/>
              <w:spacing w:before="0" w:after="283"/>
              <w:jc w:val="left"/>
              <w:rPr/>
            </w:pPr>
            <w:r>
              <w:rPr/>
              <w:t> </w:t>
            </w:r>
          </w:p>
        </w:tc>
        <w:tc>
          <w:tcPr>
            <w:tcW w:w="63" w:type="dxa"/>
            <w:tcBorders/>
            <w:shd w:fill="FFFFFF" w:val="clear"/>
            <w:vAlign w:val="center"/>
          </w:tcPr>
          <w:p>
            <w:pPr>
              <w:pStyle w:val="TableContents"/>
              <w:bidi w:val="0"/>
              <w:spacing w:before="0" w:after="283"/>
              <w:jc w:val="left"/>
              <w:rPr/>
            </w:pPr>
            <w:r>
              <w:rPr/>
              <w:t> </w:t>
            </w:r>
          </w:p>
        </w:tc>
        <w:tc>
          <w:tcPr>
            <w:tcW w:w="850" w:type="dxa"/>
            <w:tcBorders/>
            <w:shd w:fill="FFFFFF" w:val="clear"/>
            <w:vAlign w:val="center"/>
          </w:tcPr>
          <w:p>
            <w:pPr>
              <w:pStyle w:val="TableContents"/>
              <w:bidi w:val="0"/>
              <w:spacing w:before="0" w:after="283"/>
              <w:jc w:val="right"/>
              <w:rPr/>
            </w:pPr>
            <w:r>
              <w:rPr/>
              <w:t>45</w:t>
            </w:r>
          </w:p>
        </w:tc>
        <w:tc>
          <w:tcPr>
            <w:tcW w:w="21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42</w:t>
            </w:r>
          </w:p>
        </w:tc>
        <w:tc>
          <w:tcPr>
            <w:tcW w:w="21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43</w:t>
            </w:r>
          </w:p>
        </w:tc>
        <w:tc>
          <w:tcPr>
            <w:tcW w:w="234" w:type="dxa"/>
            <w:tcBorders/>
            <w:shd w:fill="FFFFFF" w:val="clear"/>
            <w:vAlign w:val="center"/>
          </w:tcPr>
          <w:p>
            <w:pPr>
              <w:pStyle w:val="TableContents"/>
              <w:bidi w:val="0"/>
              <w:spacing w:before="0" w:after="283"/>
              <w:jc w:val="left"/>
              <w:rPr/>
            </w:pPr>
            <w:r>
              <w:rPr/>
              <w:t>%</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20</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KAROOOOO LTD.</w:t>
        <w:br/>
        <w:t xml:space="preserve">RECONCILIATION OF BASIC AND DILUTED EARNINGS PER SHARE TO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ADJUSTED EARNINGS PER SHARE (A NON-IFRS MEASURE)</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(UNAUDITED)</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5867"/>
        <w:gridCol w:w="60"/>
        <w:gridCol w:w="64"/>
        <w:gridCol w:w="859"/>
        <w:gridCol w:w="101"/>
        <w:gridCol w:w="64"/>
        <w:gridCol w:w="64"/>
        <w:gridCol w:w="859"/>
        <w:gridCol w:w="95"/>
        <w:gridCol w:w="60"/>
        <w:gridCol w:w="60"/>
        <w:gridCol w:w="980"/>
        <w:gridCol w:w="60"/>
        <w:gridCol w:w="60"/>
        <w:gridCol w:w="60"/>
        <w:gridCol w:w="800"/>
        <w:gridCol w:w="92"/>
      </w:tblGrid>
      <w:tr>
        <w:trPr/>
        <w:tc>
          <w:tcPr>
            <w:tcW w:w="5867"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2011"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Three Months Ended</w:t>
              <w:br/>
              <w:t>February 28,</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020"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 xml:space="preserve">Year Ended </w:t>
              <w:br/>
              <w:t>February 28,</w:t>
            </w:r>
          </w:p>
        </w:tc>
        <w:tc>
          <w:tcPr>
            <w:tcW w:w="92" w:type="dxa"/>
            <w:tcBorders/>
            <w:vAlign w:val="center"/>
          </w:tcPr>
          <w:p>
            <w:pPr>
              <w:pStyle w:val="TableContents"/>
              <w:bidi w:val="0"/>
              <w:spacing w:before="0" w:after="283"/>
              <w:jc w:val="left"/>
              <w:rPr/>
            </w:pPr>
            <w:r>
              <w:rPr/>
              <w:t> </w:t>
            </w:r>
          </w:p>
        </w:tc>
      </w:tr>
      <w:tr>
        <w:trPr/>
        <w:tc>
          <w:tcPr>
            <w:tcW w:w="5867"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923"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2026</w:t>
            </w:r>
          </w:p>
        </w:tc>
        <w:tc>
          <w:tcPr>
            <w:tcW w:w="101" w:type="dxa"/>
            <w:tcBorders/>
            <w:vAlign w:val="center"/>
          </w:tcPr>
          <w:p>
            <w:pPr>
              <w:pStyle w:val="TableContents"/>
              <w:bidi w:val="0"/>
              <w:spacing w:before="0" w:after="283"/>
              <w:jc w:val="left"/>
              <w:rPr/>
            </w:pPr>
            <w:r>
              <w:rPr/>
              <w:t> </w:t>
            </w:r>
          </w:p>
        </w:tc>
        <w:tc>
          <w:tcPr>
            <w:tcW w:w="64" w:type="dxa"/>
            <w:tcBorders/>
            <w:vAlign w:val="center"/>
          </w:tcPr>
          <w:p>
            <w:pPr>
              <w:pStyle w:val="TableContents"/>
              <w:bidi w:val="0"/>
              <w:spacing w:before="0" w:after="283"/>
              <w:jc w:val="left"/>
              <w:rPr/>
            </w:pPr>
            <w:r>
              <w:rPr/>
              <w:t> </w:t>
            </w:r>
          </w:p>
        </w:tc>
        <w:tc>
          <w:tcPr>
            <w:tcW w:w="923"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2025</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4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2026</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6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2025</w:t>
            </w:r>
          </w:p>
        </w:tc>
        <w:tc>
          <w:tcPr>
            <w:tcW w:w="92" w:type="dxa"/>
            <w:tcBorders/>
            <w:vAlign w:val="center"/>
          </w:tcPr>
          <w:p>
            <w:pPr>
              <w:pStyle w:val="TableContents"/>
              <w:bidi w:val="0"/>
              <w:spacing w:before="0" w:after="283"/>
              <w:jc w:val="left"/>
              <w:rPr/>
            </w:pPr>
            <w:r>
              <w:rPr/>
              <w:t> </w:t>
            </w:r>
          </w:p>
        </w:tc>
      </w:tr>
      <w:tr>
        <w:trPr/>
        <w:tc>
          <w:tcPr>
            <w:tcW w:w="5867"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4186" w:type="dxa"/>
            <w:gridSpan w:val="14"/>
            <w:tcBorders/>
            <w:vAlign w:val="center"/>
          </w:tcPr>
          <w:p>
            <w:pPr>
              <w:pStyle w:val="TableContents"/>
              <w:bidi w:val="0"/>
              <w:spacing w:before="0" w:after="283"/>
              <w:jc w:val="center"/>
              <w:rPr>
                <w:b/>
              </w:rPr>
            </w:pPr>
            <w:r>
              <w:rPr>
                <w:b/>
              </w:rPr>
              <w:t>(Rand Thousands)</w:t>
            </w:r>
          </w:p>
        </w:tc>
        <w:tc>
          <w:tcPr>
            <w:tcW w:w="92" w:type="dxa"/>
            <w:tcBorders/>
            <w:vAlign w:val="center"/>
          </w:tcPr>
          <w:p>
            <w:pPr>
              <w:pStyle w:val="TableContents"/>
              <w:bidi w:val="0"/>
              <w:spacing w:before="0" w:after="283"/>
              <w:ind w:left="0" w:right="0" w:hanging="180"/>
              <w:jc w:val="left"/>
              <w:rPr/>
            </w:pPr>
            <w:r>
              <w:rPr/>
              <w:t> </w:t>
            </w:r>
          </w:p>
        </w:tc>
      </w:tr>
      <w:tr>
        <w:trPr/>
        <w:tc>
          <w:tcPr>
            <w:tcW w:w="5867" w:type="dxa"/>
            <w:tcBorders/>
            <w:vAlign w:val="center"/>
          </w:tcPr>
          <w:p>
            <w:pPr>
              <w:pStyle w:val="TableContents"/>
              <w:bidi w:val="0"/>
              <w:spacing w:before="0" w:after="283"/>
              <w:jc w:val="left"/>
              <w:rPr>
                <w:b/>
              </w:rPr>
            </w:pPr>
            <w:r>
              <w:rPr>
                <w:b/>
              </w:rPr>
              <w:t xml:space="preserve">Reconciliation between basic earnings and adjusted earnings </w:t>
            </w:r>
            <w:r>
              <w:rPr>
                <w:b w:val="false"/>
                <w:i w:val="false"/>
                <w:caps w:val="false"/>
                <w:smallCaps w:val="false"/>
              </w:rPr>
              <w:t>(a non-IFRS measure)</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23" w:type="dxa"/>
            <w:gridSpan w:val="2"/>
            <w:tcBorders/>
            <w:vAlign w:val="center"/>
          </w:tcPr>
          <w:p>
            <w:pPr>
              <w:pStyle w:val="TableContents"/>
              <w:bidi w:val="0"/>
              <w:spacing w:before="0" w:after="283"/>
              <w:jc w:val="right"/>
              <w:rPr/>
            </w:pPr>
            <w:r>
              <w:rPr/>
              <w:t> </w:t>
            </w:r>
          </w:p>
        </w:tc>
        <w:tc>
          <w:tcPr>
            <w:tcW w:w="101" w:type="dxa"/>
            <w:tcBorders/>
            <w:vAlign w:val="center"/>
          </w:tcPr>
          <w:p>
            <w:pPr>
              <w:pStyle w:val="TableContents"/>
              <w:bidi w:val="0"/>
              <w:spacing w:before="0" w:after="283"/>
              <w:jc w:val="left"/>
              <w:rPr/>
            </w:pPr>
            <w:r>
              <w:rPr/>
              <w:t> </w:t>
            </w:r>
          </w:p>
        </w:tc>
        <w:tc>
          <w:tcPr>
            <w:tcW w:w="64" w:type="dxa"/>
            <w:tcBorders/>
            <w:vAlign w:val="center"/>
          </w:tcPr>
          <w:p>
            <w:pPr>
              <w:pStyle w:val="TableContents"/>
              <w:bidi w:val="0"/>
              <w:spacing w:before="0" w:after="283"/>
              <w:jc w:val="left"/>
              <w:rPr/>
            </w:pPr>
            <w:r>
              <w:rPr/>
              <w:t> </w:t>
            </w:r>
          </w:p>
        </w:tc>
        <w:tc>
          <w:tcPr>
            <w:tcW w:w="923" w:type="dxa"/>
            <w:gridSpan w:val="2"/>
            <w:tcBorders/>
            <w:vAlign w:val="center"/>
          </w:tcPr>
          <w:p>
            <w:pPr>
              <w:pStyle w:val="TableContents"/>
              <w:bidi w:val="0"/>
              <w:spacing w:before="0" w:after="283"/>
              <w:jc w:val="righ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40" w:type="dxa"/>
            <w:gridSpan w:val="2"/>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60" w:type="dxa"/>
            <w:gridSpan w:val="2"/>
            <w:tcBorders/>
            <w:vAlign w:val="center"/>
          </w:tcPr>
          <w:p>
            <w:pPr>
              <w:pStyle w:val="TableContents"/>
              <w:bidi w:val="0"/>
              <w:spacing w:before="0" w:after="283"/>
              <w:jc w:val="right"/>
              <w:rPr/>
            </w:pPr>
            <w:r>
              <w:rPr/>
              <w:t> </w:t>
            </w:r>
          </w:p>
        </w:tc>
        <w:tc>
          <w:tcPr>
            <w:tcW w:w="92" w:type="dxa"/>
            <w:tcBorders/>
            <w:vAlign w:val="center"/>
          </w:tcPr>
          <w:p>
            <w:pPr>
              <w:pStyle w:val="TableContents"/>
              <w:bidi w:val="0"/>
              <w:spacing w:before="0" w:after="283"/>
              <w:ind w:left="0" w:right="0" w:hanging="180"/>
              <w:jc w:val="left"/>
              <w:rPr/>
            </w:pPr>
            <w:r>
              <w:rPr/>
              <w:t> </w:t>
            </w:r>
          </w:p>
        </w:tc>
      </w:tr>
      <w:tr>
        <w:trPr/>
        <w:tc>
          <w:tcPr>
            <w:tcW w:w="5867" w:type="dxa"/>
            <w:tcBorders/>
            <w:shd w:fill="CCEEFF" w:val="clear"/>
            <w:vAlign w:val="center"/>
          </w:tcPr>
          <w:p>
            <w:pPr>
              <w:pStyle w:val="TableContents"/>
              <w:bidi w:val="0"/>
              <w:spacing w:before="0" w:after="283"/>
              <w:jc w:val="left"/>
              <w:rPr>
                <w:b/>
              </w:rPr>
            </w:pPr>
            <w:r>
              <w:rPr>
                <w:b/>
              </w:rPr>
              <w:t>Profit attributable to ordinary shareholders</w:t>
            </w:r>
          </w:p>
        </w:tc>
        <w:tc>
          <w:tcPr>
            <w:tcW w:w="60"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859" w:type="dxa"/>
            <w:tcBorders/>
            <w:shd w:fill="CCEEFF" w:val="clear"/>
            <w:vAlign w:val="center"/>
          </w:tcPr>
          <w:p>
            <w:pPr>
              <w:pStyle w:val="TableContents"/>
              <w:bidi w:val="0"/>
              <w:spacing w:before="0" w:after="283"/>
              <w:jc w:val="right"/>
              <w:rPr/>
            </w:pPr>
            <w:r>
              <w:rPr/>
              <w:t>222,140</w:t>
            </w:r>
          </w:p>
        </w:tc>
        <w:tc>
          <w:tcPr>
            <w:tcW w:w="101"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859" w:type="dxa"/>
            <w:tcBorders/>
            <w:shd w:fill="CCEEFF" w:val="clear"/>
            <w:vAlign w:val="center"/>
          </w:tcPr>
          <w:p>
            <w:pPr>
              <w:pStyle w:val="TableContents"/>
              <w:bidi w:val="0"/>
              <w:spacing w:before="0" w:after="283"/>
              <w:jc w:val="right"/>
              <w:rPr/>
            </w:pPr>
            <w:r>
              <w:rPr/>
              <w:t>250,640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993,920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921,031</w:t>
            </w:r>
          </w:p>
        </w:tc>
        <w:tc>
          <w:tcPr>
            <w:tcW w:w="92" w:type="dxa"/>
            <w:tcBorders/>
            <w:shd w:fill="CCEEFF" w:val="clear"/>
            <w:vAlign w:val="center"/>
          </w:tcPr>
          <w:p>
            <w:pPr>
              <w:pStyle w:val="TableContents"/>
              <w:bidi w:val="0"/>
              <w:spacing w:before="0" w:after="283"/>
              <w:ind w:left="0" w:right="0" w:hanging="180"/>
              <w:jc w:val="left"/>
              <w:rPr/>
            </w:pPr>
            <w:r>
              <w:rPr/>
              <w:t> </w:t>
            </w:r>
          </w:p>
        </w:tc>
      </w:tr>
      <w:tr>
        <w:trPr/>
        <w:tc>
          <w:tcPr>
            <w:tcW w:w="5867" w:type="dxa"/>
            <w:tcBorders/>
            <w:shd w:fill="FFFFFF" w:val="clear"/>
            <w:vAlign w:val="center"/>
          </w:tcPr>
          <w:p>
            <w:pPr>
              <w:pStyle w:val="TableContents"/>
              <w:bidi w:val="0"/>
              <w:spacing w:before="0" w:after="283"/>
              <w:jc w:val="left"/>
              <w:rPr/>
            </w:pPr>
            <w:r>
              <w:rPr/>
              <w:t>Adjust for:</w:t>
            </w:r>
          </w:p>
        </w:tc>
        <w:tc>
          <w:tcPr>
            <w:tcW w:w="60" w:type="dxa"/>
            <w:tcBorders/>
            <w:shd w:fill="FFFFFF" w:val="clear"/>
            <w:vAlign w:val="center"/>
          </w:tcPr>
          <w:p>
            <w:pPr>
              <w:pStyle w:val="TableContents"/>
              <w:bidi w:val="0"/>
              <w:spacing w:before="0" w:after="283"/>
              <w:jc w:val="left"/>
              <w:rPr/>
            </w:pPr>
            <w:r>
              <w:rPr/>
              <w:t> </w:t>
            </w:r>
          </w:p>
        </w:tc>
        <w:tc>
          <w:tcPr>
            <w:tcW w:w="64" w:type="dxa"/>
            <w:tcBorders/>
            <w:shd w:fill="FFFFFF" w:val="clear"/>
            <w:vAlign w:val="center"/>
          </w:tcPr>
          <w:p>
            <w:pPr>
              <w:pStyle w:val="TableContents"/>
              <w:bidi w:val="0"/>
              <w:spacing w:before="0" w:after="283"/>
              <w:jc w:val="left"/>
              <w:rPr/>
            </w:pPr>
            <w:r>
              <w:rPr/>
              <w:t> </w:t>
            </w:r>
          </w:p>
        </w:tc>
        <w:tc>
          <w:tcPr>
            <w:tcW w:w="859" w:type="dxa"/>
            <w:tcBorders/>
            <w:shd w:fill="FFFFFF" w:val="clear"/>
            <w:vAlign w:val="center"/>
          </w:tcPr>
          <w:p>
            <w:pPr>
              <w:pStyle w:val="TableContents"/>
              <w:bidi w:val="0"/>
              <w:spacing w:before="0" w:after="283"/>
              <w:jc w:val="right"/>
              <w:rPr/>
            </w:pPr>
            <w:r>
              <w:rPr/>
              <w:t> </w:t>
            </w:r>
          </w:p>
        </w:tc>
        <w:tc>
          <w:tcPr>
            <w:tcW w:w="101" w:type="dxa"/>
            <w:tcBorders/>
            <w:shd w:fill="FFFFFF" w:val="clear"/>
            <w:vAlign w:val="center"/>
          </w:tcPr>
          <w:p>
            <w:pPr>
              <w:pStyle w:val="TableContents"/>
              <w:bidi w:val="0"/>
              <w:spacing w:before="0" w:after="283"/>
              <w:jc w:val="left"/>
              <w:rPr/>
            </w:pPr>
            <w:r>
              <w:rPr/>
              <w:t> </w:t>
            </w:r>
          </w:p>
        </w:tc>
        <w:tc>
          <w:tcPr>
            <w:tcW w:w="64" w:type="dxa"/>
            <w:tcBorders/>
            <w:shd w:fill="FFFFFF" w:val="clear"/>
            <w:vAlign w:val="center"/>
          </w:tcPr>
          <w:p>
            <w:pPr>
              <w:pStyle w:val="TableContents"/>
              <w:bidi w:val="0"/>
              <w:spacing w:before="0" w:after="283"/>
              <w:jc w:val="left"/>
              <w:rPr/>
            </w:pPr>
            <w:r>
              <w:rPr/>
              <w:t> </w:t>
            </w:r>
          </w:p>
        </w:tc>
        <w:tc>
          <w:tcPr>
            <w:tcW w:w="64" w:type="dxa"/>
            <w:tcBorders/>
            <w:shd w:fill="FFFFFF" w:val="clear"/>
            <w:vAlign w:val="center"/>
          </w:tcPr>
          <w:p>
            <w:pPr>
              <w:pStyle w:val="TableContents"/>
              <w:bidi w:val="0"/>
              <w:spacing w:before="0" w:after="283"/>
              <w:jc w:val="left"/>
              <w:rPr/>
            </w:pPr>
            <w:r>
              <w:rPr/>
              <w:t> </w:t>
            </w:r>
          </w:p>
        </w:tc>
        <w:tc>
          <w:tcPr>
            <w:tcW w:w="859"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 </w:t>
            </w:r>
          </w:p>
        </w:tc>
        <w:tc>
          <w:tcPr>
            <w:tcW w:w="92" w:type="dxa"/>
            <w:tcBorders/>
            <w:shd w:fill="FFFFFF" w:val="clear"/>
            <w:vAlign w:val="center"/>
          </w:tcPr>
          <w:p>
            <w:pPr>
              <w:pStyle w:val="TableContents"/>
              <w:bidi w:val="0"/>
              <w:spacing w:before="0" w:after="283"/>
              <w:ind w:left="0" w:right="0" w:hanging="180"/>
              <w:jc w:val="left"/>
              <w:rPr/>
            </w:pPr>
            <w:r>
              <w:rPr/>
              <w:t> </w:t>
            </w:r>
          </w:p>
        </w:tc>
      </w:tr>
      <w:tr>
        <w:trPr/>
        <w:tc>
          <w:tcPr>
            <w:tcW w:w="5867" w:type="dxa"/>
            <w:tcBorders/>
            <w:shd w:fill="CCEEFF" w:val="clear"/>
            <w:vAlign w:val="center"/>
          </w:tcPr>
          <w:p>
            <w:pPr>
              <w:pStyle w:val="TableContents"/>
              <w:bidi w:val="0"/>
              <w:spacing w:before="0" w:after="283"/>
              <w:jc w:val="left"/>
              <w:rPr/>
            </w:pPr>
            <w:r>
              <w:rPr/>
              <w:t>Offering costs</w:t>
            </w:r>
          </w:p>
        </w:tc>
        <w:tc>
          <w:tcPr>
            <w:tcW w:w="60"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859" w:type="dxa"/>
            <w:tcBorders/>
            <w:shd w:fill="CCEEFF" w:val="clear"/>
            <w:vAlign w:val="center"/>
          </w:tcPr>
          <w:p>
            <w:pPr>
              <w:pStyle w:val="TableContents"/>
              <w:bidi w:val="0"/>
              <w:spacing w:before="0" w:after="283"/>
              <w:jc w:val="right"/>
              <w:rPr/>
            </w:pPr>
            <w:r>
              <w:rPr/>
              <w:t>(302</w:t>
            </w:r>
          </w:p>
        </w:tc>
        <w:tc>
          <w:tcPr>
            <w:tcW w:w="101" w:type="dxa"/>
            <w:tcBorders/>
            <w:shd w:fill="CCEEFF" w:val="clear"/>
            <w:vAlign w:val="center"/>
          </w:tcPr>
          <w:p>
            <w:pPr>
              <w:pStyle w:val="TableContents"/>
              <w:bidi w:val="0"/>
              <w:spacing w:before="0" w:after="283"/>
              <w:jc w:val="left"/>
              <w:rPr/>
            </w:pPr>
            <w:r>
              <w:rPr/>
              <w:t>)</w:t>
            </w:r>
          </w:p>
        </w:tc>
        <w:tc>
          <w:tcPr>
            <w:tcW w:w="64"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859" w:type="dxa"/>
            <w:tcBorders/>
            <w:shd w:fill="CCEEFF" w:val="clear"/>
            <w:vAlign w:val="center"/>
          </w:tcPr>
          <w:p>
            <w:pPr>
              <w:pStyle w:val="TableContents"/>
              <w:bidi w:val="0"/>
              <w:spacing w:before="0" w:after="283"/>
              <w:jc w:val="right"/>
              <w:rPr/>
            </w:pPr>
            <w:r>
              <w:rPr/>
              <w:t>50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11,667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15,113</w:t>
            </w:r>
          </w:p>
        </w:tc>
        <w:tc>
          <w:tcPr>
            <w:tcW w:w="92" w:type="dxa"/>
            <w:tcBorders/>
            <w:shd w:fill="CCEEFF" w:val="clear"/>
            <w:vAlign w:val="center"/>
          </w:tcPr>
          <w:p>
            <w:pPr>
              <w:pStyle w:val="TableContents"/>
              <w:bidi w:val="0"/>
              <w:spacing w:before="0" w:after="283"/>
              <w:ind w:left="0" w:right="0" w:hanging="180"/>
              <w:jc w:val="left"/>
              <w:rPr/>
            </w:pPr>
            <w:r>
              <w:rPr/>
              <w:t> </w:t>
            </w:r>
          </w:p>
        </w:tc>
      </w:tr>
      <w:tr>
        <w:trPr/>
        <w:tc>
          <w:tcPr>
            <w:tcW w:w="5867" w:type="dxa"/>
            <w:tcBorders/>
            <w:shd w:fill="FFFFFF" w:val="clear"/>
            <w:vAlign w:val="center"/>
          </w:tcPr>
          <w:p>
            <w:pPr>
              <w:pStyle w:val="TableContents"/>
              <w:bidi w:val="0"/>
              <w:spacing w:before="0" w:after="283"/>
              <w:jc w:val="left"/>
              <w:rPr/>
            </w:pPr>
            <w:r>
              <w:rPr/>
              <w:t>Impairment of goodwill</w:t>
            </w:r>
          </w:p>
        </w:tc>
        <w:tc>
          <w:tcPr>
            <w:tcW w:w="60" w:type="dxa"/>
            <w:tcBorders/>
            <w:shd w:fill="FFFFFF" w:val="clear"/>
            <w:vAlign w:val="center"/>
          </w:tcPr>
          <w:p>
            <w:pPr>
              <w:pStyle w:val="TableContents"/>
              <w:bidi w:val="0"/>
              <w:spacing w:before="0" w:after="283"/>
              <w:jc w:val="left"/>
              <w:rPr/>
            </w:pPr>
            <w:r>
              <w:rPr/>
              <w:t> </w:t>
            </w:r>
          </w:p>
        </w:tc>
        <w:tc>
          <w:tcPr>
            <w:tcW w:w="64" w:type="dxa"/>
            <w:tcBorders/>
            <w:shd w:fill="FFFFFF" w:val="clear"/>
            <w:vAlign w:val="center"/>
          </w:tcPr>
          <w:p>
            <w:pPr>
              <w:pStyle w:val="TableContents"/>
              <w:bidi w:val="0"/>
              <w:spacing w:before="0" w:after="283"/>
              <w:jc w:val="left"/>
              <w:rPr/>
            </w:pPr>
            <w:r>
              <w:rPr/>
              <w:t> </w:t>
            </w:r>
          </w:p>
        </w:tc>
        <w:tc>
          <w:tcPr>
            <w:tcW w:w="859" w:type="dxa"/>
            <w:tcBorders/>
            <w:shd w:fill="FFFFFF" w:val="clear"/>
            <w:vAlign w:val="center"/>
          </w:tcPr>
          <w:p>
            <w:pPr>
              <w:pStyle w:val="TableContents"/>
              <w:bidi w:val="0"/>
              <w:spacing w:before="0" w:after="283"/>
              <w:jc w:val="right"/>
              <w:rPr/>
            </w:pPr>
            <w:r>
              <w:rPr/>
              <w:t>-</w:t>
            </w:r>
          </w:p>
        </w:tc>
        <w:tc>
          <w:tcPr>
            <w:tcW w:w="101" w:type="dxa"/>
            <w:tcBorders/>
            <w:shd w:fill="FFFFFF" w:val="clear"/>
            <w:vAlign w:val="center"/>
          </w:tcPr>
          <w:p>
            <w:pPr>
              <w:pStyle w:val="TableContents"/>
              <w:bidi w:val="0"/>
              <w:spacing w:before="0" w:after="283"/>
              <w:jc w:val="left"/>
              <w:rPr/>
            </w:pPr>
            <w:r>
              <w:rPr/>
              <w:t> </w:t>
            </w:r>
          </w:p>
        </w:tc>
        <w:tc>
          <w:tcPr>
            <w:tcW w:w="64" w:type="dxa"/>
            <w:tcBorders/>
            <w:shd w:fill="FFFFFF" w:val="clear"/>
            <w:vAlign w:val="center"/>
          </w:tcPr>
          <w:p>
            <w:pPr>
              <w:pStyle w:val="TableContents"/>
              <w:bidi w:val="0"/>
              <w:spacing w:before="0" w:after="283"/>
              <w:jc w:val="left"/>
              <w:rPr/>
            </w:pPr>
            <w:r>
              <w:rPr/>
              <w:t> </w:t>
            </w:r>
          </w:p>
        </w:tc>
        <w:tc>
          <w:tcPr>
            <w:tcW w:w="64" w:type="dxa"/>
            <w:tcBorders/>
            <w:shd w:fill="FFFFFF" w:val="clear"/>
            <w:vAlign w:val="center"/>
          </w:tcPr>
          <w:p>
            <w:pPr>
              <w:pStyle w:val="TableContents"/>
              <w:bidi w:val="0"/>
              <w:spacing w:before="0" w:after="283"/>
              <w:jc w:val="left"/>
              <w:rPr/>
            </w:pPr>
            <w:r>
              <w:rPr/>
              <w:t> </w:t>
            </w:r>
          </w:p>
        </w:tc>
        <w:tc>
          <w:tcPr>
            <w:tcW w:w="859" w:type="dxa"/>
            <w:tcBorders/>
            <w:shd w:fill="FFFFFF" w:val="clear"/>
            <w:vAlign w:val="center"/>
          </w:tcPr>
          <w:p>
            <w:pPr>
              <w:pStyle w:val="TableContents"/>
              <w:bidi w:val="0"/>
              <w:spacing w:before="0" w:after="283"/>
              <w:jc w:val="right"/>
              <w:rPr/>
            </w:pPr>
            <w:r>
              <w:rPr/>
              <w:t>43,600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43,600</w:t>
            </w:r>
          </w:p>
        </w:tc>
        <w:tc>
          <w:tcPr>
            <w:tcW w:w="92" w:type="dxa"/>
            <w:tcBorders/>
            <w:shd w:fill="FFFFFF" w:val="clear"/>
            <w:vAlign w:val="center"/>
          </w:tcPr>
          <w:p>
            <w:pPr>
              <w:pStyle w:val="TableContents"/>
              <w:bidi w:val="0"/>
              <w:spacing w:before="0" w:after="283"/>
              <w:ind w:left="0" w:right="0" w:hanging="180"/>
              <w:jc w:val="left"/>
              <w:rPr/>
            </w:pPr>
            <w:r>
              <w:rPr/>
              <w:t> </w:t>
            </w:r>
          </w:p>
        </w:tc>
      </w:tr>
      <w:tr>
        <w:trPr/>
        <w:tc>
          <w:tcPr>
            <w:tcW w:w="5867" w:type="dxa"/>
            <w:tcBorders/>
            <w:shd w:fill="CCEEFF" w:val="clear"/>
            <w:vAlign w:val="center"/>
          </w:tcPr>
          <w:p>
            <w:pPr>
              <w:pStyle w:val="TableContents"/>
              <w:bidi w:val="0"/>
              <w:spacing w:before="0" w:after="283"/>
              <w:jc w:val="left"/>
              <w:rPr/>
            </w:pPr>
            <w:r>
              <w:rPr/>
              <w:t>Gain on disposal of subsidiaries</w:t>
            </w:r>
          </w:p>
        </w:tc>
        <w:tc>
          <w:tcPr>
            <w:tcW w:w="60" w:type="dxa"/>
            <w:tcBorders/>
            <w:shd w:fill="CCEEFF" w:val="clear"/>
            <w:vAlign w:val="center"/>
          </w:tcPr>
          <w:p>
            <w:pPr>
              <w:pStyle w:val="TableContents"/>
              <w:bidi w:val="0"/>
              <w:spacing w:before="0" w:after="283"/>
              <w:jc w:val="left"/>
              <w:rPr/>
            </w:pPr>
            <w:r>
              <w:rPr/>
              <w:t> </w:t>
            </w:r>
          </w:p>
        </w:tc>
        <w:tc>
          <w:tcPr>
            <w:tcW w:w="64"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59"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101"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64"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59" w:type="dxa"/>
            <w:tcBorders>
              <w:bottom w:val="single" w:sz="12" w:space="0" w:color="000000"/>
            </w:tcBorders>
            <w:shd w:fill="CCEEFF" w:val="clear"/>
            <w:tcMar>
              <w:bottom w:w="28" w:type="dxa"/>
            </w:tcMar>
            <w:vAlign w:val="center"/>
          </w:tcPr>
          <w:p>
            <w:pPr>
              <w:pStyle w:val="TableContents"/>
              <w:bidi w:val="0"/>
              <w:spacing w:before="0" w:after="283"/>
              <w:jc w:val="right"/>
              <w:rPr/>
            </w:pPr>
            <w:r>
              <w:rPr/>
              <w:t>(1,432</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00" w:type="dxa"/>
            <w:tcBorders>
              <w:bottom w:val="single" w:sz="12" w:space="0" w:color="000000"/>
            </w:tcBorders>
            <w:shd w:fill="CCEEFF" w:val="clear"/>
            <w:tcMar>
              <w:bottom w:w="28" w:type="dxa"/>
            </w:tcMar>
            <w:vAlign w:val="center"/>
          </w:tcPr>
          <w:p>
            <w:pPr>
              <w:pStyle w:val="TableContents"/>
              <w:bidi w:val="0"/>
              <w:spacing w:before="0" w:after="283"/>
              <w:jc w:val="right"/>
              <w:rPr/>
            </w:pPr>
            <w:r>
              <w:rPr/>
              <w:t>(1,432</w:t>
            </w:r>
          </w:p>
        </w:tc>
        <w:tc>
          <w:tcPr>
            <w:tcW w:w="92" w:type="dxa"/>
            <w:tcBorders/>
            <w:shd w:fill="CCEEFF" w:val="clear"/>
            <w:vAlign w:val="center"/>
          </w:tcPr>
          <w:p>
            <w:pPr>
              <w:pStyle w:val="TableContents"/>
              <w:bidi w:val="0"/>
              <w:spacing w:before="0" w:after="283"/>
              <w:ind w:left="0" w:right="0" w:hanging="180"/>
              <w:jc w:val="left"/>
              <w:rPr/>
            </w:pPr>
            <w:r>
              <w:rPr/>
              <w:t>)</w:t>
            </w:r>
          </w:p>
        </w:tc>
      </w:tr>
      <w:tr>
        <w:trPr/>
        <w:tc>
          <w:tcPr>
            <w:tcW w:w="5867" w:type="dxa"/>
            <w:tcBorders/>
            <w:shd w:fill="FFFFFF" w:val="clear"/>
            <w:vAlign w:val="center"/>
          </w:tcPr>
          <w:p>
            <w:pPr>
              <w:pStyle w:val="TableContents"/>
              <w:bidi w:val="0"/>
              <w:spacing w:before="0" w:after="283"/>
              <w:jc w:val="left"/>
              <w:rPr>
                <w:b/>
              </w:rPr>
            </w:pPr>
            <w:r>
              <w:rPr>
                <w:b/>
              </w:rPr>
              <w:t xml:space="preserve">Adjusted profit attributable to ordinary shareholders </w:t>
            </w:r>
            <w:r>
              <w:rPr>
                <w:b w:val="false"/>
                <w:i w:val="false"/>
                <w:caps w:val="false"/>
                <w:smallCaps w:val="false"/>
              </w:rPr>
              <w:t>(a non-IFRS measure)</w:t>
            </w:r>
          </w:p>
        </w:tc>
        <w:tc>
          <w:tcPr>
            <w:tcW w:w="60" w:type="dxa"/>
            <w:tcBorders/>
            <w:shd w:fill="FFFFFF" w:val="clear"/>
            <w:vAlign w:val="center"/>
          </w:tcPr>
          <w:p>
            <w:pPr>
              <w:pStyle w:val="TableContents"/>
              <w:bidi w:val="0"/>
              <w:spacing w:before="0" w:after="283"/>
              <w:jc w:val="left"/>
              <w:rPr/>
            </w:pPr>
            <w:r>
              <w:rPr/>
              <w:t> </w:t>
            </w:r>
          </w:p>
        </w:tc>
        <w:tc>
          <w:tcPr>
            <w:tcW w:w="64" w:type="dxa"/>
            <w:tcBorders>
              <w:bottom w:val="double" w:sz="10" w:space="0" w:color="000000"/>
            </w:tcBorders>
            <w:shd w:fill="FFFFFF" w:val="clear"/>
            <w:tcMar>
              <w:bottom w:w="28" w:type="dxa"/>
            </w:tcMar>
            <w:vAlign w:val="center"/>
          </w:tcPr>
          <w:p>
            <w:pPr>
              <w:pStyle w:val="TableContents"/>
              <w:bidi w:val="0"/>
              <w:spacing w:before="0" w:after="283"/>
              <w:jc w:val="left"/>
              <w:rPr/>
            </w:pPr>
            <w:r>
              <w:rPr/>
              <w:t> </w:t>
            </w:r>
          </w:p>
        </w:tc>
        <w:tc>
          <w:tcPr>
            <w:tcW w:w="859" w:type="dxa"/>
            <w:tcBorders>
              <w:bottom w:val="double" w:sz="10" w:space="0" w:color="000000"/>
            </w:tcBorders>
            <w:shd w:fill="FFFFFF" w:val="clear"/>
            <w:tcMar>
              <w:bottom w:w="28" w:type="dxa"/>
            </w:tcMar>
            <w:vAlign w:val="center"/>
          </w:tcPr>
          <w:p>
            <w:pPr>
              <w:pStyle w:val="TableContents"/>
              <w:bidi w:val="0"/>
              <w:spacing w:before="0" w:after="283"/>
              <w:jc w:val="right"/>
              <w:rPr/>
            </w:pPr>
            <w:r>
              <w:rPr/>
              <w:t>221,838</w:t>
            </w:r>
          </w:p>
        </w:tc>
        <w:tc>
          <w:tcPr>
            <w:tcW w:w="101" w:type="dxa"/>
            <w:tcBorders/>
            <w:shd w:fill="FFFFFF" w:val="clear"/>
            <w:vAlign w:val="center"/>
          </w:tcPr>
          <w:p>
            <w:pPr>
              <w:pStyle w:val="TableContents"/>
              <w:bidi w:val="0"/>
              <w:spacing w:before="0" w:after="283"/>
              <w:jc w:val="left"/>
              <w:rPr/>
            </w:pPr>
            <w:r>
              <w:rPr/>
              <w:t> </w:t>
            </w:r>
          </w:p>
        </w:tc>
        <w:tc>
          <w:tcPr>
            <w:tcW w:w="64" w:type="dxa"/>
            <w:tcBorders/>
            <w:shd w:fill="FFFFFF" w:val="clear"/>
            <w:vAlign w:val="center"/>
          </w:tcPr>
          <w:p>
            <w:pPr>
              <w:pStyle w:val="TableContents"/>
              <w:bidi w:val="0"/>
              <w:spacing w:before="0" w:after="283"/>
              <w:jc w:val="left"/>
              <w:rPr/>
            </w:pPr>
            <w:r>
              <w:rPr/>
              <w:t> </w:t>
            </w:r>
          </w:p>
        </w:tc>
        <w:tc>
          <w:tcPr>
            <w:tcW w:w="64" w:type="dxa"/>
            <w:tcBorders>
              <w:bottom w:val="double" w:sz="10" w:space="0" w:color="000000"/>
            </w:tcBorders>
            <w:shd w:fill="FFFFFF" w:val="clear"/>
            <w:tcMar>
              <w:bottom w:w="28" w:type="dxa"/>
            </w:tcMar>
            <w:vAlign w:val="center"/>
          </w:tcPr>
          <w:p>
            <w:pPr>
              <w:pStyle w:val="TableContents"/>
              <w:bidi w:val="0"/>
              <w:spacing w:before="0" w:after="283"/>
              <w:jc w:val="left"/>
              <w:rPr/>
            </w:pPr>
            <w:r>
              <w:rPr/>
              <w:t> </w:t>
            </w:r>
          </w:p>
        </w:tc>
        <w:tc>
          <w:tcPr>
            <w:tcW w:w="859" w:type="dxa"/>
            <w:tcBorders>
              <w:bottom w:val="double" w:sz="10" w:space="0" w:color="000000"/>
            </w:tcBorders>
            <w:shd w:fill="FFFFFF" w:val="clear"/>
            <w:tcMar>
              <w:bottom w:w="28" w:type="dxa"/>
            </w:tcMar>
            <w:vAlign w:val="center"/>
          </w:tcPr>
          <w:p>
            <w:pPr>
              <w:pStyle w:val="TableContents"/>
              <w:bidi w:val="0"/>
              <w:spacing w:before="0" w:after="283"/>
              <w:jc w:val="right"/>
              <w:rPr/>
            </w:pPr>
            <w:r>
              <w:rPr/>
              <w:t>292,858</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10" w:space="0" w:color="000000"/>
            </w:tcBorders>
            <w:shd w:fill="FFFFFF" w:val="clear"/>
            <w:tcMar>
              <w:bottom w:w="28" w:type="dxa"/>
            </w:tcMar>
            <w:vAlign w:val="center"/>
          </w:tcPr>
          <w:p>
            <w:pPr>
              <w:pStyle w:val="TableContents"/>
              <w:bidi w:val="0"/>
              <w:spacing w:before="0" w:after="283"/>
              <w:jc w:val="left"/>
              <w:rPr/>
            </w:pPr>
            <w:r>
              <w:rPr/>
              <w:t> </w:t>
            </w:r>
          </w:p>
        </w:tc>
        <w:tc>
          <w:tcPr>
            <w:tcW w:w="980" w:type="dxa"/>
            <w:tcBorders>
              <w:bottom w:val="double" w:sz="10" w:space="0" w:color="000000"/>
            </w:tcBorders>
            <w:shd w:fill="FFFFFF" w:val="clear"/>
            <w:tcMar>
              <w:bottom w:w="28" w:type="dxa"/>
            </w:tcMar>
            <w:vAlign w:val="center"/>
          </w:tcPr>
          <w:p>
            <w:pPr>
              <w:pStyle w:val="TableContents"/>
              <w:bidi w:val="0"/>
              <w:spacing w:before="0" w:after="283"/>
              <w:jc w:val="right"/>
              <w:rPr/>
            </w:pPr>
            <w:r>
              <w:rPr/>
              <w:t>1,005,587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10" w:space="0" w:color="000000"/>
            </w:tcBorders>
            <w:shd w:fill="FFFFFF" w:val="clear"/>
            <w:tcMar>
              <w:bottom w:w="28" w:type="dxa"/>
            </w:tcMar>
            <w:vAlign w:val="center"/>
          </w:tcPr>
          <w:p>
            <w:pPr>
              <w:pStyle w:val="TableContents"/>
              <w:bidi w:val="0"/>
              <w:spacing w:before="0" w:after="283"/>
              <w:jc w:val="left"/>
              <w:rPr/>
            </w:pPr>
            <w:r>
              <w:rPr/>
              <w:t> </w:t>
            </w:r>
          </w:p>
        </w:tc>
        <w:tc>
          <w:tcPr>
            <w:tcW w:w="800" w:type="dxa"/>
            <w:tcBorders>
              <w:bottom w:val="double" w:sz="10" w:space="0" w:color="000000"/>
            </w:tcBorders>
            <w:shd w:fill="FFFFFF" w:val="clear"/>
            <w:tcMar>
              <w:bottom w:w="28" w:type="dxa"/>
            </w:tcMar>
            <w:vAlign w:val="center"/>
          </w:tcPr>
          <w:p>
            <w:pPr>
              <w:pStyle w:val="TableContents"/>
              <w:bidi w:val="0"/>
              <w:spacing w:before="0" w:after="283"/>
              <w:jc w:val="right"/>
              <w:rPr/>
            </w:pPr>
            <w:r>
              <w:rPr/>
              <w:t>978,312</w:t>
            </w:r>
          </w:p>
        </w:tc>
        <w:tc>
          <w:tcPr>
            <w:tcW w:w="92" w:type="dxa"/>
            <w:tcBorders/>
            <w:shd w:fill="FFFFFF" w:val="clear"/>
            <w:vAlign w:val="center"/>
          </w:tcPr>
          <w:p>
            <w:pPr>
              <w:pStyle w:val="TableContents"/>
              <w:bidi w:val="0"/>
              <w:spacing w:before="0" w:after="283"/>
              <w:ind w:left="0" w:right="0" w:hanging="180"/>
              <w:jc w:val="left"/>
              <w:rPr/>
            </w:pPr>
            <w:r>
              <w:rPr/>
              <w:t> </w:t>
            </w:r>
          </w:p>
        </w:tc>
      </w:tr>
      <w:tr>
        <w:trPr/>
        <w:tc>
          <w:tcPr>
            <w:tcW w:w="5867"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859" w:type="dxa"/>
            <w:tcBorders/>
            <w:shd w:fill="CCEEFF" w:val="clear"/>
            <w:vAlign w:val="center"/>
          </w:tcPr>
          <w:p>
            <w:pPr>
              <w:pStyle w:val="TableContents"/>
              <w:bidi w:val="0"/>
              <w:spacing w:before="0" w:after="283"/>
              <w:jc w:val="right"/>
              <w:rPr/>
            </w:pPr>
            <w:r>
              <w:rPr/>
              <w:t> </w:t>
            </w:r>
          </w:p>
        </w:tc>
        <w:tc>
          <w:tcPr>
            <w:tcW w:w="101"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859"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 </w:t>
            </w:r>
          </w:p>
        </w:tc>
        <w:tc>
          <w:tcPr>
            <w:tcW w:w="92" w:type="dxa"/>
            <w:tcBorders/>
            <w:shd w:fill="CCEEFF" w:val="clear"/>
            <w:vAlign w:val="center"/>
          </w:tcPr>
          <w:p>
            <w:pPr>
              <w:pStyle w:val="TableContents"/>
              <w:bidi w:val="0"/>
              <w:spacing w:before="0" w:after="283"/>
              <w:ind w:left="0" w:right="0" w:hanging="180"/>
              <w:jc w:val="left"/>
              <w:rPr/>
            </w:pPr>
            <w:r>
              <w:rPr/>
              <w:t> </w:t>
            </w:r>
          </w:p>
        </w:tc>
      </w:tr>
      <w:tr>
        <w:trPr/>
        <w:tc>
          <w:tcPr>
            <w:tcW w:w="5867" w:type="dxa"/>
            <w:tcBorders/>
            <w:shd w:fill="FFFFFF" w:val="clear"/>
            <w:vAlign w:val="center"/>
          </w:tcPr>
          <w:p>
            <w:pPr>
              <w:pStyle w:val="TableContents"/>
              <w:bidi w:val="0"/>
              <w:spacing w:before="0" w:after="283"/>
              <w:jc w:val="both"/>
              <w:rPr/>
            </w:pPr>
            <w:r>
              <w:rPr/>
              <w:t>Weighted average number of ordinary shares in issue at period end (000’s) on which the per share figures have been calculated</w:t>
            </w:r>
          </w:p>
        </w:tc>
        <w:tc>
          <w:tcPr>
            <w:tcW w:w="60" w:type="dxa"/>
            <w:tcBorders/>
            <w:shd w:fill="FFFFFF" w:val="clear"/>
            <w:vAlign w:val="center"/>
          </w:tcPr>
          <w:p>
            <w:pPr>
              <w:pStyle w:val="TableContents"/>
              <w:bidi w:val="0"/>
              <w:spacing w:before="0" w:after="283"/>
              <w:jc w:val="left"/>
              <w:rPr/>
            </w:pPr>
            <w:r>
              <w:rPr/>
              <w:t> </w:t>
            </w:r>
          </w:p>
        </w:tc>
        <w:tc>
          <w:tcPr>
            <w:tcW w:w="64" w:type="dxa"/>
            <w:tcBorders/>
            <w:shd w:fill="FFFFFF" w:val="clear"/>
            <w:vAlign w:val="center"/>
          </w:tcPr>
          <w:p>
            <w:pPr>
              <w:pStyle w:val="TableContents"/>
              <w:bidi w:val="0"/>
              <w:spacing w:before="0" w:after="283"/>
              <w:jc w:val="left"/>
              <w:rPr/>
            </w:pPr>
            <w:r>
              <w:rPr/>
              <w:t> </w:t>
            </w:r>
          </w:p>
        </w:tc>
        <w:tc>
          <w:tcPr>
            <w:tcW w:w="859" w:type="dxa"/>
            <w:tcBorders/>
            <w:shd w:fill="FFFFFF" w:val="clear"/>
            <w:vAlign w:val="center"/>
          </w:tcPr>
          <w:p>
            <w:pPr>
              <w:pStyle w:val="TableContents"/>
              <w:bidi w:val="0"/>
              <w:spacing w:before="0" w:after="283"/>
              <w:jc w:val="right"/>
              <w:rPr/>
            </w:pPr>
            <w:r>
              <w:rPr/>
              <w:t>30,893</w:t>
            </w:r>
          </w:p>
        </w:tc>
        <w:tc>
          <w:tcPr>
            <w:tcW w:w="101" w:type="dxa"/>
            <w:tcBorders/>
            <w:shd w:fill="FFFFFF" w:val="clear"/>
            <w:vAlign w:val="center"/>
          </w:tcPr>
          <w:p>
            <w:pPr>
              <w:pStyle w:val="TableContents"/>
              <w:bidi w:val="0"/>
              <w:spacing w:before="0" w:after="283"/>
              <w:jc w:val="left"/>
              <w:rPr/>
            </w:pPr>
            <w:r>
              <w:rPr/>
              <w:t> </w:t>
            </w:r>
          </w:p>
        </w:tc>
        <w:tc>
          <w:tcPr>
            <w:tcW w:w="64" w:type="dxa"/>
            <w:tcBorders/>
            <w:shd w:fill="FFFFFF" w:val="clear"/>
            <w:vAlign w:val="center"/>
          </w:tcPr>
          <w:p>
            <w:pPr>
              <w:pStyle w:val="TableContents"/>
              <w:bidi w:val="0"/>
              <w:spacing w:before="0" w:after="283"/>
              <w:jc w:val="left"/>
              <w:rPr/>
            </w:pPr>
            <w:r>
              <w:rPr/>
              <w:t> </w:t>
            </w:r>
          </w:p>
        </w:tc>
        <w:tc>
          <w:tcPr>
            <w:tcW w:w="64" w:type="dxa"/>
            <w:tcBorders/>
            <w:shd w:fill="FFFFFF" w:val="clear"/>
            <w:vAlign w:val="center"/>
          </w:tcPr>
          <w:p>
            <w:pPr>
              <w:pStyle w:val="TableContents"/>
              <w:bidi w:val="0"/>
              <w:spacing w:before="0" w:after="283"/>
              <w:jc w:val="left"/>
              <w:rPr/>
            </w:pPr>
            <w:r>
              <w:rPr/>
              <w:t> </w:t>
            </w:r>
          </w:p>
        </w:tc>
        <w:tc>
          <w:tcPr>
            <w:tcW w:w="859" w:type="dxa"/>
            <w:tcBorders/>
            <w:shd w:fill="FFFFFF" w:val="clear"/>
            <w:vAlign w:val="center"/>
          </w:tcPr>
          <w:p>
            <w:pPr>
              <w:pStyle w:val="TableContents"/>
              <w:bidi w:val="0"/>
              <w:spacing w:before="0" w:after="283"/>
              <w:jc w:val="right"/>
              <w:rPr/>
            </w:pPr>
            <w:r>
              <w:rPr/>
              <w:t>30,893</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30,893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30,895</w:t>
            </w:r>
          </w:p>
        </w:tc>
        <w:tc>
          <w:tcPr>
            <w:tcW w:w="92" w:type="dxa"/>
            <w:tcBorders/>
            <w:shd w:fill="FFFFFF" w:val="clear"/>
            <w:vAlign w:val="center"/>
          </w:tcPr>
          <w:p>
            <w:pPr>
              <w:pStyle w:val="TableContents"/>
              <w:bidi w:val="0"/>
              <w:spacing w:before="0" w:after="283"/>
              <w:ind w:left="0" w:right="0" w:hanging="180"/>
              <w:jc w:val="left"/>
              <w:rPr/>
            </w:pPr>
            <w:r>
              <w:rPr/>
              <w:t> </w:t>
            </w:r>
          </w:p>
        </w:tc>
      </w:tr>
      <w:tr>
        <w:trPr/>
        <w:tc>
          <w:tcPr>
            <w:tcW w:w="5867"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859" w:type="dxa"/>
            <w:tcBorders/>
            <w:shd w:fill="CCEEFF" w:val="clear"/>
            <w:vAlign w:val="center"/>
          </w:tcPr>
          <w:p>
            <w:pPr>
              <w:pStyle w:val="TableContents"/>
              <w:bidi w:val="0"/>
              <w:spacing w:before="0" w:after="283"/>
              <w:jc w:val="right"/>
              <w:rPr/>
            </w:pPr>
            <w:r>
              <w:rPr/>
              <w:t> </w:t>
            </w:r>
          </w:p>
        </w:tc>
        <w:tc>
          <w:tcPr>
            <w:tcW w:w="101"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859"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 </w:t>
            </w:r>
          </w:p>
        </w:tc>
        <w:tc>
          <w:tcPr>
            <w:tcW w:w="92" w:type="dxa"/>
            <w:tcBorders/>
            <w:shd w:fill="CCEEFF" w:val="clear"/>
            <w:vAlign w:val="center"/>
          </w:tcPr>
          <w:p>
            <w:pPr>
              <w:pStyle w:val="TableContents"/>
              <w:bidi w:val="0"/>
              <w:spacing w:before="0" w:after="283"/>
              <w:ind w:left="0" w:right="0" w:hanging="180"/>
              <w:jc w:val="left"/>
              <w:rPr/>
            </w:pPr>
            <w:r>
              <w:rPr/>
              <w:t> </w:t>
            </w:r>
          </w:p>
        </w:tc>
      </w:tr>
      <w:tr>
        <w:trPr/>
        <w:tc>
          <w:tcPr>
            <w:tcW w:w="5867" w:type="dxa"/>
            <w:tcBorders/>
            <w:shd w:fill="FFFFFF" w:val="clear"/>
            <w:vAlign w:val="center"/>
          </w:tcPr>
          <w:p>
            <w:pPr>
              <w:pStyle w:val="TableContents"/>
              <w:bidi w:val="0"/>
              <w:spacing w:before="0" w:after="283"/>
              <w:jc w:val="left"/>
              <w:rPr>
                <w:b/>
              </w:rPr>
            </w:pPr>
            <w:r>
              <w:rPr>
                <w:b/>
              </w:rPr>
              <w:t>Basic and diluted earnings per share</w:t>
            </w:r>
          </w:p>
        </w:tc>
        <w:tc>
          <w:tcPr>
            <w:tcW w:w="60" w:type="dxa"/>
            <w:tcBorders/>
            <w:shd w:fill="FFFFFF" w:val="clear"/>
            <w:vAlign w:val="center"/>
          </w:tcPr>
          <w:p>
            <w:pPr>
              <w:pStyle w:val="TableContents"/>
              <w:bidi w:val="0"/>
              <w:spacing w:before="0" w:after="283"/>
              <w:jc w:val="left"/>
              <w:rPr/>
            </w:pPr>
            <w:r>
              <w:rPr/>
              <w:t> </w:t>
            </w:r>
          </w:p>
        </w:tc>
        <w:tc>
          <w:tcPr>
            <w:tcW w:w="64" w:type="dxa"/>
            <w:tcBorders/>
            <w:shd w:fill="FFFFFF" w:val="clear"/>
            <w:vAlign w:val="center"/>
          </w:tcPr>
          <w:p>
            <w:pPr>
              <w:pStyle w:val="TableContents"/>
              <w:bidi w:val="0"/>
              <w:spacing w:before="0" w:after="283"/>
              <w:jc w:val="left"/>
              <w:rPr/>
            </w:pPr>
            <w:r>
              <w:rPr/>
              <w:t> </w:t>
            </w:r>
          </w:p>
        </w:tc>
        <w:tc>
          <w:tcPr>
            <w:tcW w:w="859" w:type="dxa"/>
            <w:tcBorders/>
            <w:shd w:fill="FFFFFF" w:val="clear"/>
            <w:vAlign w:val="center"/>
          </w:tcPr>
          <w:p>
            <w:pPr>
              <w:pStyle w:val="TableContents"/>
              <w:bidi w:val="0"/>
              <w:spacing w:before="0" w:after="283"/>
              <w:jc w:val="right"/>
              <w:rPr/>
            </w:pPr>
            <w:r>
              <w:rPr/>
              <w:t>7.19</w:t>
            </w:r>
          </w:p>
        </w:tc>
        <w:tc>
          <w:tcPr>
            <w:tcW w:w="101" w:type="dxa"/>
            <w:tcBorders/>
            <w:shd w:fill="FFFFFF" w:val="clear"/>
            <w:vAlign w:val="center"/>
          </w:tcPr>
          <w:p>
            <w:pPr>
              <w:pStyle w:val="TableContents"/>
              <w:bidi w:val="0"/>
              <w:spacing w:before="0" w:after="283"/>
              <w:jc w:val="left"/>
              <w:rPr/>
            </w:pPr>
            <w:r>
              <w:rPr/>
              <w:t> </w:t>
            </w:r>
          </w:p>
        </w:tc>
        <w:tc>
          <w:tcPr>
            <w:tcW w:w="64" w:type="dxa"/>
            <w:tcBorders/>
            <w:shd w:fill="FFFFFF" w:val="clear"/>
            <w:vAlign w:val="center"/>
          </w:tcPr>
          <w:p>
            <w:pPr>
              <w:pStyle w:val="TableContents"/>
              <w:bidi w:val="0"/>
              <w:spacing w:before="0" w:after="283"/>
              <w:jc w:val="left"/>
              <w:rPr/>
            </w:pPr>
            <w:r>
              <w:rPr/>
              <w:t> </w:t>
            </w:r>
          </w:p>
        </w:tc>
        <w:tc>
          <w:tcPr>
            <w:tcW w:w="64" w:type="dxa"/>
            <w:tcBorders/>
            <w:shd w:fill="FFFFFF" w:val="clear"/>
            <w:vAlign w:val="center"/>
          </w:tcPr>
          <w:p>
            <w:pPr>
              <w:pStyle w:val="TableContents"/>
              <w:bidi w:val="0"/>
              <w:spacing w:before="0" w:after="283"/>
              <w:jc w:val="left"/>
              <w:rPr/>
            </w:pPr>
            <w:r>
              <w:rPr/>
              <w:t> </w:t>
            </w:r>
          </w:p>
        </w:tc>
        <w:tc>
          <w:tcPr>
            <w:tcW w:w="859" w:type="dxa"/>
            <w:tcBorders/>
            <w:shd w:fill="FFFFFF" w:val="clear"/>
            <w:vAlign w:val="center"/>
          </w:tcPr>
          <w:p>
            <w:pPr>
              <w:pStyle w:val="TableContents"/>
              <w:bidi w:val="0"/>
              <w:spacing w:before="0" w:after="283"/>
              <w:jc w:val="right"/>
              <w:rPr/>
            </w:pPr>
            <w:r>
              <w:rPr/>
              <w:t>8.11</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32.17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29.81</w:t>
            </w:r>
          </w:p>
        </w:tc>
        <w:tc>
          <w:tcPr>
            <w:tcW w:w="92" w:type="dxa"/>
            <w:tcBorders/>
            <w:shd w:fill="FFFFFF" w:val="clear"/>
            <w:vAlign w:val="center"/>
          </w:tcPr>
          <w:p>
            <w:pPr>
              <w:pStyle w:val="TableContents"/>
              <w:bidi w:val="0"/>
              <w:spacing w:before="0" w:after="283"/>
              <w:ind w:left="0" w:right="0" w:hanging="180"/>
              <w:jc w:val="left"/>
              <w:rPr/>
            </w:pPr>
            <w:r>
              <w:rPr/>
              <w:t> </w:t>
            </w:r>
          </w:p>
        </w:tc>
      </w:tr>
      <w:tr>
        <w:trPr/>
        <w:tc>
          <w:tcPr>
            <w:tcW w:w="5867"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859" w:type="dxa"/>
            <w:tcBorders/>
            <w:shd w:fill="CCEEFF" w:val="clear"/>
            <w:vAlign w:val="center"/>
          </w:tcPr>
          <w:p>
            <w:pPr>
              <w:pStyle w:val="TableContents"/>
              <w:bidi w:val="0"/>
              <w:spacing w:before="0" w:after="283"/>
              <w:jc w:val="right"/>
              <w:rPr/>
            </w:pPr>
            <w:r>
              <w:rPr/>
              <w:t> </w:t>
            </w:r>
          </w:p>
        </w:tc>
        <w:tc>
          <w:tcPr>
            <w:tcW w:w="101"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859"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 </w:t>
            </w:r>
          </w:p>
        </w:tc>
        <w:tc>
          <w:tcPr>
            <w:tcW w:w="92" w:type="dxa"/>
            <w:tcBorders/>
            <w:shd w:fill="CCEEFF" w:val="clear"/>
            <w:vAlign w:val="center"/>
          </w:tcPr>
          <w:p>
            <w:pPr>
              <w:pStyle w:val="TableContents"/>
              <w:bidi w:val="0"/>
              <w:spacing w:before="0" w:after="283"/>
              <w:ind w:left="0" w:right="0" w:hanging="180"/>
              <w:jc w:val="left"/>
              <w:rPr/>
            </w:pPr>
            <w:r>
              <w:rPr/>
              <w:t> </w:t>
            </w:r>
          </w:p>
        </w:tc>
      </w:tr>
      <w:tr>
        <w:trPr/>
        <w:tc>
          <w:tcPr>
            <w:tcW w:w="5867" w:type="dxa"/>
            <w:tcBorders/>
            <w:shd w:fill="FFFFFF" w:val="cle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Adjusted basic and diluted earnings per share</w:t>
            </w:r>
            <w:r>
              <w:rPr>
                <w:rFonts w:ascii="Times New Roman;Times;Serif" w:hAnsi="Times New Roman;Times;Serif"/>
                <w:b/>
                <w:position w:val="7"/>
                <w:sz w:val="16"/>
                <w:sz w:val="20"/>
              </w:rPr>
              <w:t>1</w:t>
            </w:r>
            <w:r>
              <w:rPr>
                <w:rFonts w:ascii="Times New Roman;Times;Serif" w:hAnsi="Times New Roman;Times;Serif"/>
                <w:b/>
                <w:sz w:val="20"/>
              </w:rPr>
              <w:t xml:space="preserve"> </w:t>
            </w:r>
            <w:r>
              <w:rPr>
                <w:rFonts w:ascii="Times New Roman;Times;Serif" w:hAnsi="Times New Roman;Times;Serif"/>
                <w:b w:val="false"/>
                <w:i w:val="false"/>
                <w:caps w:val="false"/>
                <w:smallCaps w:val="false"/>
                <w:sz w:val="20"/>
              </w:rPr>
              <w:t>(a non-IFRS measure)</w:t>
            </w:r>
          </w:p>
        </w:tc>
        <w:tc>
          <w:tcPr>
            <w:tcW w:w="60" w:type="dxa"/>
            <w:tcBorders/>
            <w:shd w:fill="FFFFFF" w:val="clear"/>
            <w:vAlign w:val="center"/>
          </w:tcPr>
          <w:p>
            <w:pPr>
              <w:pStyle w:val="TableContents"/>
              <w:bidi w:val="0"/>
              <w:spacing w:before="0" w:after="283"/>
              <w:jc w:val="left"/>
              <w:rPr/>
            </w:pPr>
            <w:r>
              <w:rPr/>
              <w:t> </w:t>
            </w:r>
          </w:p>
        </w:tc>
        <w:tc>
          <w:tcPr>
            <w:tcW w:w="64" w:type="dxa"/>
            <w:tcBorders/>
            <w:shd w:fill="FFFFFF" w:val="clear"/>
            <w:vAlign w:val="center"/>
          </w:tcPr>
          <w:p>
            <w:pPr>
              <w:pStyle w:val="TableContents"/>
              <w:bidi w:val="0"/>
              <w:spacing w:before="0" w:after="283"/>
              <w:jc w:val="left"/>
              <w:rPr/>
            </w:pPr>
            <w:r>
              <w:rPr/>
              <w:t> </w:t>
            </w:r>
          </w:p>
        </w:tc>
        <w:tc>
          <w:tcPr>
            <w:tcW w:w="859" w:type="dxa"/>
            <w:tcBorders/>
            <w:shd w:fill="FFFFFF" w:val="clear"/>
            <w:vAlign w:val="center"/>
          </w:tcPr>
          <w:p>
            <w:pPr>
              <w:pStyle w:val="TableContents"/>
              <w:bidi w:val="0"/>
              <w:spacing w:before="0" w:after="283"/>
              <w:jc w:val="right"/>
              <w:rPr/>
            </w:pPr>
            <w:r>
              <w:rPr/>
              <w:t>7.18</w:t>
            </w:r>
          </w:p>
        </w:tc>
        <w:tc>
          <w:tcPr>
            <w:tcW w:w="101" w:type="dxa"/>
            <w:tcBorders/>
            <w:shd w:fill="FFFFFF" w:val="clear"/>
            <w:vAlign w:val="center"/>
          </w:tcPr>
          <w:p>
            <w:pPr>
              <w:pStyle w:val="TableContents"/>
              <w:bidi w:val="0"/>
              <w:spacing w:before="0" w:after="283"/>
              <w:jc w:val="left"/>
              <w:rPr/>
            </w:pPr>
            <w:r>
              <w:rPr/>
              <w:t> </w:t>
            </w:r>
          </w:p>
        </w:tc>
        <w:tc>
          <w:tcPr>
            <w:tcW w:w="64" w:type="dxa"/>
            <w:tcBorders/>
            <w:shd w:fill="FFFFFF" w:val="clear"/>
            <w:vAlign w:val="center"/>
          </w:tcPr>
          <w:p>
            <w:pPr>
              <w:pStyle w:val="TableContents"/>
              <w:bidi w:val="0"/>
              <w:spacing w:before="0" w:after="283"/>
              <w:jc w:val="left"/>
              <w:rPr/>
            </w:pPr>
            <w:r>
              <w:rPr/>
              <w:t> </w:t>
            </w:r>
          </w:p>
        </w:tc>
        <w:tc>
          <w:tcPr>
            <w:tcW w:w="64" w:type="dxa"/>
            <w:tcBorders/>
            <w:shd w:fill="FFFFFF" w:val="clear"/>
            <w:vAlign w:val="center"/>
          </w:tcPr>
          <w:p>
            <w:pPr>
              <w:pStyle w:val="TableContents"/>
              <w:bidi w:val="0"/>
              <w:spacing w:before="0" w:after="283"/>
              <w:jc w:val="left"/>
              <w:rPr/>
            </w:pPr>
            <w:r>
              <w:rPr/>
              <w:t> </w:t>
            </w:r>
          </w:p>
        </w:tc>
        <w:tc>
          <w:tcPr>
            <w:tcW w:w="859" w:type="dxa"/>
            <w:tcBorders/>
            <w:shd w:fill="FFFFFF" w:val="clear"/>
            <w:vAlign w:val="center"/>
          </w:tcPr>
          <w:p>
            <w:pPr>
              <w:pStyle w:val="TableContents"/>
              <w:bidi w:val="0"/>
              <w:spacing w:before="0" w:after="283"/>
              <w:jc w:val="right"/>
              <w:rPr/>
            </w:pPr>
            <w:r>
              <w:rPr/>
              <w:t>9.48</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32.55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31.67</w:t>
            </w:r>
          </w:p>
        </w:tc>
        <w:tc>
          <w:tcPr>
            <w:tcW w:w="92"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36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83"/>
        <w:gridCol w:w="10022"/>
      </w:tblGrid>
      <w:tr>
        <w:trPr/>
        <w:tc>
          <w:tcPr>
            <w:tcW w:w="183" w:type="dxa"/>
            <w:tcBorders/>
            <w:vAlign w:val="center"/>
          </w:tcPr>
          <w:p>
            <w:pPr>
              <w:pStyle w:val="TableContents"/>
              <w:bidi w:val="0"/>
              <w:spacing w:before="0" w:after="283"/>
              <w:jc w:val="left"/>
              <w:rPr>
                <w:i/>
              </w:rPr>
            </w:pPr>
            <w:r>
              <w:rPr>
                <w:i/>
              </w:rPr>
              <w:t>1.</w:t>
            </w:r>
          </w:p>
        </w:tc>
        <w:tc>
          <w:tcPr>
            <w:tcW w:w="10022" w:type="dxa"/>
            <w:tcBorders/>
            <w:vAlign w:val="center"/>
          </w:tcPr>
          <w:p>
            <w:pPr>
              <w:pStyle w:val="TableContents"/>
              <w:bidi w:val="0"/>
              <w:spacing w:before="0" w:after="283"/>
              <w:jc w:val="both"/>
              <w:rPr>
                <w:i/>
              </w:rPr>
            </w:pPr>
            <w:r>
              <w:rPr>
                <w:i/>
              </w:rPr>
              <w:t>Adjusted earnings per share, (a non-IFRS measure) is defined as, earnings per share defined by IFRS excluding the impact of specific non-recurring operational expenses as outlined in the reconciliation.</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inclusion of headline earnings per share (“HEPS”), a non-IFRS measure, in this announcement is a requirement of our inward listing on the JSE. Basic and diluted HEPS is calculated using profit attributable to ordinary shareholders which has been determined based on IFRS. Accordingly, this may differ from the headline earnings per share calculation of other companies listed on the JSE as these companies may report their financial results under a different financial reporting framework. Basic or diluted HEPS is calculated using profit attributable to shareholders adjusted for (gain)/loss on disposal of property, plant and equipment divided by the weighted average number of ordinary shares in issue. We have provided a reconciliation between our profit attributable to shareholders used to calculate basic and diluted earnings per share and headline earnings used to calculate the HEPS and have included the weighted average number of shares in issue for the period.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21</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KAROOOOO LTD.</w:t>
        <w:br/>
        <w:t xml:space="preserve">RECONCILIATION OF BASIC AND DILUTED EARNINGS PER SHARE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TO HEADLINE EARNINGS PER SHARE (A NON-IFRS MEASURE)</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(UNAUDITED)</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07"/>
        <w:gridCol w:w="60"/>
        <w:gridCol w:w="64"/>
        <w:gridCol w:w="861"/>
        <w:gridCol w:w="101"/>
        <w:gridCol w:w="64"/>
        <w:gridCol w:w="64"/>
        <w:gridCol w:w="861"/>
        <w:gridCol w:w="95"/>
        <w:gridCol w:w="60"/>
        <w:gridCol w:w="60"/>
        <w:gridCol w:w="800"/>
        <w:gridCol w:w="95"/>
        <w:gridCol w:w="60"/>
        <w:gridCol w:w="60"/>
        <w:gridCol w:w="800"/>
        <w:gridCol w:w="93"/>
      </w:tblGrid>
      <w:tr>
        <w:trPr/>
        <w:tc>
          <w:tcPr>
            <w:tcW w:w="6007"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2015"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Three Months Ended</w:t>
              <w:br/>
              <w:t>February 28,</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75"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 xml:space="preserve">Year Ended </w:t>
              <w:br/>
              <w:t>February 28,</w:t>
            </w:r>
          </w:p>
        </w:tc>
        <w:tc>
          <w:tcPr>
            <w:tcW w:w="93" w:type="dxa"/>
            <w:tcBorders/>
            <w:vAlign w:val="center"/>
          </w:tcPr>
          <w:p>
            <w:pPr>
              <w:pStyle w:val="TableContents"/>
              <w:bidi w:val="0"/>
              <w:spacing w:before="0" w:after="283"/>
              <w:jc w:val="left"/>
              <w:rPr/>
            </w:pPr>
            <w:r>
              <w:rPr/>
              <w:t> </w:t>
            </w:r>
          </w:p>
        </w:tc>
      </w:tr>
      <w:tr>
        <w:trPr/>
        <w:tc>
          <w:tcPr>
            <w:tcW w:w="6007"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92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2026</w:t>
            </w:r>
          </w:p>
        </w:tc>
        <w:tc>
          <w:tcPr>
            <w:tcW w:w="101" w:type="dxa"/>
            <w:tcBorders/>
            <w:vAlign w:val="center"/>
          </w:tcPr>
          <w:p>
            <w:pPr>
              <w:pStyle w:val="TableContents"/>
              <w:bidi w:val="0"/>
              <w:spacing w:before="0" w:after="283"/>
              <w:jc w:val="left"/>
              <w:rPr/>
            </w:pPr>
            <w:r>
              <w:rPr/>
              <w:t> </w:t>
            </w:r>
          </w:p>
        </w:tc>
        <w:tc>
          <w:tcPr>
            <w:tcW w:w="64" w:type="dxa"/>
            <w:tcBorders/>
            <w:vAlign w:val="center"/>
          </w:tcPr>
          <w:p>
            <w:pPr>
              <w:pStyle w:val="TableContents"/>
              <w:bidi w:val="0"/>
              <w:spacing w:before="0" w:after="283"/>
              <w:jc w:val="left"/>
              <w:rPr/>
            </w:pPr>
            <w:r>
              <w:rPr/>
              <w:t> </w:t>
            </w:r>
          </w:p>
        </w:tc>
        <w:tc>
          <w:tcPr>
            <w:tcW w:w="92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2025</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6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2026</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6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2025</w:t>
            </w:r>
          </w:p>
        </w:tc>
        <w:tc>
          <w:tcPr>
            <w:tcW w:w="93" w:type="dxa"/>
            <w:tcBorders/>
            <w:vAlign w:val="center"/>
          </w:tcPr>
          <w:p>
            <w:pPr>
              <w:pStyle w:val="TableContents"/>
              <w:bidi w:val="0"/>
              <w:spacing w:before="0" w:after="283"/>
              <w:jc w:val="left"/>
              <w:rPr/>
            </w:pPr>
            <w:r>
              <w:rPr/>
              <w:t> </w:t>
            </w:r>
          </w:p>
        </w:tc>
      </w:tr>
      <w:tr>
        <w:trPr/>
        <w:tc>
          <w:tcPr>
            <w:tcW w:w="6007"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4045" w:type="dxa"/>
            <w:gridSpan w:val="14"/>
            <w:tcBorders/>
            <w:vAlign w:val="center"/>
          </w:tcPr>
          <w:p>
            <w:pPr>
              <w:pStyle w:val="TableContents"/>
              <w:bidi w:val="0"/>
              <w:spacing w:before="0" w:after="283"/>
              <w:jc w:val="center"/>
              <w:rPr>
                <w:b/>
              </w:rPr>
            </w:pPr>
            <w:r>
              <w:rPr>
                <w:b/>
              </w:rPr>
              <w:t>(Rand Thousands)</w:t>
            </w:r>
          </w:p>
        </w:tc>
        <w:tc>
          <w:tcPr>
            <w:tcW w:w="93" w:type="dxa"/>
            <w:tcBorders/>
            <w:vAlign w:val="center"/>
          </w:tcPr>
          <w:p>
            <w:pPr>
              <w:pStyle w:val="TableContents"/>
              <w:bidi w:val="0"/>
              <w:spacing w:before="0" w:after="283"/>
              <w:ind w:left="0" w:right="0" w:hanging="180"/>
              <w:jc w:val="left"/>
              <w:rPr/>
            </w:pPr>
            <w:r>
              <w:rPr/>
              <w:t> </w:t>
            </w:r>
          </w:p>
        </w:tc>
      </w:tr>
      <w:tr>
        <w:trPr/>
        <w:tc>
          <w:tcPr>
            <w:tcW w:w="6007" w:type="dxa"/>
            <w:tcBorders/>
            <w:vAlign w:val="center"/>
          </w:tcPr>
          <w:p>
            <w:pPr>
              <w:pStyle w:val="TableContents"/>
              <w:bidi w:val="0"/>
              <w:spacing w:before="0" w:after="283"/>
              <w:jc w:val="left"/>
              <w:rPr>
                <w:b/>
              </w:rPr>
            </w:pPr>
            <w:r>
              <w:rPr>
                <w:b/>
              </w:rPr>
              <w:t xml:space="preserve">Reconciliation between basic earnings to headline earnings </w:t>
            </w:r>
            <w:r>
              <w:rPr>
                <w:rFonts w:ascii="Times New Roman;Times;Serif" w:hAnsi="Times New Roman;Times;Serif"/>
                <w:b w:val="false"/>
                <w:i w:val="false"/>
                <w:caps w:val="false"/>
                <w:smallCaps w:val="false"/>
              </w:rPr>
              <w:t>(a non-IFRS measure)</w:t>
            </w:r>
          </w:p>
        </w:tc>
        <w:tc>
          <w:tcPr>
            <w:tcW w:w="60" w:type="dxa"/>
            <w:tcBorders/>
            <w:vAlign w:val="center"/>
          </w:tcPr>
          <w:p>
            <w:pPr>
              <w:pStyle w:val="TableContents"/>
              <w:bidi w:val="0"/>
              <w:spacing w:before="0" w:after="283"/>
              <w:jc w:val="left"/>
              <w:rPr/>
            </w:pPr>
            <w:r>
              <w:rPr/>
              <w:t> </w:t>
            </w:r>
          </w:p>
        </w:tc>
        <w:tc>
          <w:tcPr>
            <w:tcW w:w="925" w:type="dxa"/>
            <w:gridSpan w:val="2"/>
            <w:tcBorders/>
            <w:vAlign w:val="center"/>
          </w:tcPr>
          <w:p>
            <w:pPr>
              <w:pStyle w:val="TableContents"/>
              <w:bidi w:val="0"/>
              <w:spacing w:before="0" w:after="283"/>
              <w:jc w:val="right"/>
              <w:rPr/>
            </w:pPr>
            <w:r>
              <w:rPr/>
              <w:t> </w:t>
            </w:r>
          </w:p>
        </w:tc>
        <w:tc>
          <w:tcPr>
            <w:tcW w:w="101" w:type="dxa"/>
            <w:tcBorders/>
            <w:vAlign w:val="center"/>
          </w:tcPr>
          <w:p>
            <w:pPr>
              <w:pStyle w:val="TableContents"/>
              <w:bidi w:val="0"/>
              <w:spacing w:before="0" w:after="283"/>
              <w:jc w:val="left"/>
              <w:rPr/>
            </w:pPr>
            <w:r>
              <w:rPr/>
              <w:t> </w:t>
            </w:r>
          </w:p>
        </w:tc>
        <w:tc>
          <w:tcPr>
            <w:tcW w:w="64" w:type="dxa"/>
            <w:tcBorders/>
            <w:vAlign w:val="center"/>
          </w:tcPr>
          <w:p>
            <w:pPr>
              <w:pStyle w:val="TableContents"/>
              <w:bidi w:val="0"/>
              <w:spacing w:before="0" w:after="283"/>
              <w:jc w:val="left"/>
              <w:rPr/>
            </w:pPr>
            <w:r>
              <w:rPr/>
              <w:t> </w:t>
            </w:r>
          </w:p>
        </w:tc>
        <w:tc>
          <w:tcPr>
            <w:tcW w:w="925" w:type="dxa"/>
            <w:gridSpan w:val="2"/>
            <w:tcBorders/>
            <w:vAlign w:val="center"/>
          </w:tcPr>
          <w:p>
            <w:pPr>
              <w:pStyle w:val="TableContents"/>
              <w:bidi w:val="0"/>
              <w:spacing w:before="0" w:after="283"/>
              <w:jc w:val="righ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60" w:type="dxa"/>
            <w:gridSpan w:val="2"/>
            <w:tcBorders/>
            <w:vAlign w:val="center"/>
          </w:tcPr>
          <w:p>
            <w:pPr>
              <w:pStyle w:val="TableContents"/>
              <w:bidi w:val="0"/>
              <w:spacing w:before="0" w:after="283"/>
              <w:jc w:val="righ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60" w:type="dxa"/>
            <w:gridSpan w:val="2"/>
            <w:tcBorders/>
            <w:vAlign w:val="center"/>
          </w:tcPr>
          <w:p>
            <w:pPr>
              <w:pStyle w:val="TableContents"/>
              <w:bidi w:val="0"/>
              <w:spacing w:before="0" w:after="283"/>
              <w:jc w:val="right"/>
              <w:rPr/>
            </w:pPr>
            <w:r>
              <w:rPr/>
              <w:t> </w:t>
            </w:r>
          </w:p>
        </w:tc>
        <w:tc>
          <w:tcPr>
            <w:tcW w:w="93" w:type="dxa"/>
            <w:tcBorders/>
            <w:vAlign w:val="center"/>
          </w:tcPr>
          <w:p>
            <w:pPr>
              <w:pStyle w:val="TableContents"/>
              <w:bidi w:val="0"/>
              <w:spacing w:before="0" w:after="283"/>
              <w:ind w:left="0" w:right="0" w:hanging="180"/>
              <w:jc w:val="left"/>
              <w:rPr/>
            </w:pPr>
            <w:r>
              <w:rPr/>
              <w:t> </w:t>
            </w:r>
          </w:p>
        </w:tc>
      </w:tr>
      <w:tr>
        <w:trPr/>
        <w:tc>
          <w:tcPr>
            <w:tcW w:w="6007" w:type="dxa"/>
            <w:tcBorders/>
            <w:shd w:fill="CCEEFF" w:val="clear"/>
            <w:vAlign w:val="center"/>
          </w:tcPr>
          <w:p>
            <w:pPr>
              <w:pStyle w:val="TableContents"/>
              <w:bidi w:val="0"/>
              <w:spacing w:before="0" w:after="283"/>
              <w:jc w:val="left"/>
              <w:rPr>
                <w:b/>
              </w:rPr>
            </w:pPr>
            <w:r>
              <w:rPr>
                <w:b/>
              </w:rPr>
              <w:t>Profit attributable to ordinary shareholders</w:t>
            </w:r>
          </w:p>
        </w:tc>
        <w:tc>
          <w:tcPr>
            <w:tcW w:w="60"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861" w:type="dxa"/>
            <w:tcBorders/>
            <w:shd w:fill="CCEEFF" w:val="clear"/>
            <w:vAlign w:val="center"/>
          </w:tcPr>
          <w:p>
            <w:pPr>
              <w:pStyle w:val="TableContents"/>
              <w:bidi w:val="0"/>
              <w:spacing w:before="0" w:after="283"/>
              <w:jc w:val="right"/>
              <w:rPr/>
            </w:pPr>
            <w:r>
              <w:rPr/>
              <w:t>222,140</w:t>
            </w:r>
          </w:p>
        </w:tc>
        <w:tc>
          <w:tcPr>
            <w:tcW w:w="101"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861" w:type="dxa"/>
            <w:tcBorders/>
            <w:shd w:fill="CCEEFF" w:val="clear"/>
            <w:vAlign w:val="center"/>
          </w:tcPr>
          <w:p>
            <w:pPr>
              <w:pStyle w:val="TableContents"/>
              <w:bidi w:val="0"/>
              <w:spacing w:before="0" w:after="283"/>
              <w:jc w:val="right"/>
              <w:rPr/>
            </w:pPr>
            <w:r>
              <w:rPr/>
              <w:t>250,640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993,920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921,031</w:t>
            </w:r>
          </w:p>
        </w:tc>
        <w:tc>
          <w:tcPr>
            <w:tcW w:w="93" w:type="dxa"/>
            <w:tcBorders/>
            <w:shd w:fill="CCEEFF" w:val="clear"/>
            <w:vAlign w:val="center"/>
          </w:tcPr>
          <w:p>
            <w:pPr>
              <w:pStyle w:val="TableContents"/>
              <w:bidi w:val="0"/>
              <w:spacing w:before="0" w:after="283"/>
              <w:ind w:left="0" w:right="0" w:hanging="180"/>
              <w:jc w:val="left"/>
              <w:rPr/>
            </w:pPr>
            <w:r>
              <w:rPr/>
              <w:t> </w:t>
            </w:r>
          </w:p>
        </w:tc>
      </w:tr>
      <w:tr>
        <w:trPr/>
        <w:tc>
          <w:tcPr>
            <w:tcW w:w="6007" w:type="dxa"/>
            <w:tcBorders/>
            <w:shd w:fill="FFFFFF" w:val="clear"/>
            <w:vAlign w:val="center"/>
          </w:tcPr>
          <w:p>
            <w:pPr>
              <w:pStyle w:val="TableContents"/>
              <w:bidi w:val="0"/>
              <w:spacing w:before="0" w:after="283"/>
              <w:jc w:val="left"/>
              <w:rPr/>
            </w:pPr>
            <w:r>
              <w:rPr/>
              <w:t>Adjust for:</w:t>
            </w:r>
          </w:p>
        </w:tc>
        <w:tc>
          <w:tcPr>
            <w:tcW w:w="60" w:type="dxa"/>
            <w:tcBorders/>
            <w:shd w:fill="FFFFFF" w:val="clear"/>
            <w:vAlign w:val="center"/>
          </w:tcPr>
          <w:p>
            <w:pPr>
              <w:pStyle w:val="TableContents"/>
              <w:bidi w:val="0"/>
              <w:spacing w:before="0" w:after="283"/>
              <w:jc w:val="left"/>
              <w:rPr/>
            </w:pPr>
            <w:r>
              <w:rPr/>
              <w:t> </w:t>
            </w:r>
          </w:p>
        </w:tc>
        <w:tc>
          <w:tcPr>
            <w:tcW w:w="64" w:type="dxa"/>
            <w:tcBorders/>
            <w:shd w:fill="FFFFFF" w:val="clear"/>
            <w:vAlign w:val="center"/>
          </w:tcPr>
          <w:p>
            <w:pPr>
              <w:pStyle w:val="TableContents"/>
              <w:bidi w:val="0"/>
              <w:spacing w:before="0" w:after="283"/>
              <w:jc w:val="left"/>
              <w:rPr/>
            </w:pPr>
            <w:r>
              <w:rPr/>
              <w:t> </w:t>
            </w:r>
          </w:p>
        </w:tc>
        <w:tc>
          <w:tcPr>
            <w:tcW w:w="861" w:type="dxa"/>
            <w:tcBorders/>
            <w:shd w:fill="FFFFFF" w:val="clear"/>
            <w:vAlign w:val="center"/>
          </w:tcPr>
          <w:p>
            <w:pPr>
              <w:pStyle w:val="TableContents"/>
              <w:bidi w:val="0"/>
              <w:spacing w:before="0" w:after="283"/>
              <w:jc w:val="right"/>
              <w:rPr/>
            </w:pPr>
            <w:r>
              <w:rPr/>
              <w:t> </w:t>
            </w:r>
          </w:p>
        </w:tc>
        <w:tc>
          <w:tcPr>
            <w:tcW w:w="101" w:type="dxa"/>
            <w:tcBorders/>
            <w:shd w:fill="FFFFFF" w:val="clear"/>
            <w:vAlign w:val="center"/>
          </w:tcPr>
          <w:p>
            <w:pPr>
              <w:pStyle w:val="TableContents"/>
              <w:bidi w:val="0"/>
              <w:spacing w:before="0" w:after="283"/>
              <w:jc w:val="left"/>
              <w:rPr/>
            </w:pPr>
            <w:r>
              <w:rPr/>
              <w:t> </w:t>
            </w:r>
          </w:p>
        </w:tc>
        <w:tc>
          <w:tcPr>
            <w:tcW w:w="64" w:type="dxa"/>
            <w:tcBorders/>
            <w:shd w:fill="FFFFFF" w:val="clear"/>
            <w:vAlign w:val="center"/>
          </w:tcPr>
          <w:p>
            <w:pPr>
              <w:pStyle w:val="TableContents"/>
              <w:bidi w:val="0"/>
              <w:spacing w:before="0" w:after="283"/>
              <w:jc w:val="left"/>
              <w:rPr/>
            </w:pPr>
            <w:r>
              <w:rPr/>
              <w:t> </w:t>
            </w:r>
          </w:p>
        </w:tc>
        <w:tc>
          <w:tcPr>
            <w:tcW w:w="64" w:type="dxa"/>
            <w:tcBorders/>
            <w:shd w:fill="FFFFFF" w:val="clear"/>
            <w:vAlign w:val="center"/>
          </w:tcPr>
          <w:p>
            <w:pPr>
              <w:pStyle w:val="TableContents"/>
              <w:bidi w:val="0"/>
              <w:spacing w:before="0" w:after="283"/>
              <w:jc w:val="left"/>
              <w:rPr/>
            </w:pPr>
            <w:r>
              <w:rPr/>
              <w:t> </w:t>
            </w:r>
          </w:p>
        </w:tc>
        <w:tc>
          <w:tcPr>
            <w:tcW w:w="861"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 </w:t>
            </w:r>
          </w:p>
        </w:tc>
        <w:tc>
          <w:tcPr>
            <w:tcW w:w="93" w:type="dxa"/>
            <w:tcBorders/>
            <w:shd w:fill="FFFFFF" w:val="clear"/>
            <w:vAlign w:val="center"/>
          </w:tcPr>
          <w:p>
            <w:pPr>
              <w:pStyle w:val="TableContents"/>
              <w:bidi w:val="0"/>
              <w:spacing w:before="0" w:after="283"/>
              <w:ind w:left="0" w:right="0" w:hanging="180"/>
              <w:jc w:val="left"/>
              <w:rPr/>
            </w:pPr>
            <w:r>
              <w:rPr/>
              <w:t> </w:t>
            </w:r>
          </w:p>
        </w:tc>
      </w:tr>
      <w:tr>
        <w:trPr/>
        <w:tc>
          <w:tcPr>
            <w:tcW w:w="6007" w:type="dxa"/>
            <w:tcBorders/>
            <w:shd w:fill="CCEEFF" w:val="clear"/>
            <w:vAlign w:val="center"/>
          </w:tcPr>
          <w:p>
            <w:pPr>
              <w:pStyle w:val="TableContents"/>
              <w:bidi w:val="0"/>
              <w:spacing w:before="0" w:after="283"/>
              <w:jc w:val="left"/>
              <w:rPr/>
            </w:pPr>
            <w:r>
              <w:rPr/>
              <w:t>Loss/(Gain) on disposal of property, plant and equipment</w:t>
            </w:r>
          </w:p>
        </w:tc>
        <w:tc>
          <w:tcPr>
            <w:tcW w:w="60"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861" w:type="dxa"/>
            <w:tcBorders/>
            <w:shd w:fill="CCEEFF" w:val="clear"/>
            <w:vAlign w:val="center"/>
          </w:tcPr>
          <w:p>
            <w:pPr>
              <w:pStyle w:val="TableContents"/>
              <w:bidi w:val="0"/>
              <w:spacing w:before="0" w:after="283"/>
              <w:jc w:val="right"/>
              <w:rPr/>
            </w:pPr>
            <w:r>
              <w:rPr/>
              <w:t>(837</w:t>
            </w:r>
          </w:p>
        </w:tc>
        <w:tc>
          <w:tcPr>
            <w:tcW w:w="101" w:type="dxa"/>
            <w:tcBorders/>
            <w:shd w:fill="CCEEFF" w:val="clear"/>
            <w:vAlign w:val="center"/>
          </w:tcPr>
          <w:p>
            <w:pPr>
              <w:pStyle w:val="TableContents"/>
              <w:bidi w:val="0"/>
              <w:spacing w:before="0" w:after="283"/>
              <w:jc w:val="left"/>
              <w:rPr/>
            </w:pPr>
            <w:r>
              <w:rPr/>
              <w:t>)</w:t>
            </w:r>
          </w:p>
        </w:tc>
        <w:tc>
          <w:tcPr>
            <w:tcW w:w="64"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861" w:type="dxa"/>
            <w:tcBorders/>
            <w:shd w:fill="CCEEFF" w:val="clear"/>
            <w:vAlign w:val="center"/>
          </w:tcPr>
          <w:p>
            <w:pPr>
              <w:pStyle w:val="TableContents"/>
              <w:bidi w:val="0"/>
              <w:spacing w:before="0" w:after="283"/>
              <w:jc w:val="right"/>
              <w:rPr/>
            </w:pPr>
            <w:r>
              <w:rPr/>
              <w:t>1,306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(3,040</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576</w:t>
            </w:r>
          </w:p>
        </w:tc>
        <w:tc>
          <w:tcPr>
            <w:tcW w:w="93" w:type="dxa"/>
            <w:tcBorders/>
            <w:shd w:fill="CCEEFF" w:val="clear"/>
            <w:vAlign w:val="center"/>
          </w:tcPr>
          <w:p>
            <w:pPr>
              <w:pStyle w:val="TableContents"/>
              <w:bidi w:val="0"/>
              <w:spacing w:before="0" w:after="283"/>
              <w:ind w:left="0" w:right="0" w:hanging="180"/>
              <w:jc w:val="left"/>
              <w:rPr/>
            </w:pPr>
            <w:r>
              <w:rPr/>
              <w:t> </w:t>
            </w:r>
          </w:p>
        </w:tc>
      </w:tr>
      <w:tr>
        <w:trPr/>
        <w:tc>
          <w:tcPr>
            <w:tcW w:w="6007" w:type="dxa"/>
            <w:tcBorders/>
            <w:shd w:fill="FFFFFF" w:val="clear"/>
            <w:vAlign w:val="center"/>
          </w:tcPr>
          <w:p>
            <w:pPr>
              <w:pStyle w:val="TableContents"/>
              <w:bidi w:val="0"/>
              <w:spacing w:before="0" w:after="283"/>
              <w:jc w:val="left"/>
              <w:rPr/>
            </w:pPr>
            <w:r>
              <w:rPr/>
              <w:t>Impairment of goodwill</w:t>
            </w:r>
          </w:p>
        </w:tc>
        <w:tc>
          <w:tcPr>
            <w:tcW w:w="60" w:type="dxa"/>
            <w:tcBorders/>
            <w:shd w:fill="FFFFFF" w:val="clear"/>
            <w:vAlign w:val="center"/>
          </w:tcPr>
          <w:p>
            <w:pPr>
              <w:pStyle w:val="TableContents"/>
              <w:bidi w:val="0"/>
              <w:spacing w:before="0" w:after="283"/>
              <w:jc w:val="left"/>
              <w:rPr/>
            </w:pPr>
            <w:r>
              <w:rPr/>
              <w:t> </w:t>
            </w:r>
          </w:p>
        </w:tc>
        <w:tc>
          <w:tcPr>
            <w:tcW w:w="64" w:type="dxa"/>
            <w:tcBorders/>
            <w:shd w:fill="FFFFFF" w:val="clear"/>
            <w:vAlign w:val="center"/>
          </w:tcPr>
          <w:p>
            <w:pPr>
              <w:pStyle w:val="TableContents"/>
              <w:bidi w:val="0"/>
              <w:spacing w:before="0" w:after="283"/>
              <w:jc w:val="left"/>
              <w:rPr/>
            </w:pPr>
            <w:r>
              <w:rPr/>
              <w:t> </w:t>
            </w:r>
          </w:p>
        </w:tc>
        <w:tc>
          <w:tcPr>
            <w:tcW w:w="861" w:type="dxa"/>
            <w:tcBorders/>
            <w:shd w:fill="FFFFFF" w:val="clear"/>
            <w:vAlign w:val="center"/>
          </w:tcPr>
          <w:p>
            <w:pPr>
              <w:pStyle w:val="TableContents"/>
              <w:bidi w:val="0"/>
              <w:spacing w:before="0" w:after="283"/>
              <w:jc w:val="right"/>
              <w:rPr/>
            </w:pPr>
            <w:r>
              <w:rPr/>
              <w:t>-</w:t>
            </w:r>
          </w:p>
        </w:tc>
        <w:tc>
          <w:tcPr>
            <w:tcW w:w="101" w:type="dxa"/>
            <w:tcBorders/>
            <w:shd w:fill="FFFFFF" w:val="clear"/>
            <w:vAlign w:val="center"/>
          </w:tcPr>
          <w:p>
            <w:pPr>
              <w:pStyle w:val="TableContents"/>
              <w:bidi w:val="0"/>
              <w:spacing w:before="0" w:after="283"/>
              <w:jc w:val="left"/>
              <w:rPr/>
            </w:pPr>
            <w:r>
              <w:rPr/>
              <w:t> </w:t>
            </w:r>
          </w:p>
        </w:tc>
        <w:tc>
          <w:tcPr>
            <w:tcW w:w="64" w:type="dxa"/>
            <w:tcBorders/>
            <w:shd w:fill="FFFFFF" w:val="clear"/>
            <w:vAlign w:val="center"/>
          </w:tcPr>
          <w:p>
            <w:pPr>
              <w:pStyle w:val="TableContents"/>
              <w:bidi w:val="0"/>
              <w:spacing w:before="0" w:after="283"/>
              <w:jc w:val="left"/>
              <w:rPr/>
            </w:pPr>
            <w:r>
              <w:rPr/>
              <w:t> </w:t>
            </w:r>
          </w:p>
        </w:tc>
        <w:tc>
          <w:tcPr>
            <w:tcW w:w="64" w:type="dxa"/>
            <w:tcBorders/>
            <w:shd w:fill="FFFFFF" w:val="clear"/>
            <w:vAlign w:val="center"/>
          </w:tcPr>
          <w:p>
            <w:pPr>
              <w:pStyle w:val="TableContents"/>
              <w:bidi w:val="0"/>
              <w:spacing w:before="0" w:after="283"/>
              <w:jc w:val="left"/>
              <w:rPr/>
            </w:pPr>
            <w:r>
              <w:rPr/>
              <w:t> </w:t>
            </w:r>
          </w:p>
        </w:tc>
        <w:tc>
          <w:tcPr>
            <w:tcW w:w="861" w:type="dxa"/>
            <w:tcBorders/>
            <w:shd w:fill="FFFFFF" w:val="clear"/>
            <w:vAlign w:val="center"/>
          </w:tcPr>
          <w:p>
            <w:pPr>
              <w:pStyle w:val="TableContents"/>
              <w:bidi w:val="0"/>
              <w:spacing w:before="0" w:after="283"/>
              <w:jc w:val="right"/>
              <w:rPr/>
            </w:pPr>
            <w:r>
              <w:rPr/>
              <w:t>43,600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43,600</w:t>
            </w:r>
          </w:p>
        </w:tc>
        <w:tc>
          <w:tcPr>
            <w:tcW w:w="93" w:type="dxa"/>
            <w:tcBorders/>
            <w:shd w:fill="FFFFFF" w:val="clear"/>
            <w:vAlign w:val="center"/>
          </w:tcPr>
          <w:p>
            <w:pPr>
              <w:pStyle w:val="TableContents"/>
              <w:bidi w:val="0"/>
              <w:spacing w:before="0" w:after="283"/>
              <w:ind w:left="0" w:right="0" w:hanging="180"/>
              <w:jc w:val="left"/>
              <w:rPr/>
            </w:pPr>
            <w:r>
              <w:rPr/>
              <w:t> </w:t>
            </w:r>
          </w:p>
        </w:tc>
      </w:tr>
      <w:tr>
        <w:trPr/>
        <w:tc>
          <w:tcPr>
            <w:tcW w:w="6007" w:type="dxa"/>
            <w:tcBorders/>
            <w:shd w:fill="CCEEFF" w:val="clear"/>
            <w:vAlign w:val="center"/>
          </w:tcPr>
          <w:p>
            <w:pPr>
              <w:pStyle w:val="TableContents"/>
              <w:bidi w:val="0"/>
              <w:spacing w:before="0" w:after="283"/>
              <w:jc w:val="left"/>
              <w:rPr/>
            </w:pPr>
            <w:r>
              <w:rPr/>
              <w:t>Gain on disposal of subsidiaries</w:t>
            </w:r>
          </w:p>
        </w:tc>
        <w:tc>
          <w:tcPr>
            <w:tcW w:w="60"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861" w:type="dxa"/>
            <w:tcBorders/>
            <w:shd w:fill="CCEEFF" w:val="clear"/>
            <w:vAlign w:val="center"/>
          </w:tcPr>
          <w:p>
            <w:pPr>
              <w:pStyle w:val="TableContents"/>
              <w:bidi w:val="0"/>
              <w:spacing w:before="0" w:after="283"/>
              <w:jc w:val="right"/>
              <w:rPr/>
            </w:pPr>
            <w:r>
              <w:rPr/>
              <w:t>-</w:t>
            </w:r>
          </w:p>
        </w:tc>
        <w:tc>
          <w:tcPr>
            <w:tcW w:w="101"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861" w:type="dxa"/>
            <w:tcBorders/>
            <w:shd w:fill="CCEEFF" w:val="clear"/>
            <w:vAlign w:val="center"/>
          </w:tcPr>
          <w:p>
            <w:pPr>
              <w:pStyle w:val="TableContents"/>
              <w:bidi w:val="0"/>
              <w:spacing w:before="0" w:after="283"/>
              <w:jc w:val="right"/>
              <w:rPr/>
            </w:pPr>
            <w:r>
              <w:rPr/>
              <w:t>(1,432</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(1,432</w:t>
            </w:r>
          </w:p>
        </w:tc>
        <w:tc>
          <w:tcPr>
            <w:tcW w:w="93" w:type="dxa"/>
            <w:tcBorders/>
            <w:shd w:fill="CCEEFF" w:val="clear"/>
            <w:vAlign w:val="center"/>
          </w:tcPr>
          <w:p>
            <w:pPr>
              <w:pStyle w:val="TableContents"/>
              <w:bidi w:val="0"/>
              <w:spacing w:before="0" w:after="283"/>
              <w:ind w:left="0" w:right="0" w:hanging="180"/>
              <w:jc w:val="left"/>
              <w:rPr/>
            </w:pPr>
            <w:r>
              <w:rPr/>
              <w:t>)</w:t>
            </w:r>
          </w:p>
        </w:tc>
      </w:tr>
      <w:tr>
        <w:trPr/>
        <w:tc>
          <w:tcPr>
            <w:tcW w:w="6007" w:type="dxa"/>
            <w:tcBorders/>
            <w:shd w:fill="FFFFFF" w:val="clear"/>
            <w:vAlign w:val="center"/>
          </w:tcPr>
          <w:p>
            <w:pPr>
              <w:pStyle w:val="TableContents"/>
              <w:bidi w:val="0"/>
              <w:spacing w:before="0" w:after="283"/>
              <w:jc w:val="left"/>
              <w:rPr/>
            </w:pPr>
            <w:r>
              <w:rPr/>
              <w:t>Tax effect on (gain)/loss on disposal of property, plant and equipment</w:t>
            </w:r>
          </w:p>
        </w:tc>
        <w:tc>
          <w:tcPr>
            <w:tcW w:w="60" w:type="dxa"/>
            <w:tcBorders/>
            <w:shd w:fill="FFFFFF" w:val="clear"/>
            <w:vAlign w:val="center"/>
          </w:tcPr>
          <w:p>
            <w:pPr>
              <w:pStyle w:val="TableContents"/>
              <w:bidi w:val="0"/>
              <w:spacing w:before="0" w:after="283"/>
              <w:jc w:val="left"/>
              <w:rPr/>
            </w:pPr>
            <w:r>
              <w:rPr/>
              <w:t> </w:t>
            </w:r>
          </w:p>
        </w:tc>
        <w:tc>
          <w:tcPr>
            <w:tcW w:w="64"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861" w:type="dxa"/>
            <w:tcBorders>
              <w:bottom w:val="single" w:sz="12" w:space="0" w:color="000000"/>
            </w:tcBorders>
            <w:shd w:fill="FFFFFF" w:val="clear"/>
            <w:tcMar>
              <w:bottom w:w="28" w:type="dxa"/>
            </w:tcMar>
            <w:vAlign w:val="center"/>
          </w:tcPr>
          <w:p>
            <w:pPr>
              <w:pStyle w:val="TableContents"/>
              <w:bidi w:val="0"/>
              <w:spacing w:before="0" w:after="283"/>
              <w:jc w:val="right"/>
              <w:rPr/>
            </w:pPr>
            <w:r>
              <w:rPr/>
              <w:t>226</w:t>
            </w:r>
          </w:p>
        </w:tc>
        <w:tc>
          <w:tcPr>
            <w:tcW w:w="101" w:type="dxa"/>
            <w:tcBorders/>
            <w:shd w:fill="FFFFFF" w:val="clear"/>
            <w:vAlign w:val="center"/>
          </w:tcPr>
          <w:p>
            <w:pPr>
              <w:pStyle w:val="TableContents"/>
              <w:bidi w:val="0"/>
              <w:spacing w:before="0" w:after="283"/>
              <w:jc w:val="left"/>
              <w:rPr/>
            </w:pPr>
            <w:r>
              <w:rPr/>
              <w:t> </w:t>
            </w:r>
          </w:p>
        </w:tc>
        <w:tc>
          <w:tcPr>
            <w:tcW w:w="64" w:type="dxa"/>
            <w:tcBorders/>
            <w:shd w:fill="FFFFFF" w:val="clear"/>
            <w:vAlign w:val="center"/>
          </w:tcPr>
          <w:p>
            <w:pPr>
              <w:pStyle w:val="TableContents"/>
              <w:bidi w:val="0"/>
              <w:spacing w:before="0" w:after="283"/>
              <w:jc w:val="left"/>
              <w:rPr/>
            </w:pPr>
            <w:r>
              <w:rPr/>
              <w:t> </w:t>
            </w:r>
          </w:p>
        </w:tc>
        <w:tc>
          <w:tcPr>
            <w:tcW w:w="64"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861" w:type="dxa"/>
            <w:tcBorders>
              <w:bottom w:val="single" w:sz="12" w:space="0" w:color="000000"/>
            </w:tcBorders>
            <w:shd w:fill="FFFFFF" w:val="clear"/>
            <w:tcMar>
              <w:bottom w:w="28" w:type="dxa"/>
            </w:tcMar>
            <w:vAlign w:val="center"/>
          </w:tcPr>
          <w:p>
            <w:pPr>
              <w:pStyle w:val="TableContents"/>
              <w:bidi w:val="0"/>
              <w:spacing w:before="0" w:after="283"/>
              <w:jc w:val="right"/>
              <w:rPr/>
            </w:pPr>
            <w:r>
              <w:rPr/>
              <w:t>(371</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800" w:type="dxa"/>
            <w:tcBorders>
              <w:bottom w:val="single" w:sz="12" w:space="0" w:color="000000"/>
            </w:tcBorders>
            <w:shd w:fill="FFFFFF" w:val="clear"/>
            <w:tcMar>
              <w:bottom w:w="28" w:type="dxa"/>
            </w:tcMar>
            <w:vAlign w:val="center"/>
          </w:tcPr>
          <w:p>
            <w:pPr>
              <w:pStyle w:val="TableContents"/>
              <w:bidi w:val="0"/>
              <w:spacing w:before="0" w:after="283"/>
              <w:jc w:val="right"/>
              <w:rPr/>
            </w:pPr>
            <w:r>
              <w:rPr/>
              <w:t>820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800" w:type="dxa"/>
            <w:tcBorders>
              <w:bottom w:val="single" w:sz="12" w:space="0" w:color="000000"/>
            </w:tcBorders>
            <w:shd w:fill="FFFFFF" w:val="clear"/>
            <w:tcMar>
              <w:bottom w:w="28" w:type="dxa"/>
            </w:tcMar>
            <w:vAlign w:val="center"/>
          </w:tcPr>
          <w:p>
            <w:pPr>
              <w:pStyle w:val="TableContents"/>
              <w:bidi w:val="0"/>
              <w:spacing w:before="0" w:after="283"/>
              <w:jc w:val="right"/>
              <w:rPr/>
            </w:pPr>
            <w:r>
              <w:rPr/>
              <w:t>(175</w:t>
            </w:r>
          </w:p>
        </w:tc>
        <w:tc>
          <w:tcPr>
            <w:tcW w:w="93" w:type="dxa"/>
            <w:tcBorders/>
            <w:shd w:fill="FFFFFF" w:val="clear"/>
            <w:vAlign w:val="center"/>
          </w:tcPr>
          <w:p>
            <w:pPr>
              <w:pStyle w:val="TableContents"/>
              <w:bidi w:val="0"/>
              <w:spacing w:before="0" w:after="283"/>
              <w:ind w:left="0" w:right="0" w:hanging="180"/>
              <w:jc w:val="left"/>
              <w:rPr/>
            </w:pPr>
            <w:r>
              <w:rPr/>
              <w:t>)</w:t>
            </w:r>
          </w:p>
        </w:tc>
      </w:tr>
      <w:tr>
        <w:trPr/>
        <w:tc>
          <w:tcPr>
            <w:tcW w:w="6007" w:type="dxa"/>
            <w:tcBorders/>
            <w:shd w:fill="CCEEFF" w:val="clear"/>
            <w:vAlign w:val="center"/>
          </w:tcPr>
          <w:p>
            <w:pPr>
              <w:pStyle w:val="TableContents"/>
              <w:bidi w:val="0"/>
              <w:spacing w:before="0" w:after="283"/>
              <w:jc w:val="left"/>
              <w:rPr>
                <w:b/>
              </w:rPr>
            </w:pPr>
            <w:r>
              <w:rPr>
                <w:b/>
              </w:rPr>
              <w:t xml:space="preserve">Headline earnings </w:t>
            </w:r>
            <w:r>
              <w:rPr>
                <w:b w:val="false"/>
                <w:i w:val="false"/>
                <w:caps w:val="false"/>
                <w:smallCaps w:val="false"/>
              </w:rPr>
              <w:t>(a non-IFRS measure)</w:t>
            </w:r>
          </w:p>
        </w:tc>
        <w:tc>
          <w:tcPr>
            <w:tcW w:w="60" w:type="dxa"/>
            <w:tcBorders/>
            <w:shd w:fill="CCEEFF" w:val="clear"/>
            <w:vAlign w:val="center"/>
          </w:tcPr>
          <w:p>
            <w:pPr>
              <w:pStyle w:val="TableContents"/>
              <w:bidi w:val="0"/>
              <w:spacing w:before="0" w:after="283"/>
              <w:jc w:val="left"/>
              <w:rPr/>
            </w:pPr>
            <w:r>
              <w:rPr/>
              <w:t> </w:t>
            </w:r>
          </w:p>
        </w:tc>
        <w:tc>
          <w:tcPr>
            <w:tcW w:w="64"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861" w:type="dxa"/>
            <w:tcBorders>
              <w:bottom w:val="double" w:sz="10" w:space="0" w:color="000000"/>
            </w:tcBorders>
            <w:shd w:fill="CCEEFF" w:val="clear"/>
            <w:tcMar>
              <w:bottom w:w="28" w:type="dxa"/>
            </w:tcMar>
            <w:vAlign w:val="center"/>
          </w:tcPr>
          <w:p>
            <w:pPr>
              <w:pStyle w:val="TableContents"/>
              <w:bidi w:val="0"/>
              <w:spacing w:before="0" w:after="283"/>
              <w:jc w:val="right"/>
              <w:rPr/>
            </w:pPr>
            <w:r>
              <w:rPr/>
              <w:t>221,529</w:t>
            </w:r>
          </w:p>
        </w:tc>
        <w:tc>
          <w:tcPr>
            <w:tcW w:w="101"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64"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861" w:type="dxa"/>
            <w:tcBorders>
              <w:bottom w:val="double" w:sz="10" w:space="0" w:color="000000"/>
            </w:tcBorders>
            <w:shd w:fill="CCEEFF" w:val="clear"/>
            <w:tcMar>
              <w:bottom w:w="28" w:type="dxa"/>
            </w:tcMar>
            <w:vAlign w:val="center"/>
          </w:tcPr>
          <w:p>
            <w:pPr>
              <w:pStyle w:val="TableContents"/>
              <w:bidi w:val="0"/>
              <w:spacing w:before="0" w:after="283"/>
              <w:jc w:val="right"/>
              <w:rPr/>
            </w:pPr>
            <w:r>
              <w:rPr/>
              <w:t>293,743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800" w:type="dxa"/>
            <w:tcBorders>
              <w:bottom w:val="double" w:sz="10" w:space="0" w:color="000000"/>
            </w:tcBorders>
            <w:shd w:fill="CCEEFF" w:val="clear"/>
            <w:tcMar>
              <w:bottom w:w="28" w:type="dxa"/>
            </w:tcMar>
            <w:vAlign w:val="center"/>
          </w:tcPr>
          <w:p>
            <w:pPr>
              <w:pStyle w:val="TableContents"/>
              <w:bidi w:val="0"/>
              <w:spacing w:before="0" w:after="283"/>
              <w:jc w:val="right"/>
              <w:rPr/>
            </w:pPr>
            <w:r>
              <w:rPr/>
              <w:t>991,700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800" w:type="dxa"/>
            <w:tcBorders>
              <w:bottom w:val="double" w:sz="10" w:space="0" w:color="000000"/>
            </w:tcBorders>
            <w:shd w:fill="CCEEFF" w:val="clear"/>
            <w:tcMar>
              <w:bottom w:w="28" w:type="dxa"/>
            </w:tcMar>
            <w:vAlign w:val="center"/>
          </w:tcPr>
          <w:p>
            <w:pPr>
              <w:pStyle w:val="TableContents"/>
              <w:bidi w:val="0"/>
              <w:spacing w:before="0" w:after="283"/>
              <w:jc w:val="right"/>
              <w:rPr/>
            </w:pPr>
            <w:r>
              <w:rPr/>
              <w:t>963,600</w:t>
            </w:r>
          </w:p>
        </w:tc>
        <w:tc>
          <w:tcPr>
            <w:tcW w:w="93" w:type="dxa"/>
            <w:tcBorders/>
            <w:shd w:fill="CCEEFF" w:val="clear"/>
            <w:vAlign w:val="center"/>
          </w:tcPr>
          <w:p>
            <w:pPr>
              <w:pStyle w:val="TableContents"/>
              <w:bidi w:val="0"/>
              <w:spacing w:before="0" w:after="283"/>
              <w:ind w:left="0" w:right="0" w:hanging="180"/>
              <w:jc w:val="left"/>
              <w:rPr/>
            </w:pPr>
            <w:r>
              <w:rPr/>
              <w:t> </w:t>
            </w:r>
          </w:p>
        </w:tc>
      </w:tr>
      <w:tr>
        <w:trPr/>
        <w:tc>
          <w:tcPr>
            <w:tcW w:w="6007"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4" w:type="dxa"/>
            <w:tcBorders/>
            <w:shd w:fill="FFFFFF" w:val="clear"/>
            <w:vAlign w:val="center"/>
          </w:tcPr>
          <w:p>
            <w:pPr>
              <w:pStyle w:val="TableContents"/>
              <w:bidi w:val="0"/>
              <w:spacing w:before="0" w:after="283"/>
              <w:jc w:val="left"/>
              <w:rPr/>
            </w:pPr>
            <w:r>
              <w:rPr/>
              <w:t> </w:t>
            </w:r>
          </w:p>
        </w:tc>
        <w:tc>
          <w:tcPr>
            <w:tcW w:w="861" w:type="dxa"/>
            <w:tcBorders/>
            <w:shd w:fill="FFFFFF" w:val="clear"/>
            <w:vAlign w:val="center"/>
          </w:tcPr>
          <w:p>
            <w:pPr>
              <w:pStyle w:val="TableContents"/>
              <w:bidi w:val="0"/>
              <w:spacing w:before="0" w:after="283"/>
              <w:jc w:val="right"/>
              <w:rPr/>
            </w:pPr>
            <w:r>
              <w:rPr/>
              <w:t> </w:t>
            </w:r>
          </w:p>
        </w:tc>
        <w:tc>
          <w:tcPr>
            <w:tcW w:w="101" w:type="dxa"/>
            <w:tcBorders/>
            <w:shd w:fill="FFFFFF" w:val="clear"/>
            <w:vAlign w:val="center"/>
          </w:tcPr>
          <w:p>
            <w:pPr>
              <w:pStyle w:val="TableContents"/>
              <w:bidi w:val="0"/>
              <w:spacing w:before="0" w:after="283"/>
              <w:jc w:val="left"/>
              <w:rPr/>
            </w:pPr>
            <w:r>
              <w:rPr/>
              <w:t> </w:t>
            </w:r>
          </w:p>
        </w:tc>
        <w:tc>
          <w:tcPr>
            <w:tcW w:w="64" w:type="dxa"/>
            <w:tcBorders/>
            <w:shd w:fill="FFFFFF" w:val="clear"/>
            <w:vAlign w:val="center"/>
          </w:tcPr>
          <w:p>
            <w:pPr>
              <w:pStyle w:val="TableContents"/>
              <w:bidi w:val="0"/>
              <w:spacing w:before="0" w:after="283"/>
              <w:jc w:val="left"/>
              <w:rPr/>
            </w:pPr>
            <w:r>
              <w:rPr/>
              <w:t> </w:t>
            </w:r>
          </w:p>
        </w:tc>
        <w:tc>
          <w:tcPr>
            <w:tcW w:w="64" w:type="dxa"/>
            <w:tcBorders/>
            <w:shd w:fill="FFFFFF" w:val="clear"/>
            <w:vAlign w:val="center"/>
          </w:tcPr>
          <w:p>
            <w:pPr>
              <w:pStyle w:val="TableContents"/>
              <w:bidi w:val="0"/>
              <w:spacing w:before="0" w:after="283"/>
              <w:jc w:val="left"/>
              <w:rPr/>
            </w:pPr>
            <w:r>
              <w:rPr/>
              <w:t> </w:t>
            </w:r>
          </w:p>
        </w:tc>
        <w:tc>
          <w:tcPr>
            <w:tcW w:w="861"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 </w:t>
            </w:r>
          </w:p>
        </w:tc>
        <w:tc>
          <w:tcPr>
            <w:tcW w:w="93" w:type="dxa"/>
            <w:tcBorders/>
            <w:shd w:fill="FFFFFF" w:val="clear"/>
            <w:vAlign w:val="center"/>
          </w:tcPr>
          <w:p>
            <w:pPr>
              <w:pStyle w:val="TableContents"/>
              <w:bidi w:val="0"/>
              <w:spacing w:before="0" w:after="283"/>
              <w:ind w:left="0" w:right="0" w:hanging="180"/>
              <w:jc w:val="left"/>
              <w:rPr/>
            </w:pPr>
            <w:r>
              <w:rPr/>
              <w:t> </w:t>
            </w:r>
          </w:p>
        </w:tc>
      </w:tr>
      <w:tr>
        <w:trPr/>
        <w:tc>
          <w:tcPr>
            <w:tcW w:w="6007" w:type="dxa"/>
            <w:tcBorders/>
            <w:shd w:fill="CCEEFF" w:val="clear"/>
            <w:vAlign w:val="center"/>
          </w:tcPr>
          <w:p>
            <w:pPr>
              <w:pStyle w:val="TableContents"/>
              <w:bidi w:val="0"/>
              <w:spacing w:before="0" w:after="283"/>
              <w:jc w:val="both"/>
              <w:rPr/>
            </w:pPr>
            <w:r>
              <w:rPr/>
              <w:t>Weighted average number of ordinary shares in issue at period end (000’s) on which the per share figures have been calculated</w:t>
            </w:r>
          </w:p>
        </w:tc>
        <w:tc>
          <w:tcPr>
            <w:tcW w:w="60"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861" w:type="dxa"/>
            <w:tcBorders/>
            <w:shd w:fill="CCEEFF" w:val="clear"/>
            <w:vAlign w:val="center"/>
          </w:tcPr>
          <w:p>
            <w:pPr>
              <w:pStyle w:val="TableContents"/>
              <w:bidi w:val="0"/>
              <w:spacing w:before="0" w:after="283"/>
              <w:jc w:val="right"/>
              <w:rPr/>
            </w:pPr>
            <w:r>
              <w:rPr/>
              <w:t>30,893</w:t>
            </w:r>
          </w:p>
        </w:tc>
        <w:tc>
          <w:tcPr>
            <w:tcW w:w="101"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861" w:type="dxa"/>
            <w:tcBorders/>
            <w:shd w:fill="CCEEFF" w:val="clear"/>
            <w:vAlign w:val="center"/>
          </w:tcPr>
          <w:p>
            <w:pPr>
              <w:pStyle w:val="TableContents"/>
              <w:bidi w:val="0"/>
              <w:spacing w:before="0" w:after="283"/>
              <w:jc w:val="right"/>
              <w:rPr/>
            </w:pPr>
            <w:r>
              <w:rPr/>
              <w:t>30,893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30,893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30,895</w:t>
            </w:r>
          </w:p>
        </w:tc>
        <w:tc>
          <w:tcPr>
            <w:tcW w:w="93" w:type="dxa"/>
            <w:tcBorders/>
            <w:shd w:fill="CCEEFF" w:val="clear"/>
            <w:vAlign w:val="center"/>
          </w:tcPr>
          <w:p>
            <w:pPr>
              <w:pStyle w:val="TableContents"/>
              <w:bidi w:val="0"/>
              <w:spacing w:before="0" w:after="283"/>
              <w:ind w:left="0" w:right="0" w:hanging="180"/>
              <w:jc w:val="left"/>
              <w:rPr/>
            </w:pPr>
            <w:r>
              <w:rPr/>
              <w:t> </w:t>
            </w:r>
          </w:p>
        </w:tc>
      </w:tr>
      <w:tr>
        <w:trPr/>
        <w:tc>
          <w:tcPr>
            <w:tcW w:w="6007"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4" w:type="dxa"/>
            <w:tcBorders/>
            <w:shd w:fill="FFFFFF" w:val="clear"/>
            <w:vAlign w:val="center"/>
          </w:tcPr>
          <w:p>
            <w:pPr>
              <w:pStyle w:val="TableContents"/>
              <w:bidi w:val="0"/>
              <w:spacing w:before="0" w:after="283"/>
              <w:jc w:val="left"/>
              <w:rPr/>
            </w:pPr>
            <w:r>
              <w:rPr/>
              <w:t> </w:t>
            </w:r>
          </w:p>
        </w:tc>
        <w:tc>
          <w:tcPr>
            <w:tcW w:w="861" w:type="dxa"/>
            <w:tcBorders/>
            <w:shd w:fill="FFFFFF" w:val="clear"/>
            <w:vAlign w:val="center"/>
          </w:tcPr>
          <w:p>
            <w:pPr>
              <w:pStyle w:val="TableContents"/>
              <w:bidi w:val="0"/>
              <w:spacing w:before="0" w:after="283"/>
              <w:jc w:val="right"/>
              <w:rPr/>
            </w:pPr>
            <w:r>
              <w:rPr/>
              <w:t> </w:t>
            </w:r>
          </w:p>
        </w:tc>
        <w:tc>
          <w:tcPr>
            <w:tcW w:w="101" w:type="dxa"/>
            <w:tcBorders/>
            <w:shd w:fill="FFFFFF" w:val="clear"/>
            <w:vAlign w:val="center"/>
          </w:tcPr>
          <w:p>
            <w:pPr>
              <w:pStyle w:val="TableContents"/>
              <w:bidi w:val="0"/>
              <w:spacing w:before="0" w:after="283"/>
              <w:jc w:val="left"/>
              <w:rPr/>
            </w:pPr>
            <w:r>
              <w:rPr/>
              <w:t> </w:t>
            </w:r>
          </w:p>
        </w:tc>
        <w:tc>
          <w:tcPr>
            <w:tcW w:w="64" w:type="dxa"/>
            <w:tcBorders/>
            <w:shd w:fill="FFFFFF" w:val="clear"/>
            <w:vAlign w:val="center"/>
          </w:tcPr>
          <w:p>
            <w:pPr>
              <w:pStyle w:val="TableContents"/>
              <w:bidi w:val="0"/>
              <w:spacing w:before="0" w:after="283"/>
              <w:jc w:val="left"/>
              <w:rPr/>
            </w:pPr>
            <w:r>
              <w:rPr/>
              <w:t> </w:t>
            </w:r>
          </w:p>
        </w:tc>
        <w:tc>
          <w:tcPr>
            <w:tcW w:w="64" w:type="dxa"/>
            <w:tcBorders/>
            <w:shd w:fill="FFFFFF" w:val="clear"/>
            <w:vAlign w:val="center"/>
          </w:tcPr>
          <w:p>
            <w:pPr>
              <w:pStyle w:val="TableContents"/>
              <w:bidi w:val="0"/>
              <w:spacing w:before="0" w:after="283"/>
              <w:jc w:val="left"/>
              <w:rPr/>
            </w:pPr>
            <w:r>
              <w:rPr/>
              <w:t> </w:t>
            </w:r>
          </w:p>
        </w:tc>
        <w:tc>
          <w:tcPr>
            <w:tcW w:w="861"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 </w:t>
            </w:r>
          </w:p>
        </w:tc>
        <w:tc>
          <w:tcPr>
            <w:tcW w:w="93" w:type="dxa"/>
            <w:tcBorders/>
            <w:shd w:fill="FFFFFF" w:val="clear"/>
            <w:vAlign w:val="center"/>
          </w:tcPr>
          <w:p>
            <w:pPr>
              <w:pStyle w:val="TableContents"/>
              <w:bidi w:val="0"/>
              <w:spacing w:before="0" w:after="283"/>
              <w:ind w:left="0" w:right="0" w:hanging="180"/>
              <w:jc w:val="left"/>
              <w:rPr/>
            </w:pPr>
            <w:r>
              <w:rPr/>
              <w:t> </w:t>
            </w:r>
          </w:p>
        </w:tc>
      </w:tr>
      <w:tr>
        <w:trPr/>
        <w:tc>
          <w:tcPr>
            <w:tcW w:w="6007" w:type="dxa"/>
            <w:tcBorders/>
            <w:shd w:fill="CCEEFF" w:val="clear"/>
            <w:vAlign w:val="center"/>
          </w:tcPr>
          <w:p>
            <w:pPr>
              <w:pStyle w:val="TableContents"/>
              <w:bidi w:val="0"/>
              <w:spacing w:before="0" w:after="283"/>
              <w:jc w:val="left"/>
              <w:rPr>
                <w:b/>
              </w:rPr>
            </w:pPr>
            <w:r>
              <w:rPr>
                <w:b/>
              </w:rPr>
              <w:t>Basic and diluted earnings per share</w:t>
            </w:r>
          </w:p>
        </w:tc>
        <w:tc>
          <w:tcPr>
            <w:tcW w:w="60"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861" w:type="dxa"/>
            <w:tcBorders/>
            <w:shd w:fill="CCEEFF" w:val="clear"/>
            <w:vAlign w:val="center"/>
          </w:tcPr>
          <w:p>
            <w:pPr>
              <w:pStyle w:val="TableContents"/>
              <w:bidi w:val="0"/>
              <w:spacing w:before="0" w:after="283"/>
              <w:jc w:val="right"/>
              <w:rPr/>
            </w:pPr>
            <w:r>
              <w:rPr/>
              <w:t>7.19</w:t>
            </w:r>
          </w:p>
        </w:tc>
        <w:tc>
          <w:tcPr>
            <w:tcW w:w="101"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861" w:type="dxa"/>
            <w:tcBorders/>
            <w:shd w:fill="CCEEFF" w:val="clear"/>
            <w:vAlign w:val="center"/>
          </w:tcPr>
          <w:p>
            <w:pPr>
              <w:pStyle w:val="TableContents"/>
              <w:bidi w:val="0"/>
              <w:spacing w:before="0" w:after="283"/>
              <w:jc w:val="right"/>
              <w:rPr/>
            </w:pPr>
            <w:r>
              <w:rPr/>
              <w:t>8.11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32.17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29.81</w:t>
            </w:r>
          </w:p>
        </w:tc>
        <w:tc>
          <w:tcPr>
            <w:tcW w:w="93" w:type="dxa"/>
            <w:tcBorders/>
            <w:shd w:fill="CCEEFF" w:val="clear"/>
            <w:vAlign w:val="center"/>
          </w:tcPr>
          <w:p>
            <w:pPr>
              <w:pStyle w:val="TableContents"/>
              <w:bidi w:val="0"/>
              <w:spacing w:before="0" w:after="283"/>
              <w:ind w:left="0" w:right="0" w:hanging="180"/>
              <w:jc w:val="left"/>
              <w:rPr/>
            </w:pPr>
            <w:r>
              <w:rPr/>
              <w:t> </w:t>
            </w:r>
          </w:p>
        </w:tc>
      </w:tr>
      <w:tr>
        <w:trPr/>
        <w:tc>
          <w:tcPr>
            <w:tcW w:w="6007" w:type="dxa"/>
            <w:tcBorders/>
            <w:shd w:fill="FFFFFF" w:val="clear"/>
            <w:vAlign w:val="center"/>
          </w:tcPr>
          <w:p>
            <w:pPr>
              <w:pStyle w:val="TableContents"/>
              <w:bidi w:val="0"/>
              <w:spacing w:before="0" w:after="283"/>
              <w:jc w:val="left"/>
              <w:rPr>
                <w:b/>
              </w:rPr>
            </w:pPr>
            <w:r>
              <w:rPr>
                <w:b/>
              </w:rPr>
              <w:t xml:space="preserve">Basic and diluted headline earnings per share </w:t>
            </w:r>
            <w:r>
              <w:rPr>
                <w:b w:val="false"/>
                <w:i w:val="false"/>
                <w:caps w:val="false"/>
                <w:smallCaps w:val="false"/>
              </w:rPr>
              <w:t>(a non-IFRS measure)</w:t>
            </w:r>
          </w:p>
        </w:tc>
        <w:tc>
          <w:tcPr>
            <w:tcW w:w="60" w:type="dxa"/>
            <w:tcBorders/>
            <w:shd w:fill="FFFFFF" w:val="clear"/>
            <w:vAlign w:val="center"/>
          </w:tcPr>
          <w:p>
            <w:pPr>
              <w:pStyle w:val="TableContents"/>
              <w:bidi w:val="0"/>
              <w:spacing w:before="0" w:after="283"/>
              <w:jc w:val="left"/>
              <w:rPr/>
            </w:pPr>
            <w:r>
              <w:rPr/>
              <w:t> </w:t>
            </w:r>
          </w:p>
        </w:tc>
        <w:tc>
          <w:tcPr>
            <w:tcW w:w="64" w:type="dxa"/>
            <w:tcBorders/>
            <w:shd w:fill="FFFFFF" w:val="clear"/>
            <w:vAlign w:val="center"/>
          </w:tcPr>
          <w:p>
            <w:pPr>
              <w:pStyle w:val="TableContents"/>
              <w:bidi w:val="0"/>
              <w:spacing w:before="0" w:after="283"/>
              <w:jc w:val="left"/>
              <w:rPr/>
            </w:pPr>
            <w:r>
              <w:rPr/>
              <w:t> </w:t>
            </w:r>
          </w:p>
        </w:tc>
        <w:tc>
          <w:tcPr>
            <w:tcW w:w="861" w:type="dxa"/>
            <w:tcBorders/>
            <w:shd w:fill="FFFFFF" w:val="clear"/>
            <w:vAlign w:val="center"/>
          </w:tcPr>
          <w:p>
            <w:pPr>
              <w:pStyle w:val="TableContents"/>
              <w:bidi w:val="0"/>
              <w:spacing w:before="0" w:after="283"/>
              <w:jc w:val="right"/>
              <w:rPr/>
            </w:pPr>
            <w:r>
              <w:rPr/>
              <w:t>7.17</w:t>
            </w:r>
          </w:p>
        </w:tc>
        <w:tc>
          <w:tcPr>
            <w:tcW w:w="101" w:type="dxa"/>
            <w:tcBorders/>
            <w:shd w:fill="FFFFFF" w:val="clear"/>
            <w:vAlign w:val="center"/>
          </w:tcPr>
          <w:p>
            <w:pPr>
              <w:pStyle w:val="TableContents"/>
              <w:bidi w:val="0"/>
              <w:spacing w:before="0" w:after="283"/>
              <w:jc w:val="left"/>
              <w:rPr/>
            </w:pPr>
            <w:r>
              <w:rPr/>
              <w:t> </w:t>
            </w:r>
          </w:p>
        </w:tc>
        <w:tc>
          <w:tcPr>
            <w:tcW w:w="64" w:type="dxa"/>
            <w:tcBorders/>
            <w:shd w:fill="FFFFFF" w:val="clear"/>
            <w:vAlign w:val="center"/>
          </w:tcPr>
          <w:p>
            <w:pPr>
              <w:pStyle w:val="TableContents"/>
              <w:bidi w:val="0"/>
              <w:spacing w:before="0" w:after="283"/>
              <w:jc w:val="left"/>
              <w:rPr/>
            </w:pPr>
            <w:r>
              <w:rPr/>
              <w:t> </w:t>
            </w:r>
          </w:p>
        </w:tc>
        <w:tc>
          <w:tcPr>
            <w:tcW w:w="64" w:type="dxa"/>
            <w:tcBorders/>
            <w:shd w:fill="FFFFFF" w:val="clear"/>
            <w:vAlign w:val="center"/>
          </w:tcPr>
          <w:p>
            <w:pPr>
              <w:pStyle w:val="TableContents"/>
              <w:bidi w:val="0"/>
              <w:spacing w:before="0" w:after="283"/>
              <w:jc w:val="left"/>
              <w:rPr/>
            </w:pPr>
            <w:r>
              <w:rPr/>
              <w:t> </w:t>
            </w:r>
          </w:p>
        </w:tc>
        <w:tc>
          <w:tcPr>
            <w:tcW w:w="861" w:type="dxa"/>
            <w:tcBorders/>
            <w:shd w:fill="FFFFFF" w:val="clear"/>
            <w:vAlign w:val="center"/>
          </w:tcPr>
          <w:p>
            <w:pPr>
              <w:pStyle w:val="TableContents"/>
              <w:bidi w:val="0"/>
              <w:spacing w:before="0" w:after="283"/>
              <w:jc w:val="right"/>
              <w:rPr/>
            </w:pPr>
            <w:r>
              <w:rPr/>
              <w:t>9.51</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32.10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31.19</w:t>
            </w:r>
          </w:p>
        </w:tc>
        <w:tc>
          <w:tcPr>
            <w:tcW w:w="93"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22</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CONSTANT CURRENCY (A NON-IFRS MEASURE)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Constant currency information has been presented to illustrate the impact of changes in currency rates on the group’s results. The tables below provide the unaudited constant currency reconciliation to the reported measure for the periods presented.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Three Months and Year Ended February 28, 2026</w:t>
      </w:r>
      <w:r>
        <w:rPr>
          <w:rFonts w:ascii="Times New Roman;Times;Serif" w:hAnsi="Times New Roman;Times;Serif"/>
          <w:b w:val="false"/>
          <w:i w:val="false"/>
          <w:caps w:val="false"/>
          <w:smallCaps w:val="false"/>
          <w:sz w:val="20"/>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constant currency information has been determined by adjusting the current financial reporting period results to the results reported for the three months and year ended February 28, 2025, as applicable using the average of the monthly exchange rates applicable to that period. The measurement has been performed for each of the group’s operating currencies.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SUBSCRIPTION REVENUE</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420"/>
        <w:gridCol w:w="60"/>
        <w:gridCol w:w="60"/>
        <w:gridCol w:w="980"/>
        <w:gridCol w:w="60"/>
        <w:gridCol w:w="60"/>
        <w:gridCol w:w="60"/>
        <w:gridCol w:w="980"/>
        <w:gridCol w:w="60"/>
        <w:gridCol w:w="60"/>
        <w:gridCol w:w="220"/>
        <w:gridCol w:w="955"/>
        <w:gridCol w:w="230"/>
      </w:tblGrid>
      <w:tr>
        <w:trPr/>
        <w:tc>
          <w:tcPr>
            <w:tcW w:w="64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495" w:type="dxa"/>
            <w:gridSpan w:val="10"/>
            <w:tcBorders>
              <w:bottom w:val="single" w:sz="12" w:space="0" w:color="000000"/>
            </w:tcBorders>
            <w:tcMar>
              <w:bottom w:w="28" w:type="dxa"/>
            </w:tcMar>
            <w:vAlign w:val="center"/>
          </w:tcPr>
          <w:p>
            <w:pPr>
              <w:pStyle w:val="TableContents"/>
              <w:bidi w:val="0"/>
              <w:spacing w:before="0" w:after="283"/>
              <w:jc w:val="center"/>
              <w:rPr>
                <w:b/>
              </w:rPr>
            </w:pPr>
            <w:r>
              <w:rPr>
                <w:b/>
              </w:rPr>
              <w:t xml:space="preserve">Three Months Ended </w:t>
              <w:br/>
              <w:t>February 28,</w:t>
            </w:r>
          </w:p>
        </w:tc>
        <w:tc>
          <w:tcPr>
            <w:tcW w:w="230" w:type="dxa"/>
            <w:tcBorders/>
            <w:vAlign w:val="center"/>
          </w:tcPr>
          <w:p>
            <w:pPr>
              <w:pStyle w:val="TableContents"/>
              <w:bidi w:val="0"/>
              <w:spacing w:before="0" w:after="283"/>
              <w:jc w:val="left"/>
              <w:rPr/>
            </w:pPr>
            <w:r>
              <w:rPr/>
              <w:t> </w:t>
            </w:r>
          </w:p>
        </w:tc>
      </w:tr>
      <w:tr>
        <w:trPr/>
        <w:tc>
          <w:tcPr>
            <w:tcW w:w="642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04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2026</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4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2025</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7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Quarter-</w:t>
              <w:br/>
              <w:t>on-Quarter</w:t>
              <w:br/>
              <w:t>Change</w:t>
            </w:r>
          </w:p>
        </w:tc>
        <w:tc>
          <w:tcPr>
            <w:tcW w:w="230" w:type="dxa"/>
            <w:tcBorders/>
            <w:vAlign w:val="center"/>
          </w:tcPr>
          <w:p>
            <w:pPr>
              <w:pStyle w:val="TableContents"/>
              <w:bidi w:val="0"/>
              <w:spacing w:before="0" w:after="283"/>
              <w:jc w:val="left"/>
              <w:rPr/>
            </w:pPr>
            <w:r>
              <w:rPr/>
              <w:t> </w:t>
            </w:r>
          </w:p>
        </w:tc>
      </w:tr>
      <w:tr>
        <w:trPr/>
        <w:tc>
          <w:tcPr>
            <w:tcW w:w="64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200" w:type="dxa"/>
            <w:gridSpan w:val="6"/>
            <w:tcBorders/>
            <w:vAlign w:val="center"/>
          </w:tcPr>
          <w:p>
            <w:pPr>
              <w:pStyle w:val="TableContents"/>
              <w:bidi w:val="0"/>
              <w:spacing w:before="0" w:after="283"/>
              <w:jc w:val="center"/>
              <w:rPr>
                <w:b/>
              </w:rPr>
            </w:pPr>
            <w:r>
              <w:rPr>
                <w:b/>
              </w:rPr>
              <w:t>(Rand Thousands)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75" w:type="dxa"/>
            <w:gridSpan w:val="2"/>
            <w:tcBorders/>
            <w:vAlign w:val="center"/>
          </w:tcPr>
          <w:p>
            <w:pPr>
              <w:pStyle w:val="TableContents"/>
              <w:bidi w:val="0"/>
              <w:spacing w:before="0" w:after="283"/>
              <w:jc w:val="center"/>
              <w:rPr>
                <w:b/>
              </w:rPr>
            </w:pPr>
            <w:r>
              <w:rPr>
                <w:b/>
              </w:rPr>
              <w:t>Percentage</w:t>
            </w:r>
          </w:p>
        </w:tc>
        <w:tc>
          <w:tcPr>
            <w:tcW w:w="230" w:type="dxa"/>
            <w:tcBorders/>
            <w:vAlign w:val="center"/>
          </w:tcPr>
          <w:p>
            <w:pPr>
              <w:pStyle w:val="TableContents"/>
              <w:bidi w:val="0"/>
              <w:spacing w:before="0" w:after="283"/>
              <w:jc w:val="left"/>
              <w:rPr/>
            </w:pPr>
            <w:r>
              <w:rPr/>
              <w:t> </w:t>
            </w:r>
          </w:p>
        </w:tc>
      </w:tr>
      <w:tr>
        <w:trPr/>
        <w:tc>
          <w:tcPr>
            <w:tcW w:w="6420" w:type="dxa"/>
            <w:tcBorders/>
            <w:shd w:fill="CCEEFF" w:val="clear"/>
            <w:vAlign w:val="center"/>
          </w:tcPr>
          <w:p>
            <w:pPr>
              <w:pStyle w:val="TableContents"/>
              <w:bidi w:val="0"/>
              <w:spacing w:before="0" w:after="283"/>
              <w:jc w:val="left"/>
              <w:rPr/>
            </w:pPr>
            <w:r>
              <w:rPr/>
              <w:t>Subscription revenue as reported</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1,281,306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1,086,482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20" w:type="dxa"/>
            <w:tcBorders/>
            <w:shd w:fill="CCEEFF" w:val="clear"/>
            <w:vAlign w:val="center"/>
          </w:tcPr>
          <w:p>
            <w:pPr>
              <w:pStyle w:val="TableContents"/>
              <w:bidi w:val="0"/>
              <w:spacing w:before="0" w:after="283"/>
              <w:jc w:val="left"/>
              <w:rPr/>
            </w:pPr>
            <w:r>
              <w:rPr/>
              <w:t> </w:t>
            </w:r>
          </w:p>
        </w:tc>
        <w:tc>
          <w:tcPr>
            <w:tcW w:w="955" w:type="dxa"/>
            <w:tcBorders/>
            <w:shd w:fill="CCEEFF" w:val="clear"/>
            <w:vAlign w:val="center"/>
          </w:tcPr>
          <w:p>
            <w:pPr>
              <w:pStyle w:val="TableContents"/>
              <w:bidi w:val="0"/>
              <w:spacing w:before="0" w:after="283"/>
              <w:jc w:val="right"/>
              <w:rPr/>
            </w:pPr>
            <w:r>
              <w:rPr/>
              <w:t>18</w:t>
            </w:r>
          </w:p>
        </w:tc>
        <w:tc>
          <w:tcPr>
            <w:tcW w:w="230" w:type="dxa"/>
            <w:tcBorders/>
            <w:shd w:fill="CCEEFF" w:val="clear"/>
            <w:vAlign w:val="center"/>
          </w:tcPr>
          <w:p>
            <w:pPr>
              <w:pStyle w:val="TableContents"/>
              <w:bidi w:val="0"/>
              <w:spacing w:before="0" w:after="283"/>
              <w:jc w:val="left"/>
              <w:rPr/>
            </w:pPr>
            <w:r>
              <w:rPr/>
              <w:t>%</w:t>
            </w:r>
          </w:p>
        </w:tc>
      </w:tr>
      <w:tr>
        <w:trPr/>
        <w:tc>
          <w:tcPr>
            <w:tcW w:w="6420" w:type="dxa"/>
            <w:tcBorders/>
            <w:shd w:fill="FFFFFF" w:val="clear"/>
            <w:vAlign w:val="center"/>
          </w:tcPr>
          <w:p>
            <w:pPr>
              <w:pStyle w:val="TableContents"/>
              <w:bidi w:val="0"/>
              <w:spacing w:before="0" w:after="283"/>
              <w:jc w:val="left"/>
              <w:rPr/>
            </w:pPr>
            <w:r>
              <w:rPr/>
              <w:t>Conversion impact of other currencies using 2025 foreign exchange rates</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980" w:type="dxa"/>
            <w:tcBorders>
              <w:bottom w:val="single" w:sz="12" w:space="0" w:color="000000"/>
            </w:tcBorders>
            <w:shd w:fill="FFFFFF" w:val="clear"/>
            <w:tcMar>
              <w:bottom w:w="28" w:type="dxa"/>
            </w:tcMar>
            <w:vAlign w:val="center"/>
          </w:tcPr>
          <w:p>
            <w:pPr>
              <w:pStyle w:val="TableContents"/>
              <w:bidi w:val="0"/>
              <w:spacing w:before="0" w:after="283"/>
              <w:jc w:val="right"/>
              <w:rPr/>
            </w:pPr>
            <w:r>
              <w:rPr/>
              <w:t>23,323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980"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2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955"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230" w:type="dxa"/>
            <w:tcBorders/>
            <w:shd w:fill="FFFFFF" w:val="clear"/>
            <w:vAlign w:val="center"/>
          </w:tcPr>
          <w:p>
            <w:pPr>
              <w:pStyle w:val="TableContents"/>
              <w:bidi w:val="0"/>
              <w:spacing w:before="0" w:after="283"/>
              <w:jc w:val="left"/>
              <w:rPr/>
            </w:pPr>
            <w:r>
              <w:rPr/>
              <w:t> </w:t>
            </w:r>
          </w:p>
        </w:tc>
      </w:tr>
      <w:tr>
        <w:trPr/>
        <w:tc>
          <w:tcPr>
            <w:tcW w:w="6420" w:type="dxa"/>
            <w:tcBorders/>
            <w:shd w:fill="CCEEFF" w:val="clear"/>
            <w:vAlign w:val="center"/>
          </w:tcPr>
          <w:p>
            <w:pPr>
              <w:pStyle w:val="TableContents"/>
              <w:bidi w:val="0"/>
              <w:spacing w:before="0" w:after="283"/>
              <w:jc w:val="left"/>
              <w:rPr/>
            </w:pPr>
            <w:r>
              <w:rPr/>
              <w:t>Subscription revenue on a constant currency basis</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double" w:sz="10" w:space="0" w:color="000000"/>
            </w:tcBorders>
            <w:shd w:fill="CCEEFF" w:val="clear"/>
            <w:tcMar>
              <w:bottom w:w="28" w:type="dxa"/>
            </w:tcMar>
            <w:vAlign w:val="center"/>
          </w:tcPr>
          <w:p>
            <w:pPr>
              <w:pStyle w:val="TableContents"/>
              <w:bidi w:val="0"/>
              <w:spacing w:before="0" w:after="283"/>
              <w:jc w:val="right"/>
              <w:rPr/>
            </w:pPr>
            <w:r>
              <w:rPr/>
              <w:t>1,304,629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double" w:sz="10" w:space="0" w:color="000000"/>
            </w:tcBorders>
            <w:shd w:fill="CCEEFF" w:val="clear"/>
            <w:tcMar>
              <w:bottom w:w="28" w:type="dxa"/>
            </w:tcMar>
            <w:vAlign w:val="center"/>
          </w:tcPr>
          <w:p>
            <w:pPr>
              <w:pStyle w:val="TableContents"/>
              <w:bidi w:val="0"/>
              <w:spacing w:before="0" w:after="283"/>
              <w:jc w:val="right"/>
              <w:rPr/>
            </w:pPr>
            <w:r>
              <w:rPr/>
              <w:t>1,086,482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20"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955" w:type="dxa"/>
            <w:tcBorders>
              <w:bottom w:val="double" w:sz="10" w:space="0" w:color="000000"/>
            </w:tcBorders>
            <w:shd w:fill="CCEEFF" w:val="clear"/>
            <w:tcMar>
              <w:bottom w:w="28" w:type="dxa"/>
            </w:tcMar>
            <w:vAlign w:val="center"/>
          </w:tcPr>
          <w:p>
            <w:pPr>
              <w:pStyle w:val="TableContents"/>
              <w:bidi w:val="0"/>
              <w:spacing w:before="0" w:after="283"/>
              <w:jc w:val="right"/>
              <w:rPr/>
            </w:pPr>
            <w:r>
              <w:rPr/>
              <w:t>20</w:t>
            </w:r>
          </w:p>
        </w:tc>
        <w:tc>
          <w:tcPr>
            <w:tcW w:w="230" w:type="dxa"/>
            <w:tcBorders/>
            <w:shd w:fill="CCEEFF" w:val="clear"/>
            <w:vAlign w:val="center"/>
          </w:tcPr>
          <w:p>
            <w:pPr>
              <w:pStyle w:val="TableContents"/>
              <w:bidi w:val="0"/>
              <w:spacing w:before="0" w:after="283"/>
              <w:jc w:val="left"/>
              <w:rPr/>
            </w:pPr>
            <w:r>
              <w:rPr/>
              <w:t>%</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TOTAL REVENUE</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5741"/>
        <w:gridCol w:w="60"/>
        <w:gridCol w:w="60"/>
        <w:gridCol w:w="980"/>
        <w:gridCol w:w="60"/>
        <w:gridCol w:w="60"/>
        <w:gridCol w:w="60"/>
        <w:gridCol w:w="980"/>
        <w:gridCol w:w="60"/>
        <w:gridCol w:w="60"/>
        <w:gridCol w:w="347"/>
        <w:gridCol w:w="1506"/>
        <w:gridCol w:w="231"/>
      </w:tblGrid>
      <w:tr>
        <w:trPr/>
        <w:tc>
          <w:tcPr>
            <w:tcW w:w="5741"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173" w:type="dxa"/>
            <w:gridSpan w:val="10"/>
            <w:tcBorders>
              <w:bottom w:val="single" w:sz="12" w:space="0" w:color="000000"/>
            </w:tcBorders>
            <w:tcMar>
              <w:bottom w:w="28" w:type="dxa"/>
            </w:tcMar>
            <w:vAlign w:val="center"/>
          </w:tcPr>
          <w:p>
            <w:pPr>
              <w:pStyle w:val="TableContents"/>
              <w:bidi w:val="0"/>
              <w:spacing w:before="0" w:after="283"/>
              <w:jc w:val="center"/>
              <w:rPr>
                <w:b/>
              </w:rPr>
            </w:pPr>
            <w:r>
              <w:rPr>
                <w:b/>
              </w:rPr>
              <w:t xml:space="preserve">Three Months Ended </w:t>
              <w:br/>
              <w:t>February 28,</w:t>
            </w:r>
          </w:p>
        </w:tc>
        <w:tc>
          <w:tcPr>
            <w:tcW w:w="231" w:type="dxa"/>
            <w:tcBorders/>
            <w:vAlign w:val="center"/>
          </w:tcPr>
          <w:p>
            <w:pPr>
              <w:pStyle w:val="TableContents"/>
              <w:bidi w:val="0"/>
              <w:spacing w:before="0" w:after="283"/>
              <w:jc w:val="left"/>
              <w:rPr/>
            </w:pPr>
            <w:r>
              <w:rPr/>
              <w:t> </w:t>
            </w:r>
          </w:p>
        </w:tc>
      </w:tr>
      <w:tr>
        <w:trPr/>
        <w:tc>
          <w:tcPr>
            <w:tcW w:w="5741"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04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2026</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4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2025</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53"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Quarter-</w:t>
              <w:br/>
              <w:t>on-Quarter Change</w:t>
            </w:r>
          </w:p>
        </w:tc>
        <w:tc>
          <w:tcPr>
            <w:tcW w:w="231" w:type="dxa"/>
            <w:tcBorders/>
            <w:vAlign w:val="center"/>
          </w:tcPr>
          <w:p>
            <w:pPr>
              <w:pStyle w:val="TableContents"/>
              <w:bidi w:val="0"/>
              <w:spacing w:before="0" w:after="283"/>
              <w:jc w:val="left"/>
              <w:rPr/>
            </w:pPr>
            <w:r>
              <w:rPr/>
              <w:t> </w:t>
            </w:r>
          </w:p>
        </w:tc>
      </w:tr>
      <w:tr>
        <w:trPr/>
        <w:tc>
          <w:tcPr>
            <w:tcW w:w="5741"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200" w:type="dxa"/>
            <w:gridSpan w:val="6"/>
            <w:tcBorders/>
            <w:vAlign w:val="center"/>
          </w:tcPr>
          <w:p>
            <w:pPr>
              <w:pStyle w:val="TableContents"/>
              <w:bidi w:val="0"/>
              <w:spacing w:before="0" w:after="283"/>
              <w:jc w:val="center"/>
              <w:rPr>
                <w:b/>
              </w:rPr>
            </w:pPr>
            <w:r>
              <w:rPr>
                <w:b/>
              </w:rPr>
              <w:t>(Rand Thousands)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53" w:type="dxa"/>
            <w:gridSpan w:val="2"/>
            <w:tcBorders/>
            <w:vAlign w:val="center"/>
          </w:tcPr>
          <w:p>
            <w:pPr>
              <w:pStyle w:val="TableContents"/>
              <w:bidi w:val="0"/>
              <w:spacing w:before="0" w:after="283"/>
              <w:jc w:val="center"/>
              <w:rPr>
                <w:b/>
              </w:rPr>
            </w:pPr>
            <w:r>
              <w:rPr>
                <w:b/>
              </w:rPr>
              <w:t>Percentage</w:t>
            </w:r>
          </w:p>
        </w:tc>
        <w:tc>
          <w:tcPr>
            <w:tcW w:w="231" w:type="dxa"/>
            <w:tcBorders/>
            <w:vAlign w:val="center"/>
          </w:tcPr>
          <w:p>
            <w:pPr>
              <w:pStyle w:val="TableContents"/>
              <w:bidi w:val="0"/>
              <w:spacing w:before="0" w:after="283"/>
              <w:jc w:val="left"/>
              <w:rPr/>
            </w:pPr>
            <w:r>
              <w:rPr/>
              <w:t> </w:t>
            </w:r>
          </w:p>
        </w:tc>
      </w:tr>
      <w:tr>
        <w:trPr/>
        <w:tc>
          <w:tcPr>
            <w:tcW w:w="5741" w:type="dxa"/>
            <w:tcBorders/>
            <w:shd w:fill="CCEEFF" w:val="clear"/>
            <w:vAlign w:val="center"/>
          </w:tcPr>
          <w:p>
            <w:pPr>
              <w:pStyle w:val="TableContents"/>
              <w:bidi w:val="0"/>
              <w:spacing w:before="0" w:after="283"/>
              <w:jc w:val="left"/>
              <w:rPr/>
            </w:pPr>
            <w:r>
              <w:rPr/>
              <w:t>Total revenue as reported</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1,448,379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1,219,523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47" w:type="dxa"/>
            <w:tcBorders/>
            <w:shd w:fill="CCEEFF" w:val="clear"/>
            <w:vAlign w:val="center"/>
          </w:tcPr>
          <w:p>
            <w:pPr>
              <w:pStyle w:val="TableContents"/>
              <w:bidi w:val="0"/>
              <w:spacing w:before="0" w:after="283"/>
              <w:jc w:val="left"/>
              <w:rPr/>
            </w:pPr>
            <w:r>
              <w:rPr/>
              <w:t> </w:t>
            </w:r>
          </w:p>
        </w:tc>
        <w:tc>
          <w:tcPr>
            <w:tcW w:w="1506" w:type="dxa"/>
            <w:tcBorders/>
            <w:shd w:fill="CCEEFF" w:val="clear"/>
            <w:vAlign w:val="center"/>
          </w:tcPr>
          <w:p>
            <w:pPr>
              <w:pStyle w:val="TableContents"/>
              <w:bidi w:val="0"/>
              <w:spacing w:before="0" w:after="283"/>
              <w:jc w:val="right"/>
              <w:rPr/>
            </w:pPr>
            <w:r>
              <w:rPr/>
              <w:t>19</w:t>
            </w:r>
          </w:p>
        </w:tc>
        <w:tc>
          <w:tcPr>
            <w:tcW w:w="231" w:type="dxa"/>
            <w:tcBorders/>
            <w:shd w:fill="CCEEFF" w:val="clear"/>
            <w:vAlign w:val="center"/>
          </w:tcPr>
          <w:p>
            <w:pPr>
              <w:pStyle w:val="TableContents"/>
              <w:bidi w:val="0"/>
              <w:spacing w:before="0" w:after="283"/>
              <w:jc w:val="left"/>
              <w:rPr/>
            </w:pPr>
            <w:r>
              <w:rPr/>
              <w:t>%</w:t>
            </w:r>
          </w:p>
        </w:tc>
      </w:tr>
      <w:tr>
        <w:trPr/>
        <w:tc>
          <w:tcPr>
            <w:tcW w:w="5741" w:type="dxa"/>
            <w:tcBorders/>
            <w:shd w:fill="FFFFFF" w:val="clear"/>
            <w:vAlign w:val="center"/>
          </w:tcPr>
          <w:p>
            <w:pPr>
              <w:pStyle w:val="TableContents"/>
              <w:bidi w:val="0"/>
              <w:spacing w:before="0" w:after="283"/>
              <w:jc w:val="left"/>
              <w:rPr/>
            </w:pPr>
            <w:r>
              <w:rPr/>
              <w:t>Conversion impact of other currencies using 2025 foreign exchange rates</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980" w:type="dxa"/>
            <w:tcBorders>
              <w:bottom w:val="single" w:sz="12" w:space="0" w:color="000000"/>
            </w:tcBorders>
            <w:shd w:fill="FFFFFF" w:val="clear"/>
            <w:tcMar>
              <w:bottom w:w="28" w:type="dxa"/>
            </w:tcMar>
            <w:vAlign w:val="center"/>
          </w:tcPr>
          <w:p>
            <w:pPr>
              <w:pStyle w:val="TableContents"/>
              <w:bidi w:val="0"/>
              <w:spacing w:before="0" w:after="283"/>
              <w:jc w:val="right"/>
              <w:rPr/>
            </w:pPr>
            <w:r>
              <w:rPr/>
              <w:t>23,721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980"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47"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506"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231" w:type="dxa"/>
            <w:tcBorders/>
            <w:shd w:fill="FFFFFF" w:val="clear"/>
            <w:vAlign w:val="center"/>
          </w:tcPr>
          <w:p>
            <w:pPr>
              <w:pStyle w:val="TableContents"/>
              <w:bidi w:val="0"/>
              <w:spacing w:before="0" w:after="283"/>
              <w:jc w:val="left"/>
              <w:rPr/>
            </w:pPr>
            <w:r>
              <w:rPr/>
              <w:t> </w:t>
            </w:r>
          </w:p>
        </w:tc>
      </w:tr>
      <w:tr>
        <w:trPr/>
        <w:tc>
          <w:tcPr>
            <w:tcW w:w="5741" w:type="dxa"/>
            <w:tcBorders/>
            <w:shd w:fill="CCEEFF" w:val="clear"/>
            <w:vAlign w:val="center"/>
          </w:tcPr>
          <w:p>
            <w:pPr>
              <w:pStyle w:val="TableContents"/>
              <w:bidi w:val="0"/>
              <w:spacing w:before="0" w:after="283"/>
              <w:jc w:val="left"/>
              <w:rPr/>
            </w:pPr>
            <w:r>
              <w:rPr/>
              <w:t>Total revenue on a constant currency basis</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double" w:sz="10" w:space="0" w:color="000000"/>
            </w:tcBorders>
            <w:shd w:fill="CCEEFF" w:val="clear"/>
            <w:tcMar>
              <w:bottom w:w="28" w:type="dxa"/>
            </w:tcMar>
            <w:vAlign w:val="center"/>
          </w:tcPr>
          <w:p>
            <w:pPr>
              <w:pStyle w:val="TableContents"/>
              <w:bidi w:val="0"/>
              <w:spacing w:before="0" w:after="283"/>
              <w:jc w:val="right"/>
              <w:rPr/>
            </w:pPr>
            <w:r>
              <w:rPr/>
              <w:t>1,472,100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double" w:sz="10" w:space="0" w:color="000000"/>
            </w:tcBorders>
            <w:shd w:fill="CCEEFF" w:val="clear"/>
            <w:tcMar>
              <w:bottom w:w="28" w:type="dxa"/>
            </w:tcMar>
            <w:vAlign w:val="center"/>
          </w:tcPr>
          <w:p>
            <w:pPr>
              <w:pStyle w:val="TableContents"/>
              <w:bidi w:val="0"/>
              <w:spacing w:before="0" w:after="283"/>
              <w:jc w:val="right"/>
              <w:rPr/>
            </w:pPr>
            <w:r>
              <w:rPr/>
              <w:t>1,219,523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47"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1506" w:type="dxa"/>
            <w:tcBorders>
              <w:bottom w:val="double" w:sz="10" w:space="0" w:color="000000"/>
            </w:tcBorders>
            <w:shd w:fill="CCEEFF" w:val="clear"/>
            <w:tcMar>
              <w:bottom w:w="28" w:type="dxa"/>
            </w:tcMar>
            <w:vAlign w:val="center"/>
          </w:tcPr>
          <w:p>
            <w:pPr>
              <w:pStyle w:val="TableContents"/>
              <w:bidi w:val="0"/>
              <w:spacing w:before="0" w:after="283"/>
              <w:jc w:val="right"/>
              <w:rPr/>
            </w:pPr>
            <w:r>
              <w:rPr/>
              <w:t>21</w:t>
            </w:r>
          </w:p>
        </w:tc>
        <w:tc>
          <w:tcPr>
            <w:tcW w:w="231" w:type="dxa"/>
            <w:tcBorders/>
            <w:shd w:fill="CCEEFF" w:val="clear"/>
            <w:vAlign w:val="center"/>
          </w:tcPr>
          <w:p>
            <w:pPr>
              <w:pStyle w:val="TableContents"/>
              <w:bidi w:val="0"/>
              <w:spacing w:before="0" w:after="283"/>
              <w:jc w:val="left"/>
              <w:rPr/>
            </w:pPr>
            <w:r>
              <w:rPr/>
              <w:t>%</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SUBSCRIPTION REVENUE</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450"/>
        <w:gridCol w:w="60"/>
        <w:gridCol w:w="60"/>
        <w:gridCol w:w="980"/>
        <w:gridCol w:w="60"/>
        <w:gridCol w:w="60"/>
        <w:gridCol w:w="60"/>
        <w:gridCol w:w="980"/>
        <w:gridCol w:w="60"/>
        <w:gridCol w:w="60"/>
        <w:gridCol w:w="214"/>
        <w:gridCol w:w="931"/>
        <w:gridCol w:w="230"/>
      </w:tblGrid>
      <w:tr>
        <w:trPr/>
        <w:tc>
          <w:tcPr>
            <w:tcW w:w="645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465" w:type="dxa"/>
            <w:gridSpan w:val="10"/>
            <w:tcBorders>
              <w:bottom w:val="single" w:sz="12" w:space="0" w:color="000000"/>
            </w:tcBorders>
            <w:tcMar>
              <w:bottom w:w="28" w:type="dxa"/>
            </w:tcMar>
            <w:vAlign w:val="center"/>
          </w:tcPr>
          <w:p>
            <w:pPr>
              <w:pStyle w:val="TableContents"/>
              <w:bidi w:val="0"/>
              <w:spacing w:before="0" w:after="283"/>
              <w:jc w:val="center"/>
              <w:rPr>
                <w:b/>
              </w:rPr>
            </w:pPr>
            <w:r>
              <w:rPr>
                <w:b/>
              </w:rPr>
              <w:t xml:space="preserve">Year Ended </w:t>
              <w:br/>
              <w:t>February 28,</w:t>
            </w:r>
          </w:p>
        </w:tc>
        <w:tc>
          <w:tcPr>
            <w:tcW w:w="230" w:type="dxa"/>
            <w:tcBorders/>
            <w:vAlign w:val="center"/>
          </w:tcPr>
          <w:p>
            <w:pPr>
              <w:pStyle w:val="TableContents"/>
              <w:bidi w:val="0"/>
              <w:spacing w:before="0" w:after="283"/>
              <w:jc w:val="left"/>
              <w:rPr/>
            </w:pPr>
            <w:r>
              <w:rPr/>
              <w:t> </w:t>
            </w:r>
          </w:p>
        </w:tc>
      </w:tr>
      <w:tr>
        <w:trPr/>
        <w:tc>
          <w:tcPr>
            <w:tcW w:w="645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04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2026</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4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2025</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4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Year-</w:t>
              <w:br/>
              <w:t>on-Year</w:t>
              <w:br/>
              <w:t>Change</w:t>
            </w:r>
          </w:p>
        </w:tc>
        <w:tc>
          <w:tcPr>
            <w:tcW w:w="230" w:type="dxa"/>
            <w:tcBorders/>
            <w:vAlign w:val="center"/>
          </w:tcPr>
          <w:p>
            <w:pPr>
              <w:pStyle w:val="TableContents"/>
              <w:bidi w:val="0"/>
              <w:spacing w:before="0" w:after="283"/>
              <w:jc w:val="left"/>
              <w:rPr/>
            </w:pPr>
            <w:r>
              <w:rPr/>
              <w:t> </w:t>
            </w:r>
          </w:p>
        </w:tc>
      </w:tr>
      <w:tr>
        <w:trPr/>
        <w:tc>
          <w:tcPr>
            <w:tcW w:w="645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200" w:type="dxa"/>
            <w:gridSpan w:val="6"/>
            <w:tcBorders/>
            <w:vAlign w:val="center"/>
          </w:tcPr>
          <w:p>
            <w:pPr>
              <w:pStyle w:val="TableContents"/>
              <w:bidi w:val="0"/>
              <w:spacing w:before="0" w:after="283"/>
              <w:jc w:val="center"/>
              <w:rPr>
                <w:b/>
              </w:rPr>
            </w:pPr>
            <w:r>
              <w:rPr>
                <w:b/>
              </w:rPr>
              <w:t>(Rand Thousands)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45" w:type="dxa"/>
            <w:gridSpan w:val="2"/>
            <w:tcBorders/>
            <w:vAlign w:val="center"/>
          </w:tcPr>
          <w:p>
            <w:pPr>
              <w:pStyle w:val="TableContents"/>
              <w:bidi w:val="0"/>
              <w:spacing w:before="0" w:after="283"/>
              <w:jc w:val="center"/>
              <w:rPr>
                <w:b/>
              </w:rPr>
            </w:pPr>
            <w:r>
              <w:rPr>
                <w:b/>
              </w:rPr>
              <w:t>Percentage</w:t>
            </w:r>
          </w:p>
        </w:tc>
        <w:tc>
          <w:tcPr>
            <w:tcW w:w="230" w:type="dxa"/>
            <w:tcBorders/>
            <w:vAlign w:val="center"/>
          </w:tcPr>
          <w:p>
            <w:pPr>
              <w:pStyle w:val="TableContents"/>
              <w:bidi w:val="0"/>
              <w:spacing w:before="0" w:after="283"/>
              <w:jc w:val="left"/>
              <w:rPr/>
            </w:pPr>
            <w:r>
              <w:rPr/>
              <w:t> </w:t>
            </w:r>
          </w:p>
        </w:tc>
      </w:tr>
      <w:tr>
        <w:trPr/>
        <w:tc>
          <w:tcPr>
            <w:tcW w:w="6450" w:type="dxa"/>
            <w:tcBorders/>
            <w:shd w:fill="CCEEFF" w:val="clear"/>
            <w:vAlign w:val="center"/>
          </w:tcPr>
          <w:p>
            <w:pPr>
              <w:pStyle w:val="TableContents"/>
              <w:bidi w:val="0"/>
              <w:spacing w:before="0" w:after="283"/>
              <w:jc w:val="left"/>
              <w:rPr/>
            </w:pPr>
            <w:r>
              <w:rPr/>
              <w:t>Subscription revenue as reported</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4,843,748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4,068,177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4" w:type="dxa"/>
            <w:tcBorders/>
            <w:shd w:fill="CCEEFF" w:val="clear"/>
            <w:vAlign w:val="center"/>
          </w:tcPr>
          <w:p>
            <w:pPr>
              <w:pStyle w:val="TableContents"/>
              <w:bidi w:val="0"/>
              <w:spacing w:before="0" w:after="283"/>
              <w:jc w:val="left"/>
              <w:rPr/>
            </w:pPr>
            <w:r>
              <w:rPr/>
              <w:t> </w:t>
            </w:r>
          </w:p>
        </w:tc>
        <w:tc>
          <w:tcPr>
            <w:tcW w:w="931" w:type="dxa"/>
            <w:tcBorders/>
            <w:shd w:fill="CCEEFF" w:val="clear"/>
            <w:vAlign w:val="center"/>
          </w:tcPr>
          <w:p>
            <w:pPr>
              <w:pStyle w:val="TableContents"/>
              <w:bidi w:val="0"/>
              <w:spacing w:before="0" w:after="283"/>
              <w:jc w:val="right"/>
              <w:rPr/>
            </w:pPr>
            <w:r>
              <w:rPr/>
              <w:t>19</w:t>
            </w:r>
          </w:p>
        </w:tc>
        <w:tc>
          <w:tcPr>
            <w:tcW w:w="230" w:type="dxa"/>
            <w:tcBorders/>
            <w:shd w:fill="CCEEFF" w:val="clear"/>
            <w:vAlign w:val="center"/>
          </w:tcPr>
          <w:p>
            <w:pPr>
              <w:pStyle w:val="TableContents"/>
              <w:bidi w:val="0"/>
              <w:spacing w:before="0" w:after="283"/>
              <w:jc w:val="left"/>
              <w:rPr/>
            </w:pPr>
            <w:r>
              <w:rPr/>
              <w:t>%</w:t>
            </w:r>
          </w:p>
        </w:tc>
      </w:tr>
      <w:tr>
        <w:trPr/>
        <w:tc>
          <w:tcPr>
            <w:tcW w:w="6450" w:type="dxa"/>
            <w:tcBorders/>
            <w:shd w:fill="FFFFFF" w:val="clear"/>
            <w:vAlign w:val="center"/>
          </w:tcPr>
          <w:p>
            <w:pPr>
              <w:pStyle w:val="TableContents"/>
              <w:bidi w:val="0"/>
              <w:spacing w:before="0" w:after="283"/>
              <w:jc w:val="left"/>
              <w:rPr/>
            </w:pPr>
            <w:r>
              <w:rPr/>
              <w:t>Conversion impact of other currencies using 2025 foreign exchange rates</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980" w:type="dxa"/>
            <w:tcBorders>
              <w:bottom w:val="single" w:sz="12" w:space="0" w:color="000000"/>
            </w:tcBorders>
            <w:shd w:fill="FFFFFF" w:val="clear"/>
            <w:tcMar>
              <w:bottom w:w="28" w:type="dxa"/>
            </w:tcMar>
            <w:vAlign w:val="center"/>
          </w:tcPr>
          <w:p>
            <w:pPr>
              <w:pStyle w:val="TableContents"/>
              <w:bidi w:val="0"/>
              <w:spacing w:before="0" w:after="283"/>
              <w:jc w:val="right"/>
              <w:rPr/>
            </w:pPr>
            <w:r>
              <w:rPr/>
              <w:t>14,857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980"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4"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931"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230" w:type="dxa"/>
            <w:tcBorders/>
            <w:shd w:fill="FFFFFF" w:val="clear"/>
            <w:vAlign w:val="center"/>
          </w:tcPr>
          <w:p>
            <w:pPr>
              <w:pStyle w:val="TableContents"/>
              <w:bidi w:val="0"/>
              <w:spacing w:before="0" w:after="283"/>
              <w:jc w:val="left"/>
              <w:rPr/>
            </w:pPr>
            <w:r>
              <w:rPr/>
              <w:t> </w:t>
            </w:r>
          </w:p>
        </w:tc>
      </w:tr>
      <w:tr>
        <w:trPr/>
        <w:tc>
          <w:tcPr>
            <w:tcW w:w="6450" w:type="dxa"/>
            <w:tcBorders/>
            <w:shd w:fill="CCEEFF" w:val="clear"/>
            <w:vAlign w:val="center"/>
          </w:tcPr>
          <w:p>
            <w:pPr>
              <w:pStyle w:val="TableContents"/>
              <w:bidi w:val="0"/>
              <w:spacing w:before="0" w:after="283"/>
              <w:jc w:val="left"/>
              <w:rPr/>
            </w:pPr>
            <w:r>
              <w:rPr/>
              <w:t>Subscription revenue on a constant currency basis</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double" w:sz="10" w:space="0" w:color="000000"/>
            </w:tcBorders>
            <w:shd w:fill="CCEEFF" w:val="clear"/>
            <w:tcMar>
              <w:bottom w:w="28" w:type="dxa"/>
            </w:tcMar>
            <w:vAlign w:val="center"/>
          </w:tcPr>
          <w:p>
            <w:pPr>
              <w:pStyle w:val="TableContents"/>
              <w:bidi w:val="0"/>
              <w:spacing w:before="0" w:after="283"/>
              <w:jc w:val="right"/>
              <w:rPr/>
            </w:pPr>
            <w:r>
              <w:rPr/>
              <w:t>4,858,605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double" w:sz="10" w:space="0" w:color="000000"/>
            </w:tcBorders>
            <w:shd w:fill="CCEEFF" w:val="clear"/>
            <w:tcMar>
              <w:bottom w:w="28" w:type="dxa"/>
            </w:tcMar>
            <w:vAlign w:val="center"/>
          </w:tcPr>
          <w:p>
            <w:pPr>
              <w:pStyle w:val="TableContents"/>
              <w:bidi w:val="0"/>
              <w:spacing w:before="0" w:after="283"/>
              <w:jc w:val="right"/>
              <w:rPr/>
            </w:pPr>
            <w:r>
              <w:rPr/>
              <w:t>4,068,177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4"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931" w:type="dxa"/>
            <w:tcBorders>
              <w:bottom w:val="double" w:sz="10" w:space="0" w:color="000000"/>
            </w:tcBorders>
            <w:shd w:fill="CCEEFF" w:val="clear"/>
            <w:tcMar>
              <w:bottom w:w="28" w:type="dxa"/>
            </w:tcMar>
            <w:vAlign w:val="center"/>
          </w:tcPr>
          <w:p>
            <w:pPr>
              <w:pStyle w:val="TableContents"/>
              <w:bidi w:val="0"/>
              <w:spacing w:before="0" w:after="283"/>
              <w:jc w:val="right"/>
              <w:rPr/>
            </w:pPr>
            <w:r>
              <w:rPr/>
              <w:t>19</w:t>
            </w:r>
          </w:p>
        </w:tc>
        <w:tc>
          <w:tcPr>
            <w:tcW w:w="230" w:type="dxa"/>
            <w:tcBorders/>
            <w:shd w:fill="CCEEFF" w:val="clear"/>
            <w:vAlign w:val="center"/>
          </w:tcPr>
          <w:p>
            <w:pPr>
              <w:pStyle w:val="TableContents"/>
              <w:bidi w:val="0"/>
              <w:spacing w:before="0" w:after="283"/>
              <w:jc w:val="left"/>
              <w:rPr/>
            </w:pPr>
            <w:r>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23</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TOTAL REVENUE</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5975"/>
        <w:gridCol w:w="60"/>
        <w:gridCol w:w="60"/>
        <w:gridCol w:w="980"/>
        <w:gridCol w:w="60"/>
        <w:gridCol w:w="60"/>
        <w:gridCol w:w="60"/>
        <w:gridCol w:w="980"/>
        <w:gridCol w:w="60"/>
        <w:gridCol w:w="60"/>
        <w:gridCol w:w="321"/>
        <w:gridCol w:w="1298"/>
        <w:gridCol w:w="231"/>
      </w:tblGrid>
      <w:tr>
        <w:trPr/>
        <w:tc>
          <w:tcPr>
            <w:tcW w:w="59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939" w:type="dxa"/>
            <w:gridSpan w:val="10"/>
            <w:tcBorders>
              <w:bottom w:val="single" w:sz="12" w:space="0" w:color="000000"/>
            </w:tcBorders>
            <w:tcMar>
              <w:bottom w:w="28" w:type="dxa"/>
            </w:tcMar>
            <w:vAlign w:val="center"/>
          </w:tcPr>
          <w:p>
            <w:pPr>
              <w:pStyle w:val="TableContents"/>
              <w:bidi w:val="0"/>
              <w:spacing w:before="0" w:after="283"/>
              <w:jc w:val="center"/>
              <w:rPr>
                <w:b/>
              </w:rPr>
            </w:pPr>
            <w:r>
              <w:rPr>
                <w:b/>
              </w:rPr>
              <w:t xml:space="preserve">Year Ended </w:t>
              <w:br/>
              <w:t>February 28,</w:t>
            </w:r>
          </w:p>
        </w:tc>
        <w:tc>
          <w:tcPr>
            <w:tcW w:w="231" w:type="dxa"/>
            <w:tcBorders/>
            <w:vAlign w:val="center"/>
          </w:tcPr>
          <w:p>
            <w:pPr>
              <w:pStyle w:val="TableContents"/>
              <w:bidi w:val="0"/>
              <w:spacing w:before="0" w:after="283"/>
              <w:jc w:val="left"/>
              <w:rPr/>
            </w:pPr>
            <w:r>
              <w:rPr/>
              <w:t> </w:t>
            </w:r>
          </w:p>
        </w:tc>
      </w:tr>
      <w:tr>
        <w:trPr/>
        <w:tc>
          <w:tcPr>
            <w:tcW w:w="597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04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2026</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4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2025</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19"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Year-</w:t>
              <w:br/>
              <w:t>on-Year Change</w:t>
            </w:r>
          </w:p>
        </w:tc>
        <w:tc>
          <w:tcPr>
            <w:tcW w:w="231" w:type="dxa"/>
            <w:tcBorders/>
            <w:vAlign w:val="center"/>
          </w:tcPr>
          <w:p>
            <w:pPr>
              <w:pStyle w:val="TableContents"/>
              <w:bidi w:val="0"/>
              <w:spacing w:before="0" w:after="283"/>
              <w:jc w:val="left"/>
              <w:rPr/>
            </w:pPr>
            <w:r>
              <w:rPr/>
              <w:t> </w:t>
            </w:r>
          </w:p>
        </w:tc>
      </w:tr>
      <w:tr>
        <w:trPr/>
        <w:tc>
          <w:tcPr>
            <w:tcW w:w="59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200" w:type="dxa"/>
            <w:gridSpan w:val="6"/>
            <w:tcBorders/>
            <w:vAlign w:val="center"/>
          </w:tcPr>
          <w:p>
            <w:pPr>
              <w:pStyle w:val="TableContents"/>
              <w:bidi w:val="0"/>
              <w:spacing w:before="0" w:after="283"/>
              <w:jc w:val="center"/>
              <w:rPr>
                <w:b/>
              </w:rPr>
            </w:pPr>
            <w:r>
              <w:rPr>
                <w:b/>
              </w:rPr>
              <w:t>(Rand Thousands)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19" w:type="dxa"/>
            <w:gridSpan w:val="2"/>
            <w:tcBorders/>
            <w:vAlign w:val="center"/>
          </w:tcPr>
          <w:p>
            <w:pPr>
              <w:pStyle w:val="TableContents"/>
              <w:bidi w:val="0"/>
              <w:spacing w:before="0" w:after="283"/>
              <w:jc w:val="center"/>
              <w:rPr>
                <w:b/>
              </w:rPr>
            </w:pPr>
            <w:r>
              <w:rPr>
                <w:b/>
              </w:rPr>
              <w:t>Percentage</w:t>
            </w:r>
          </w:p>
        </w:tc>
        <w:tc>
          <w:tcPr>
            <w:tcW w:w="231" w:type="dxa"/>
            <w:tcBorders/>
            <w:vAlign w:val="center"/>
          </w:tcPr>
          <w:p>
            <w:pPr>
              <w:pStyle w:val="TableContents"/>
              <w:bidi w:val="0"/>
              <w:spacing w:before="0" w:after="283"/>
              <w:jc w:val="left"/>
              <w:rPr/>
            </w:pPr>
            <w:r>
              <w:rPr/>
              <w:t> </w:t>
            </w:r>
          </w:p>
        </w:tc>
      </w:tr>
      <w:tr>
        <w:trPr/>
        <w:tc>
          <w:tcPr>
            <w:tcW w:w="5975" w:type="dxa"/>
            <w:tcBorders/>
            <w:shd w:fill="CCEEFF" w:val="clear"/>
            <w:vAlign w:val="center"/>
          </w:tcPr>
          <w:p>
            <w:pPr>
              <w:pStyle w:val="TableContents"/>
              <w:bidi w:val="0"/>
              <w:spacing w:before="0" w:after="283"/>
              <w:jc w:val="left"/>
              <w:rPr/>
            </w:pPr>
            <w:r>
              <w:rPr/>
              <w:t>Total revenue as reported</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5,479,120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4,567,459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21" w:type="dxa"/>
            <w:tcBorders/>
            <w:shd w:fill="CCEEFF" w:val="clear"/>
            <w:vAlign w:val="center"/>
          </w:tcPr>
          <w:p>
            <w:pPr>
              <w:pStyle w:val="TableContents"/>
              <w:bidi w:val="0"/>
              <w:spacing w:before="0" w:after="283"/>
              <w:jc w:val="left"/>
              <w:rPr/>
            </w:pPr>
            <w:r>
              <w:rPr/>
              <w:t> </w:t>
            </w:r>
          </w:p>
        </w:tc>
        <w:tc>
          <w:tcPr>
            <w:tcW w:w="1298" w:type="dxa"/>
            <w:tcBorders/>
            <w:shd w:fill="CCEEFF" w:val="clear"/>
            <w:vAlign w:val="center"/>
          </w:tcPr>
          <w:p>
            <w:pPr>
              <w:pStyle w:val="TableContents"/>
              <w:bidi w:val="0"/>
              <w:spacing w:before="0" w:after="283"/>
              <w:jc w:val="right"/>
              <w:rPr/>
            </w:pPr>
            <w:r>
              <w:rPr/>
              <w:t>20</w:t>
            </w:r>
          </w:p>
        </w:tc>
        <w:tc>
          <w:tcPr>
            <w:tcW w:w="231" w:type="dxa"/>
            <w:tcBorders/>
            <w:shd w:fill="CCEEFF" w:val="clear"/>
            <w:vAlign w:val="center"/>
          </w:tcPr>
          <w:p>
            <w:pPr>
              <w:pStyle w:val="TableContents"/>
              <w:bidi w:val="0"/>
              <w:spacing w:before="0" w:after="283"/>
              <w:jc w:val="left"/>
              <w:rPr/>
            </w:pPr>
            <w:r>
              <w:rPr/>
              <w:t>%</w:t>
            </w:r>
          </w:p>
        </w:tc>
      </w:tr>
      <w:tr>
        <w:trPr/>
        <w:tc>
          <w:tcPr>
            <w:tcW w:w="5975" w:type="dxa"/>
            <w:tcBorders/>
            <w:shd w:fill="FFFFFF" w:val="clear"/>
            <w:vAlign w:val="center"/>
          </w:tcPr>
          <w:p>
            <w:pPr>
              <w:pStyle w:val="TableContents"/>
              <w:bidi w:val="0"/>
              <w:spacing w:before="0" w:after="283"/>
              <w:jc w:val="left"/>
              <w:rPr/>
            </w:pPr>
            <w:r>
              <w:rPr/>
              <w:t>Conversion impact of other currencies using 2025 foreign exchange rates</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980" w:type="dxa"/>
            <w:tcBorders>
              <w:bottom w:val="single" w:sz="12" w:space="0" w:color="000000"/>
            </w:tcBorders>
            <w:shd w:fill="FFFFFF" w:val="clear"/>
            <w:tcMar>
              <w:bottom w:w="28" w:type="dxa"/>
            </w:tcMar>
            <w:vAlign w:val="center"/>
          </w:tcPr>
          <w:p>
            <w:pPr>
              <w:pStyle w:val="TableContents"/>
              <w:bidi w:val="0"/>
              <w:spacing w:before="0" w:after="283"/>
              <w:jc w:val="right"/>
              <w:rPr/>
            </w:pPr>
            <w:r>
              <w:rPr/>
              <w:t>15,119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980"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21"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98"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231" w:type="dxa"/>
            <w:tcBorders/>
            <w:shd w:fill="FFFFFF" w:val="clear"/>
            <w:vAlign w:val="center"/>
          </w:tcPr>
          <w:p>
            <w:pPr>
              <w:pStyle w:val="TableContents"/>
              <w:bidi w:val="0"/>
              <w:spacing w:before="0" w:after="283"/>
              <w:jc w:val="left"/>
              <w:rPr/>
            </w:pPr>
            <w:r>
              <w:rPr/>
              <w:t> </w:t>
            </w:r>
          </w:p>
        </w:tc>
      </w:tr>
      <w:tr>
        <w:trPr/>
        <w:tc>
          <w:tcPr>
            <w:tcW w:w="5975" w:type="dxa"/>
            <w:tcBorders/>
            <w:shd w:fill="CCEEFF" w:val="clear"/>
            <w:vAlign w:val="center"/>
          </w:tcPr>
          <w:p>
            <w:pPr>
              <w:pStyle w:val="TableContents"/>
              <w:bidi w:val="0"/>
              <w:spacing w:before="0" w:after="283"/>
              <w:jc w:val="left"/>
              <w:rPr/>
            </w:pPr>
            <w:r>
              <w:rPr/>
              <w:t>Total revenue on a constant currency basis</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double" w:sz="10" w:space="0" w:color="000000"/>
            </w:tcBorders>
            <w:shd w:fill="CCEEFF" w:val="clear"/>
            <w:tcMar>
              <w:bottom w:w="28" w:type="dxa"/>
            </w:tcMar>
            <w:vAlign w:val="center"/>
          </w:tcPr>
          <w:p>
            <w:pPr>
              <w:pStyle w:val="TableContents"/>
              <w:bidi w:val="0"/>
              <w:spacing w:before="0" w:after="283"/>
              <w:jc w:val="right"/>
              <w:rPr/>
            </w:pPr>
            <w:r>
              <w:rPr/>
              <w:t>5,494,239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double" w:sz="10" w:space="0" w:color="000000"/>
            </w:tcBorders>
            <w:shd w:fill="CCEEFF" w:val="clear"/>
            <w:tcMar>
              <w:bottom w:w="28" w:type="dxa"/>
            </w:tcMar>
            <w:vAlign w:val="center"/>
          </w:tcPr>
          <w:p>
            <w:pPr>
              <w:pStyle w:val="TableContents"/>
              <w:bidi w:val="0"/>
              <w:spacing w:before="0" w:after="283"/>
              <w:jc w:val="right"/>
              <w:rPr/>
            </w:pPr>
            <w:r>
              <w:rPr/>
              <w:t>4,567,459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21"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1298" w:type="dxa"/>
            <w:tcBorders>
              <w:bottom w:val="double" w:sz="10" w:space="0" w:color="000000"/>
            </w:tcBorders>
            <w:shd w:fill="CCEEFF" w:val="clear"/>
            <w:tcMar>
              <w:bottom w:w="28" w:type="dxa"/>
            </w:tcMar>
            <w:vAlign w:val="center"/>
          </w:tcPr>
          <w:p>
            <w:pPr>
              <w:pStyle w:val="TableContents"/>
              <w:bidi w:val="0"/>
              <w:spacing w:before="0" w:after="283"/>
              <w:jc w:val="right"/>
              <w:rPr/>
            </w:pPr>
            <w:r>
              <w:rPr/>
              <w:t>20</w:t>
            </w:r>
          </w:p>
        </w:tc>
        <w:tc>
          <w:tcPr>
            <w:tcW w:w="231" w:type="dxa"/>
            <w:tcBorders/>
            <w:shd w:fill="CCEEFF" w:val="clear"/>
            <w:vAlign w:val="center"/>
          </w:tcPr>
          <w:p>
            <w:pPr>
              <w:pStyle w:val="TableContents"/>
              <w:bidi w:val="0"/>
              <w:spacing w:before="0" w:after="283"/>
              <w:jc w:val="left"/>
              <w:rPr/>
            </w:pPr>
            <w:r>
              <w:rPr/>
              <w:t>%</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DEFINITIONS </w:t>
      </w:r>
      <w:r>
        <w:rPr>
          <w:rFonts w:ascii="Times New Roman;Times;Serif" w:hAnsi="Times New Roman;Times;Serif"/>
          <w:b w:val="false"/>
          <w:i w:val="false"/>
          <w:caps w:val="false"/>
          <w:smallCaps w:val="false"/>
          <w:sz w:val="20"/>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Adjusted Earnings per Share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Adjusted earnings per share, (a non-IFRS measure) is defined as, earnings per share defined by IFRS excluding the impact of non-recurring operational expenses relating to offering costs.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Adjusted EBITDA</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define Adjusted EBITDA (a non-IFRS measure) as profit less finance income, plus finance costs, taxation, depreciation and amortization, plus impact of non-recurring operational expenses, if any. In addition to our results determined in accordance with IFRS, we believe Adjusted EBITDA (a non-IFRS measure) is useful in evaluating our operating performance. We use Adjusted EBITDA in our operational and financial decision-making and believe Adjusted EBITDA is useful to investors because similar measures are frequently used by securities analysts, investors, ratings agencies and other interested parties to evaluate our competitors and to measure profitability. However, non-IFRS financial information is presented for supplemental informational purposes only, has limitations as an analytical tool and should not be considered in isolation or as a substitute for financial information presented in accordance with IFRS. Investors are encouraged to review the related IFRS financial measure and the reconciliation of Adjusted EBITDA to profit, its most directly comparable IFRS financial measure, and not to rely on any single financial measure to evaluate our business.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Adjusted EBITDA Margin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define Adjusted EBITDA Margin (a non-IFRS measure) as Adjusted EBITDA (a non-IFRS measure) divided by revenue. In addition to our results determined in accordance with IFRS, we believe Adjusted EBITDA Margin (a non-IFRS measure) is useful in evaluating our operating performance. We use Adjusted EBITDA Margin in our operational and financial decision-making and believe Adjusted EBITDA Margin is useful to investors because similar measures are frequently used by securities analysts, investors, ratings agencies and other interested parties to evaluate our competitors and to measure profitability. However, non-IFRS financial information is presented for supplemental informational purposes only, has limitations as an analytical tool and should not be considered in isolation or as a substitute for financial information presented in accordance with IFRS.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Delivery-as-a-service Revenue (DaaS)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DaaS Revenue (a non-IFRS) measure) is defined as the total revenue generated from last-mile delivery services, including subscription-based revenue associated with these services.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Annualized Recurring Revenue (SaaS ARR)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SaaS ARR (a non-IFRS measure) is defined as the annual run-rate subscription revenue of subscription agreements from all customers at a point in time, calculated by taking the monthly subscription revenue for all customers during that month and multiplying by twelve.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Average Revenue per Subscriber per month (ARPU)</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ARPU (a non-IFRS measure) is calculated on a periodic basis by dividing the cumulative subscription revenue for the period by the average of the opening subscriber balance at the beginning of the period and closing subscriber balance at the end of the period and dividing this by the number of months in the period.</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24</w:t>
      </w:r>
    </w:p>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 xml:space="preserve">Cartrack Holdings </w:t>
      </w:r>
      <w:r>
        <w:rPr>
          <w:rFonts w:ascii="Times New Roman;Times;Serif" w:hAnsi="Times New Roman;Times;Serif"/>
          <w:b w:val="false"/>
          <w:i w:val="false"/>
          <w:caps w:val="false"/>
          <w:smallCaps w:val="false"/>
          <w:sz w:val="20"/>
        </w:rPr>
        <w:t>(“Cartrack”)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Earnings per share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Basic earnings per share in accordance with IFRS.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Free Cash Flow and Adjusted Free Cash Flow</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define Free Cash Flow (a non-IFRS measure) as net cash generated from operating activities less purchases of property, plant and equipment. Adjusted Free Cash Flow (a non-IFRS measure) further include fixed deposits with maturity dates exceeding three months that were classified as trade and other receivables. In addition to our results determined in accordance with IFRS, we believe Free Cash Flow (a non-IFRS measure) and Adjusted Free Cash Flow (a non-IFRS measure), are useful in evaluating our operating performance. We believe that Free Cash Flow and Adjusted Free Cash Flow are useful indicators of liquidity and the ability of the group to turn revenues into Free Cash Flow, that provide information to management and investors about the amount of cash generated from our operations that, after the investments in property, plant and equipment, can be used for strategic initiatives, including investing in our business, and strengthening our financial position. However, non-IFRS financial information is presented for supplemental informational purposes only, has limitations as an analytical tool and should not be considered in isolation or as a substitute for financial information presented in accordance with IFRS. Investors are encouraged to review the related IFRS financial measure and the reconciliation of Free Cash Flow and Adjusted Free Cash Flow to net cash generated operating activities and net cash generated from operating activities as a percentage of revenue, their most directly comparable IFRS financial measure, and not to rely on any single financial measure to evaluate our business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Rule of 40</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sum of revenue growth and operating margin for a period of 12 months sum to greater than 40.</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Rule of 60</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sum of revenue growth and adjusted EBITDA margin for the period of 12 months sum to greater than 60.</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Unit economics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These are non-IFRS financial measures that are used as reference of Cartrack’s performance.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Lifetime value (LTV of a Customer) of customer relationships to customer acquisition costs (CAC)</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calculate the LTV of our customer relationships as of a measurement date by dividing (i) the product of our subscription revenue gross margin measured over the past twelve months, and the difference between our current period SaaS ARR and prior comparative period (twelve months) SaaS ARR by (ii) the percentage of SaaS ARR lost as a result of customer churn over the past twelve months. We calculate our CAC as our annual sales and marketing expense measured over the past twelve months.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 xml:space="preserve">Lifetime value (LTV of a Subscriber), cost of acquiring a subscriber (CAS) and </w:t>
      </w:r>
      <w:r>
        <w:rPr>
          <w:rFonts w:ascii="Times New Roman;Times;Serif" w:hAnsi="Times New Roman;Times;Serif"/>
          <w:b w:val="false"/>
          <w:i w:val="false"/>
          <w:caps w:val="false"/>
          <w:smallCaps w:val="false"/>
          <w:sz w:val="20"/>
        </w:rPr>
        <w:t>cost of servicing a subscriber (CSS)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 is important to distinguish between the subscriber contract life cycle (the life cycle of a vehicle or other equipment on our connected cloud) and the customer lifecycle (one customer normally has multiple ongoing subscriber contract life cycles as customers de-fleet and re-fleet their vehicle parc and other equipment on our connected cloud).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calculate the LTV of a subscriber by multiplying the ARPU with the expected contract life cycle months, multiplied by the subscription revenue gross margin percentage, which is defined as gross profit relating to subscription revenue divided by subscription revenue.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calculate CAS, which is calculated on a per subscriber basis, as (i) sales and marketing expenses, plus (ii) sales commissions, plus (iii) cost of installing IoT equipment, divided by (iv) the average subscriber base for such period.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25</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calculate CSS, which is calculated on a per subscriber basis, as (i) operating expenses excluding estimated general business expansion costs, plus (ii) costs of sales that relates to subscription revenue, less (iii) all costs used to calculate CAS, divided by (iv) the average subscriber balance for such period.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estimate our long-term unit economics operational profit by multiplying (i) the product of the expected life cycle of a subscriber on our connected cloud by ARPU, minus (ii) CAS added to the product of the expected life cycle of a subscriber on our connected cloud by CSS.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Forward-Looking Statements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information in this announcement (which includes any oral statements made in connection therewith, as applicable) includes “forward-looking statements.” Forward-looking statements are based on our beliefs and assumptions and on information currently available to us, and include, without limitation, statements regarding our business, financial condition, strategy, results of operations, certain of our plans, objectives, assumptions, expectations, prospects and beliefs and statements regarding other future events or prospects, including outlook statements. Forward-looking statements include all statements that are not historical facts and can be identified by the use of forward-looking terminology such as the words “believe,” “expect,” “plan,” “intend,” “seek,” “anticipate,” “estimate,” “predict,” “potential,” “assume,” “continue,” “may,” “will,” “should,” “could,” “shall,” “risk” or the negative of these terms or similar expressions that are predictions of or indicate future events and future trends.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 their nature, forward-looking statements involve risks and uncertainties because they relate to events and depend on circumstances that may or may not occur in the future. We caution you that forward-looking statements are not guarantees of future performance and that our actual results of operations, financial condition and liquidity, the development of the industry in which we operate, the effect of acquisitions and operating decisions on us may differ materially from those made in or suggested by the forward-looking statements contained in this announcement. In addition, even if our results of operations, financial condition and liquidity, the development of the industry in which we operate, the effect of acquisitions and operating decisions on us are consistent with the forward-looking statements contained in this announcement, those results or developments may not be indicative of results or developments in subsequent periods.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Factors that could cause actual results to vary from projected results include, but are not limited to:</w:t>
      </w:r>
    </w:p>
    <w:p>
      <w:pPr>
        <w:pStyle w:val="TextBody"/>
        <w:bidi w:val="0"/>
        <w:spacing w:before="0" w:after="0"/>
        <w:ind w:left="0" w:right="0" w:hanging="0"/>
        <w:jc w:val="both"/>
        <w:rPr>
          <w:caps w:val="false"/>
          <w:smallCaps w:val="false"/>
        </w:rPr>
      </w:pPr>
      <w:r>
        <w:rPr>
          <w:caps w:val="false"/>
          <w:smallCaps w:val="false"/>
        </w:rPr>
        <w:t> </w:t>
      </w:r>
    </w:p>
    <w:tbl>
      <w:tblPr>
        <w:tblW w:w="5695" w:type="dxa"/>
        <w:jc w:val="left"/>
        <w:tblInd w:w="0" w:type="dxa"/>
        <w:tblLayout w:type="fixed"/>
        <w:tblCellMar>
          <w:top w:w="0" w:type="dxa"/>
          <w:left w:w="0" w:type="dxa"/>
          <w:bottom w:w="0" w:type="dxa"/>
          <w:right w:w="0" w:type="dxa"/>
        </w:tblCellMar>
      </w:tblPr>
      <w:tblGrid>
        <w:gridCol w:w="75"/>
        <w:gridCol w:w="170"/>
        <w:gridCol w:w="5450"/>
      </w:tblGrid>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w:t>
            </w:r>
          </w:p>
        </w:tc>
        <w:tc>
          <w:tcPr>
            <w:tcW w:w="545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our ability to acquire new customers and retain existing customers;</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our expectations regarding the effects of macroeconomic and geopolitical events on our business, customers and partners – including pandemic or widespread illness outbreaks of illness, the Russia-Ukraine and Middle Eastern conflicts, political and economic uncertainty in Mozambique, geopolitical tensions involving China, financial distress caused by bank failures, global supply chain disruptions, foreign currency fluctuations, elevated inflation and interest rates, and shifting trade and monetary policies;</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our anticipated growth strategies, including our ability to increase sales to existing customers, the introduction of new solutions and international expansion;</w:t>
            </w:r>
          </w:p>
        </w:tc>
      </w:tr>
    </w:tbl>
    <w:p>
      <w:pPr>
        <w:pStyle w:val="TextBody"/>
        <w:bidi w:val="0"/>
        <w:spacing w:before="0" w:after="0"/>
        <w:ind w:left="0" w:right="0" w:hanging="0"/>
        <w:jc w:val="both"/>
        <w:rPr>
          <w:caps w:val="false"/>
          <w:smallCaps w:val="false"/>
        </w:rPr>
      </w:pPr>
      <w:r>
        <w:rPr>
          <w:caps w:val="false"/>
          <w:smallCaps w:val="false"/>
        </w:rPr>
        <w:t> </w:t>
      </w:r>
    </w:p>
    <w:tbl>
      <w:tblPr>
        <w:tblW w:w="8260" w:type="dxa"/>
        <w:jc w:val="left"/>
        <w:tblInd w:w="0" w:type="dxa"/>
        <w:tblLayout w:type="fixed"/>
        <w:tblCellMar>
          <w:top w:w="0" w:type="dxa"/>
          <w:left w:w="0" w:type="dxa"/>
          <w:bottom w:w="0" w:type="dxa"/>
          <w:right w:w="0" w:type="dxa"/>
        </w:tblCellMar>
      </w:tblPr>
      <w:tblGrid>
        <w:gridCol w:w="75"/>
        <w:gridCol w:w="170"/>
        <w:gridCol w:w="8015"/>
      </w:tblGrid>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w:t>
            </w:r>
          </w:p>
        </w:tc>
        <w:tc>
          <w:tcPr>
            <w:tcW w:w="801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our ability to adapt to rapid technological change in our industry, including artificial intelligence;</w:t>
            </w:r>
          </w:p>
        </w:tc>
      </w:tr>
    </w:tbl>
    <w:p>
      <w:pPr>
        <w:pStyle w:val="TextBody"/>
        <w:bidi w:val="0"/>
        <w:spacing w:before="0" w:after="0"/>
        <w:ind w:left="0" w:right="0" w:hanging="0"/>
        <w:jc w:val="both"/>
        <w:rPr>
          <w:caps w:val="false"/>
          <w:smallCaps w:val="false"/>
        </w:rPr>
      </w:pPr>
      <w:r>
        <w:rPr>
          <w:caps w:val="false"/>
          <w:smallCaps w:val="false"/>
        </w:rPr>
        <w:t> </w:t>
      </w:r>
    </w:p>
    <w:tbl>
      <w:tblPr>
        <w:tblW w:w="3325" w:type="dxa"/>
        <w:jc w:val="left"/>
        <w:tblInd w:w="0" w:type="dxa"/>
        <w:tblLayout w:type="fixed"/>
        <w:tblCellMar>
          <w:top w:w="0" w:type="dxa"/>
          <w:left w:w="0" w:type="dxa"/>
          <w:bottom w:w="0" w:type="dxa"/>
          <w:right w:w="0" w:type="dxa"/>
        </w:tblCellMar>
      </w:tblPr>
      <w:tblGrid>
        <w:gridCol w:w="75"/>
        <w:gridCol w:w="170"/>
        <w:gridCol w:w="3080"/>
      </w:tblGrid>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w:t>
            </w:r>
          </w:p>
        </w:tc>
        <w:tc>
          <w:tcPr>
            <w:tcW w:w="308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our dependence on cellular networks;</w:t>
            </w:r>
          </w:p>
        </w:tc>
      </w:tr>
    </w:tbl>
    <w:p>
      <w:pPr>
        <w:pStyle w:val="TextBody"/>
        <w:bidi w:val="0"/>
        <w:spacing w:before="0" w:after="0"/>
        <w:ind w:left="0" w:right="0" w:hanging="0"/>
        <w:jc w:val="both"/>
        <w:rPr>
          <w:caps w:val="false"/>
          <w:smallCaps w:val="false"/>
        </w:rPr>
      </w:pPr>
      <w:r>
        <w:rPr>
          <w:caps w:val="false"/>
          <w:smallCaps w:val="false"/>
        </w:rPr>
        <w:t> </w:t>
      </w:r>
    </w:p>
    <w:tbl>
      <w:tblPr>
        <w:tblW w:w="3640" w:type="dxa"/>
        <w:jc w:val="left"/>
        <w:tblInd w:w="0" w:type="dxa"/>
        <w:tblLayout w:type="fixed"/>
        <w:tblCellMar>
          <w:top w:w="0" w:type="dxa"/>
          <w:left w:w="0" w:type="dxa"/>
          <w:bottom w:w="0" w:type="dxa"/>
          <w:right w:w="0" w:type="dxa"/>
        </w:tblCellMar>
      </w:tblPr>
      <w:tblGrid>
        <w:gridCol w:w="75"/>
        <w:gridCol w:w="170"/>
        <w:gridCol w:w="3395"/>
      </w:tblGrid>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w:t>
            </w:r>
          </w:p>
        </w:tc>
        <w:tc>
          <w:tcPr>
            <w:tcW w:w="339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competition from industry consolidation;</w:t>
            </w:r>
          </w:p>
        </w:tc>
      </w:tr>
    </w:tbl>
    <w:p>
      <w:pPr>
        <w:pStyle w:val="TextBody"/>
        <w:bidi w:val="0"/>
        <w:spacing w:before="0" w:after="0"/>
        <w:ind w:left="0" w:right="0" w:hanging="0"/>
        <w:jc w:val="both"/>
        <w:rPr>
          <w:caps w:val="false"/>
          <w:smallCaps w:val="false"/>
        </w:rPr>
      </w:pPr>
      <w:r>
        <w:rPr>
          <w:caps w:val="false"/>
          <w:smallCaps w:val="false"/>
        </w:rPr>
        <w:t> </w:t>
      </w:r>
    </w:p>
    <w:tbl>
      <w:tblPr>
        <w:tblW w:w="6565" w:type="dxa"/>
        <w:jc w:val="left"/>
        <w:tblInd w:w="0" w:type="dxa"/>
        <w:tblLayout w:type="fixed"/>
        <w:tblCellMar>
          <w:top w:w="0" w:type="dxa"/>
          <w:left w:w="0" w:type="dxa"/>
          <w:bottom w:w="0" w:type="dxa"/>
          <w:right w:w="0" w:type="dxa"/>
        </w:tblCellMar>
      </w:tblPr>
      <w:tblGrid>
        <w:gridCol w:w="75"/>
        <w:gridCol w:w="170"/>
        <w:gridCol w:w="6320"/>
      </w:tblGrid>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w:t>
            </w:r>
          </w:p>
        </w:tc>
        <w:tc>
          <w:tcPr>
            <w:tcW w:w="632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market adoption of software-as-a-service (“SaaS”) fleet management platform;</w:t>
            </w:r>
          </w:p>
        </w:tc>
      </w:tr>
    </w:tbl>
    <w:p>
      <w:pPr>
        <w:pStyle w:val="TextBody"/>
        <w:bidi w:val="0"/>
        <w:spacing w:before="0" w:after="0"/>
        <w:ind w:left="0" w:right="0" w:hanging="0"/>
        <w:jc w:val="both"/>
        <w:rPr>
          <w:caps w:val="false"/>
          <w:smallCaps w:val="false"/>
        </w:rPr>
      </w:pPr>
      <w:r>
        <w:rPr>
          <w:caps w:val="false"/>
          <w:smallCaps w:val="false"/>
        </w:rPr>
        <w:t> </w:t>
      </w:r>
    </w:p>
    <w:tbl>
      <w:tblPr>
        <w:tblW w:w="9415" w:type="dxa"/>
        <w:jc w:val="left"/>
        <w:tblInd w:w="0" w:type="dxa"/>
        <w:tblLayout w:type="fixed"/>
        <w:tblCellMar>
          <w:top w:w="0" w:type="dxa"/>
          <w:left w:w="0" w:type="dxa"/>
          <w:bottom w:w="0" w:type="dxa"/>
          <w:right w:w="0" w:type="dxa"/>
        </w:tblCellMar>
      </w:tblPr>
      <w:tblGrid>
        <w:gridCol w:w="75"/>
        <w:gridCol w:w="170"/>
        <w:gridCol w:w="9170"/>
      </w:tblGrid>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w:t>
            </w:r>
          </w:p>
        </w:tc>
        <w:tc>
          <w:tcPr>
            <w:tcW w:w="917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automotive market conditions and the evolving nature of the automotive industry towards autonomous vehicles;</w:t>
            </w:r>
          </w:p>
        </w:tc>
      </w:tr>
    </w:tbl>
    <w:p>
      <w:pPr>
        <w:pStyle w:val="TextBody"/>
        <w:bidi w:val="0"/>
        <w:spacing w:before="0" w:after="0"/>
        <w:ind w:left="0" w:right="0" w:hanging="0"/>
        <w:jc w:val="both"/>
        <w:rPr>
          <w:caps w:val="false"/>
          <w:smallCaps w:val="false"/>
        </w:rPr>
      </w:pPr>
      <w:r>
        <w:rPr>
          <w:caps w:val="false"/>
          <w:smallCaps w:val="false"/>
        </w:rPr>
        <w:t> </w:t>
      </w:r>
    </w:p>
    <w:tbl>
      <w:tblPr>
        <w:tblW w:w="8545" w:type="dxa"/>
        <w:jc w:val="left"/>
        <w:tblInd w:w="0" w:type="dxa"/>
        <w:tblLayout w:type="fixed"/>
        <w:tblCellMar>
          <w:top w:w="0" w:type="dxa"/>
          <w:left w:w="0" w:type="dxa"/>
          <w:bottom w:w="0" w:type="dxa"/>
          <w:right w:w="0" w:type="dxa"/>
        </w:tblCellMar>
      </w:tblPr>
      <w:tblGrid>
        <w:gridCol w:w="75"/>
        <w:gridCol w:w="170"/>
        <w:gridCol w:w="8300"/>
      </w:tblGrid>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w:t>
            </w:r>
          </w:p>
        </w:tc>
        <w:tc>
          <w:tcPr>
            <w:tcW w:w="830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expected changes in our profitability and certain cost or expense items as a percentage of our revenue;</w:t>
            </w:r>
          </w:p>
        </w:tc>
      </w:tr>
    </w:tbl>
    <w:p>
      <w:pPr>
        <w:pStyle w:val="TextBody"/>
        <w:bidi w:val="0"/>
        <w:spacing w:before="0" w:after="0"/>
        <w:ind w:left="0" w:right="0" w:hanging="0"/>
        <w:jc w:val="both"/>
        <w:rPr>
          <w:caps w:val="false"/>
          <w:smallCaps w:val="false"/>
        </w:rPr>
      </w:pPr>
      <w:r>
        <w:rPr>
          <w:caps w:val="false"/>
          <w:smallCaps w:val="false"/>
        </w:rPr>
        <w:t> </w:t>
      </w:r>
    </w:p>
    <w:tbl>
      <w:tblPr>
        <w:tblW w:w="5605" w:type="dxa"/>
        <w:jc w:val="left"/>
        <w:tblInd w:w="0" w:type="dxa"/>
        <w:tblLayout w:type="fixed"/>
        <w:tblCellMar>
          <w:top w:w="0" w:type="dxa"/>
          <w:left w:w="0" w:type="dxa"/>
          <w:bottom w:w="0" w:type="dxa"/>
          <w:right w:w="0" w:type="dxa"/>
        </w:tblCellMar>
      </w:tblPr>
      <w:tblGrid>
        <w:gridCol w:w="75"/>
        <w:gridCol w:w="170"/>
        <w:gridCol w:w="5360"/>
      </w:tblGrid>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w:t>
            </w:r>
          </w:p>
        </w:tc>
        <w:tc>
          <w:tcPr>
            <w:tcW w:w="53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our dependence on certain key component suppliers and vendors;</w:t>
            </w:r>
          </w:p>
        </w:tc>
      </w:tr>
    </w:tbl>
    <w:p>
      <w:pPr>
        <w:pStyle w:val="TextBody"/>
        <w:bidi w:val="0"/>
        <w:spacing w:before="0" w:after="0"/>
        <w:ind w:left="0" w:right="0" w:hanging="0"/>
        <w:jc w:val="both"/>
        <w:rPr>
          <w:caps w:val="false"/>
          <w:smallCaps w:val="false"/>
        </w:rPr>
      </w:pPr>
      <w:r>
        <w:rPr>
          <w:caps w:val="false"/>
          <w:smallCaps w:val="false"/>
        </w:rPr>
        <w:t> </w:t>
      </w:r>
    </w:p>
    <w:tbl>
      <w:tblPr>
        <w:tblW w:w="4915" w:type="dxa"/>
        <w:jc w:val="left"/>
        <w:tblInd w:w="0" w:type="dxa"/>
        <w:tblLayout w:type="fixed"/>
        <w:tblCellMar>
          <w:top w:w="0" w:type="dxa"/>
          <w:left w:w="0" w:type="dxa"/>
          <w:bottom w:w="0" w:type="dxa"/>
          <w:right w:w="0" w:type="dxa"/>
        </w:tblCellMar>
      </w:tblPr>
      <w:tblGrid>
        <w:gridCol w:w="75"/>
        <w:gridCol w:w="170"/>
        <w:gridCol w:w="4670"/>
      </w:tblGrid>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w:t>
            </w:r>
          </w:p>
        </w:tc>
        <w:tc>
          <w:tcPr>
            <w:tcW w:w="467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our ability to maintain or enhance our brand recognition;</w:t>
            </w:r>
          </w:p>
        </w:tc>
      </w:tr>
    </w:tbl>
    <w:p>
      <w:pPr>
        <w:pStyle w:val="TextBody"/>
        <w:bidi w:val="0"/>
        <w:spacing w:before="0" w:after="0"/>
        <w:ind w:left="0" w:right="0" w:hanging="0"/>
        <w:jc w:val="both"/>
        <w:rPr>
          <w:caps w:val="false"/>
          <w:smallCaps w:val="false"/>
        </w:rPr>
      </w:pPr>
      <w:r>
        <w:rPr>
          <w:caps w:val="false"/>
          <w:smallCaps w:val="false"/>
        </w:rPr>
        <w:t> </w:t>
      </w:r>
    </w:p>
    <w:tbl>
      <w:tblPr>
        <w:tblW w:w="8425" w:type="dxa"/>
        <w:jc w:val="left"/>
        <w:tblInd w:w="0" w:type="dxa"/>
        <w:tblLayout w:type="fixed"/>
        <w:tblCellMar>
          <w:top w:w="0" w:type="dxa"/>
          <w:left w:w="0" w:type="dxa"/>
          <w:bottom w:w="0" w:type="dxa"/>
          <w:right w:w="0" w:type="dxa"/>
        </w:tblCellMar>
      </w:tblPr>
      <w:tblGrid>
        <w:gridCol w:w="75"/>
        <w:gridCol w:w="170"/>
        <w:gridCol w:w="8180"/>
      </w:tblGrid>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w:t>
            </w:r>
          </w:p>
        </w:tc>
        <w:tc>
          <w:tcPr>
            <w:tcW w:w="818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our ability to maintain our key personnel or attract, train and retain other highly qualified personnel;</w:t>
            </w:r>
          </w:p>
        </w:tc>
      </w:tr>
    </w:tbl>
    <w:p>
      <w:pPr>
        <w:pStyle w:val="TextBody"/>
        <w:bidi w:val="0"/>
        <w:spacing w:before="0" w:after="0"/>
        <w:ind w:left="0" w:right="0" w:hanging="0"/>
        <w:jc w:val="both"/>
        <w:rPr>
          <w:caps w:val="false"/>
          <w:smallCaps w:val="false"/>
        </w:rPr>
      </w:pPr>
      <w:r>
        <w:rPr>
          <w:caps w:val="false"/>
          <w:smallCaps w:val="false"/>
        </w:rPr>
        <w:t> </w:t>
      </w:r>
    </w:p>
    <w:tbl>
      <w:tblPr>
        <w:tblW w:w="10075" w:type="dxa"/>
        <w:jc w:val="left"/>
        <w:tblInd w:w="0" w:type="dxa"/>
        <w:tblLayout w:type="fixed"/>
        <w:tblCellMar>
          <w:top w:w="0" w:type="dxa"/>
          <w:left w:w="0" w:type="dxa"/>
          <w:bottom w:w="0" w:type="dxa"/>
          <w:right w:w="0" w:type="dxa"/>
        </w:tblCellMar>
      </w:tblPr>
      <w:tblGrid>
        <w:gridCol w:w="75"/>
        <w:gridCol w:w="170"/>
        <w:gridCol w:w="9830"/>
      </w:tblGrid>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w:t>
            </w:r>
          </w:p>
        </w:tc>
        <w:tc>
          <w:tcPr>
            <w:tcW w:w="983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impact and evolving nature of laws and regulations relating to the internet, including cybersecurity and data privacy;</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26</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tbl>
      <w:tblPr>
        <w:tblW w:w="9430" w:type="dxa"/>
        <w:jc w:val="left"/>
        <w:tblInd w:w="0" w:type="dxa"/>
        <w:tblLayout w:type="fixed"/>
        <w:tblCellMar>
          <w:top w:w="0" w:type="dxa"/>
          <w:left w:w="0" w:type="dxa"/>
          <w:bottom w:w="0" w:type="dxa"/>
          <w:right w:w="0" w:type="dxa"/>
        </w:tblCellMar>
      </w:tblPr>
      <w:tblGrid>
        <w:gridCol w:w="75"/>
        <w:gridCol w:w="170"/>
        <w:gridCol w:w="9185"/>
      </w:tblGrid>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w:t>
            </w:r>
          </w:p>
        </w:tc>
        <w:tc>
          <w:tcPr>
            <w:tcW w:w="918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our ability to protect our intellectual property and proprietary technologies and address any infringement claims;</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significant disruption in service on, or security breaches of, our websites or computer systems, including as a result of artificial intelligence;</w:t>
            </w:r>
          </w:p>
        </w:tc>
      </w:tr>
    </w:tbl>
    <w:p>
      <w:pPr>
        <w:pStyle w:val="TextBody"/>
        <w:bidi w:val="0"/>
        <w:spacing w:before="0" w:after="0"/>
        <w:ind w:left="0" w:right="0" w:hanging="0"/>
        <w:jc w:val="both"/>
        <w:rPr>
          <w:caps w:val="false"/>
          <w:smallCaps w:val="false"/>
        </w:rPr>
      </w:pPr>
      <w:r>
        <w:rPr>
          <w:caps w:val="false"/>
          <w:smallCaps w:val="false"/>
        </w:rPr>
        <w:t> </w:t>
      </w:r>
    </w:p>
    <w:tbl>
      <w:tblPr>
        <w:tblW w:w="4495" w:type="dxa"/>
        <w:jc w:val="left"/>
        <w:tblInd w:w="0" w:type="dxa"/>
        <w:tblLayout w:type="fixed"/>
        <w:tblCellMar>
          <w:top w:w="0" w:type="dxa"/>
          <w:left w:w="0" w:type="dxa"/>
          <w:bottom w:w="0" w:type="dxa"/>
          <w:right w:w="0" w:type="dxa"/>
        </w:tblCellMar>
      </w:tblPr>
      <w:tblGrid>
        <w:gridCol w:w="75"/>
        <w:gridCol w:w="170"/>
        <w:gridCol w:w="4250"/>
      </w:tblGrid>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w:t>
            </w:r>
          </w:p>
        </w:tc>
        <w:tc>
          <w:tcPr>
            <w:tcW w:w="425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dependence on third-party technology and licenses;</w:t>
            </w:r>
          </w:p>
        </w:tc>
      </w:tr>
    </w:tbl>
    <w:p>
      <w:pPr>
        <w:pStyle w:val="TextBody"/>
        <w:bidi w:val="0"/>
        <w:spacing w:before="0" w:after="0"/>
        <w:ind w:left="0" w:right="0" w:hanging="0"/>
        <w:jc w:val="both"/>
        <w:rPr>
          <w:caps w:val="false"/>
          <w:smallCaps w:val="false"/>
        </w:rPr>
      </w:pPr>
      <w:r>
        <w:rPr>
          <w:caps w:val="false"/>
          <w:smallCaps w:val="false"/>
        </w:rPr>
        <w:t> </w:t>
      </w:r>
    </w:p>
    <w:tbl>
      <w:tblPr>
        <w:tblW w:w="9685" w:type="dxa"/>
        <w:jc w:val="left"/>
        <w:tblInd w:w="0" w:type="dxa"/>
        <w:tblLayout w:type="fixed"/>
        <w:tblCellMar>
          <w:top w:w="0" w:type="dxa"/>
          <w:left w:w="0" w:type="dxa"/>
          <w:bottom w:w="0" w:type="dxa"/>
          <w:right w:w="0" w:type="dxa"/>
        </w:tblCellMar>
      </w:tblPr>
      <w:tblGrid>
        <w:gridCol w:w="75"/>
        <w:gridCol w:w="170"/>
        <w:gridCol w:w="9440"/>
      </w:tblGrid>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w:t>
            </w:r>
          </w:p>
        </w:tc>
        <w:tc>
          <w:tcPr>
            <w:tcW w:w="944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fluctuations in the value of the South African rand and inflation rates in the countries in which we conduct business;</w:t>
            </w:r>
          </w:p>
        </w:tc>
      </w:tr>
    </w:tbl>
    <w:p>
      <w:pPr>
        <w:pStyle w:val="TextBody"/>
        <w:bidi w:val="0"/>
        <w:spacing w:before="0" w:after="0"/>
        <w:ind w:left="0" w:right="0" w:hanging="0"/>
        <w:jc w:val="both"/>
        <w:rPr>
          <w:caps w:val="false"/>
          <w:smallCaps w:val="false"/>
        </w:rPr>
      </w:pPr>
      <w:r>
        <w:rPr>
          <w:caps w:val="false"/>
          <w:smallCaps w:val="false"/>
        </w:rPr>
        <w:t> </w:t>
      </w:r>
    </w:p>
    <w:tbl>
      <w:tblPr>
        <w:tblW w:w="4915" w:type="dxa"/>
        <w:jc w:val="left"/>
        <w:tblInd w:w="0" w:type="dxa"/>
        <w:tblLayout w:type="fixed"/>
        <w:tblCellMar>
          <w:top w:w="0" w:type="dxa"/>
          <w:left w:w="0" w:type="dxa"/>
          <w:bottom w:w="0" w:type="dxa"/>
          <w:right w:w="0" w:type="dxa"/>
        </w:tblCellMar>
      </w:tblPr>
      <w:tblGrid>
        <w:gridCol w:w="75"/>
        <w:gridCol w:w="170"/>
        <w:gridCol w:w="4670"/>
      </w:tblGrid>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w:t>
            </w:r>
          </w:p>
        </w:tc>
        <w:tc>
          <w:tcPr>
            <w:tcW w:w="467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our ability to access the capital markets in the future; and</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other risk factors discussed under “Risk Factors” in our latest Annual Report on Form 20-F and other reports filed with the U.S. Securities and Exchange Commission.</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You are cautioned not to place undue reliance on any forward-looking statements, which speak only as of the date of this announcement. We disclaim any duty to update and do not intend to update any forward-looking statements, all of which are expressly qualified by the statements in this section, to reflect events or circumstances after the date of this announcement or to reflect the occurrence of unanticipated events.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Non-IFRS Financial Measures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announcement includes certain non-IFRS financial measures. These non-IFRS financial measures are not measures of financial performance in accordance with IFRS and may exclude items that are significant in understanding and assessing our financial results. Therefore, these measures should not be considered in isolation or as an alternative or superior to IFRS measures. You should be aware that our announcement of these measures may not be comparable to similarly titled measures used by other companies.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Market and Industry Data</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include statements and information in this announcement concerning our industry ranking and the markets in which we operate, including our general expectations and market opportunity, which are based on information from independent industry organizations and other third-party sources (including a third-party market study, industry publications, surveys and forecasts). While Karooooo believes these third-party sources to be reliable as of the date of this announcement, we have not independently verified any third-party information and such information is inherently imprecise. In addition, projections, assumptions and estimates of the future performance of the industry in which we operate, and our future performance are necessarily subject to a high degree of uncertainty and risk due to a variety of risks. These and other factors could cause results to differ materially from those expressed in the estimates made by the independent parties and by us.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Trademarks and Trade Names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our key markets, we have rights to use, or hold, certain trademarks relating to Cartrack, or the respective applications for trademark registration are underway. We do not hold or have rights to any other additional patents, trademarks or licenses, that, if absent, would have had a material adverse effect on our business operations. Solely for convenience, trademarks and trade names referred to in this announcement may appear without the “®” or “™” symbols, but such references are not intended to indicate, in any way, that we will not assert, to the fullest extent possible under applicable law, our rights or the rights of the applicable licensor to these trademarks and trade names. We do not intend our use or display of other companies’ tradenames, trademarks or service marks to imply a relationship with, or endorsement or sponsorship of us by, any other companies. Each trademark, trade name or service mark of any other company appearing in this announcement is the property of its respective holder.</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27</w:t>
      </w:r>
    </w:p>
    <w:p>
      <w:pPr>
        <w:pStyle w:val="TextBody"/>
        <w:bidi w:val="0"/>
        <w:spacing w:before="0" w:after="0"/>
        <w:ind w:left="0" w:right="0" w:hanging="0"/>
        <w:jc w:val="center"/>
        <w:rPr>
          <w:caps w:val="false"/>
          <w:smallCaps w:val="false"/>
        </w:rPr>
      </w:pPr>
      <w:r>
        <w:rPr>
          <w:caps w:val="false"/>
          <w:smallCaps w:val="false"/>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5</Pages>
  <Words>10710</Words>
  <Characters>60367</Characters>
  <CharactersWithSpaces>72382</CharactersWithSpaces>
  <Paragraphs>4363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