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80" w:right="899" w:hanging="4730"/>
        <w:spacing w:after="0" w:line="365" w:lineRule="auto"/>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11, 2024.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-16510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4"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KAROOOOO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12"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404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0" w:type="dxa"/>
            <w:vAlign w:val="bottom"/>
          </w:tcPr>
          <w:p>
            <w:pPr>
              <w:spacing w:after="0"/>
              <w:rPr>
                <w:sz w:val="1"/>
                <w:szCs w:val="1"/>
                <w:color w:val="auto"/>
              </w:rPr>
            </w:pPr>
          </w:p>
        </w:tc>
      </w:tr>
      <w:tr>
        <w:trPr>
          <w:trHeight w:val="41"/>
        </w:trPr>
        <w:tc>
          <w:tcPr>
            <w:tcW w:w="396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960" w:type="dxa"/>
            <w:vAlign w:val="bottom"/>
          </w:tcPr>
          <w:p>
            <w:pPr>
              <w:ind w:left="88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4060" w:type="dxa"/>
            <w:vAlign w:val="bottom"/>
          </w:tcPr>
          <w:p>
            <w:pPr>
              <w:ind w:left="140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40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99"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5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19"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0"/>
          <w:szCs w:val="20"/>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ind w:left="3700"/>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+1 (212) 947-7200</w:t>
      </w:r>
    </w:p>
    <w:p>
      <w:pPr>
        <w:spacing w:after="0" w:line="9"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B. Meade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Roshni Banker Cariello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(212) 450-4000</w:t>
      </w:r>
    </w:p>
    <w:p>
      <w:pPr>
        <w:spacing w:after="0" w:line="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38" w:lineRule="exact"/>
        <w:rPr>
          <w:sz w:val="24"/>
          <w:szCs w:val="24"/>
          <w:color w:val="auto"/>
        </w:rPr>
      </w:pPr>
    </w:p>
    <w:p>
      <w:pPr>
        <w:ind w:left="460" w:right="539" w:firstLine="432"/>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effectiveness of this registration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statement.</w:t>
      </w:r>
    </w:p>
    <w:p>
      <w:pPr>
        <w:ind w:left="460" w:right="659"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460" w:right="619"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460" w:right="879" w:firstLine="432"/>
        <w:spacing w:after="0" w:line="239" w:lineRule="auto"/>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w:t>
      </w:r>
    </w:p>
    <w:p>
      <w:pPr>
        <w:spacing w:after="0" w:line="1" w:lineRule="exact"/>
        <w:rPr>
          <w:sz w:val="24"/>
          <w:szCs w:val="24"/>
          <w:color w:val="auto"/>
        </w:rPr>
      </w:pPr>
    </w:p>
    <w:p>
      <w:pPr>
        <w:ind w:left="460"/>
        <w:spacing w:after="0" w:line="161" w:lineRule="exact"/>
        <w:rPr>
          <w:sz w:val="20"/>
          <w:szCs w:val="20"/>
          <w:color w:val="auto"/>
        </w:rPr>
      </w:pPr>
      <w:r>
        <w:rPr>
          <w:rFonts w:ascii="Times New Roman" w:cs="Times New Roman" w:eastAsia="Times New Roman" w:hAnsi="Times New Roman"/>
          <w:sz w:val="14"/>
          <w:szCs w:val="14"/>
          <w:color w:val="auto"/>
        </w:rPr>
        <w:t xml:space="preserve">offering. </w:t>
      </w:r>
      <w:r>
        <w:rPr>
          <w:rFonts w:ascii="MS PGothic" w:cs="MS PGothic" w:eastAsia="MS PGothic" w:hAnsi="MS PGothic"/>
          <w:sz w:val="14"/>
          <w:szCs w:val="14"/>
          <w:color w:val="auto"/>
        </w:rPr>
        <w:t>☐</w:t>
      </w:r>
    </w:p>
    <w:p>
      <w:pPr>
        <w:spacing w:after="0" w:line="44" w:lineRule="exact"/>
        <w:rPr>
          <w:sz w:val="24"/>
          <w:szCs w:val="24"/>
          <w:color w:val="auto"/>
        </w:rPr>
      </w:pPr>
    </w:p>
    <w:p>
      <w:pPr>
        <w:ind w:left="460" w:right="639"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460" w:right="599"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460" w:right="859" w:firstLine="432"/>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w:t>
      </w:r>
    </w:p>
    <w:p>
      <w:pPr>
        <w:spacing w:after="0" w:line="190" w:lineRule="exact"/>
        <w:rPr>
          <w:sz w:val="24"/>
          <w:szCs w:val="24"/>
          <w:color w:val="auto"/>
        </w:rPr>
      </w:pPr>
    </w:p>
    <w:p>
      <w:pPr>
        <w:ind w:left="6680"/>
        <w:spacing w:after="0" w:line="161" w:lineRule="exact"/>
        <w:tabs>
          <w:tab w:leader="none" w:pos="838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44" w:lineRule="exact"/>
        <w:rPr>
          <w:sz w:val="24"/>
          <w:szCs w:val="24"/>
          <w:color w:val="auto"/>
        </w:rPr>
      </w:pPr>
    </w:p>
    <w:p>
      <w:pPr>
        <w:ind w:left="460" w:right="579" w:firstLine="432"/>
        <w:spacing w:after="0" w:line="239" w:lineRule="auto"/>
        <w:rPr>
          <w:sz w:val="20"/>
          <w:szCs w:val="20"/>
          <w:color w:val="auto"/>
        </w:rPr>
      </w:pPr>
      <w:r>
        <w:rPr>
          <w:rFonts w:ascii="Times New Roman" w:cs="Times New Roman" w:eastAsia="Times New Roman" w:hAnsi="Times New Roman"/>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p>
    <w:p>
      <w:pPr>
        <w:spacing w:after="0" w:line="1" w:lineRule="exact"/>
        <w:rPr>
          <w:sz w:val="24"/>
          <w:szCs w:val="24"/>
          <w:color w:val="auto"/>
        </w:rPr>
      </w:pPr>
    </w:p>
    <w:p>
      <w:pPr>
        <w:ind w:left="460"/>
        <w:spacing w:after="0" w:line="161" w:lineRule="exact"/>
        <w:rPr>
          <w:sz w:val="20"/>
          <w:szCs w:val="20"/>
          <w:color w:val="auto"/>
        </w:rPr>
      </w:pPr>
      <w:r>
        <w:rPr>
          <w:rFonts w:ascii="Times New Roman" w:cs="Times New Roman" w:eastAsia="Times New Roman" w:hAnsi="Times New Roman"/>
          <w:sz w:val="14"/>
          <w:szCs w:val="14"/>
          <w:color w:val="auto"/>
        </w:rPr>
        <w:t xml:space="preserve">provided pursuant to Section 7(a)(2)(B) of the Securities Act.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73" w:lineRule="exact"/>
        <w:rPr>
          <w:sz w:val="24"/>
          <w:szCs w:val="24"/>
          <w:color w:val="auto"/>
        </w:rPr>
      </w:pPr>
    </w:p>
    <w:p>
      <w:pPr>
        <w:ind w:left="880" w:right="519" w:hanging="426"/>
        <w:spacing w:after="0" w:line="261" w:lineRule="auto"/>
        <w:tabs>
          <w:tab w:leader="none" w:pos="84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53" w:lineRule="exact"/>
        <w:rPr>
          <w:sz w:val="24"/>
          <w:szCs w:val="24"/>
          <w:color w:val="auto"/>
        </w:rPr>
      </w:pPr>
    </w:p>
    <w:p>
      <w:pPr>
        <w:ind w:left="460" w:right="599" w:firstLine="432"/>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170815</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213995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488315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8"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20"/>
          <w:szCs w:val="20"/>
          <w:b w:val="1"/>
          <w:bCs w:val="1"/>
          <w:color w:val="D2232A"/>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SUBJECT TO COMPLETION, DATED JULY 11, 2024</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114300</wp:posOffset>
            </wp:positionV>
            <wp:extent cx="2777490"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KAROOOOO LTD.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6,000,000 Ordinary Shares</w:t>
      </w:r>
    </w:p>
    <w:p>
      <w:pPr>
        <w:spacing w:after="0" w:line="235" w:lineRule="exact"/>
        <w:rPr>
          <w:sz w:val="20"/>
          <w:szCs w:val="20"/>
          <w:color w:val="auto"/>
        </w:rPr>
      </w:pPr>
    </w:p>
    <w:p>
      <w:pPr>
        <w:ind w:left="460" w:right="519" w:firstLine="432"/>
        <w:spacing w:after="0" w:line="246" w:lineRule="auto"/>
        <w:rPr>
          <w:sz w:val="20"/>
          <w:szCs w:val="20"/>
          <w:color w:val="auto"/>
        </w:rPr>
      </w:pPr>
      <w:r>
        <w:rPr>
          <w:rFonts w:ascii="Times New Roman" w:cs="Times New Roman" w:eastAsia="Times New Roman" w:hAnsi="Times New Roman"/>
          <w:sz w:val="20"/>
          <w:szCs w:val="20"/>
          <w:color w:val="auto"/>
        </w:rPr>
        <w:t>Pursuant to this prospectus, the selling shareholder identified in this prospectus may offer and resell, transfer or otherwise dispose of up to 6,000,000 ordinary shares of Karooooo Ltd. from time to time if and to the extent as it may determine as described in the section entitled “Plan of Distribution” at prevailing market prices, at prices different than prevailing market prices or at privately negotiated prices.</w:t>
      </w:r>
    </w:p>
    <w:p>
      <w:pPr>
        <w:spacing w:after="0" w:line="185" w:lineRule="exact"/>
        <w:rPr>
          <w:sz w:val="20"/>
          <w:szCs w:val="20"/>
          <w:color w:val="auto"/>
        </w:rPr>
      </w:pPr>
    </w:p>
    <w:p>
      <w:pPr>
        <w:ind w:left="460" w:right="479" w:firstLine="432"/>
        <w:spacing w:after="0" w:line="260" w:lineRule="auto"/>
        <w:rPr>
          <w:sz w:val="20"/>
          <w:szCs w:val="20"/>
          <w:color w:val="auto"/>
        </w:rPr>
      </w:pPr>
      <w:r>
        <w:rPr>
          <w:rFonts w:ascii="Times New Roman" w:cs="Times New Roman" w:eastAsia="Times New Roman" w:hAnsi="Times New Roman"/>
          <w:sz w:val="19"/>
          <w:szCs w:val="19"/>
          <w:color w:val="auto"/>
        </w:rPr>
        <w:t>We are not selling any ordinary shares included in this prospectus and will not receive any of the proceeds from the sale of any ordinary shares by the selling shareholder pursuant to this prospectus. If any ordinary shares are sold, the selling shareholder will pay any underwriting or brokerage commissions and/or similar charges incurred for the sale of such shares. We will bear all other costs, fees and expenses incurred in effecting the registration of ordinary shares covered by this prospectus, including all registration and filing fees and fees and expenses of our counsel and accountants.</w:t>
      </w:r>
    </w:p>
    <w:p>
      <w:pPr>
        <w:spacing w:after="0" w:line="173" w:lineRule="exact"/>
        <w:rPr>
          <w:sz w:val="20"/>
          <w:szCs w:val="20"/>
          <w:color w:val="auto"/>
        </w:rPr>
      </w:pPr>
    </w:p>
    <w:p>
      <w:pPr>
        <w:jc w:val="center"/>
        <w:ind w:left="460" w:right="559"/>
        <w:spacing w:after="0" w:line="295" w:lineRule="auto"/>
        <w:rPr>
          <w:sz w:val="20"/>
          <w:szCs w:val="20"/>
          <w:color w:val="auto"/>
        </w:rPr>
      </w:pPr>
      <w:r>
        <w:rPr>
          <w:rFonts w:ascii="Times New Roman" w:cs="Times New Roman" w:eastAsia="Times New Roman" w:hAnsi="Times New Roman"/>
          <w:sz w:val="19"/>
          <w:szCs w:val="19"/>
          <w:color w:val="auto"/>
        </w:rPr>
        <w:t>Our ordinary shares are listed on the Nasdaq Capital Market (“Nasdaq”) under the symbol “KARO.” The closing price of the ordinary shares on Nasdaq on July 10, 2024 was $30.53 per share.</w:t>
      </w:r>
    </w:p>
    <w:p>
      <w:pPr>
        <w:spacing w:after="0" w:line="138" w:lineRule="exact"/>
        <w:rPr>
          <w:sz w:val="20"/>
          <w:szCs w:val="20"/>
          <w:color w:val="auto"/>
        </w:rPr>
      </w:pPr>
    </w:p>
    <w:p>
      <w:pPr>
        <w:ind w:left="460" w:right="1159" w:firstLine="432"/>
        <w:spacing w:after="0" w:line="249" w:lineRule="auto"/>
        <w:rPr>
          <w:sz w:val="20"/>
          <w:szCs w:val="20"/>
          <w:color w:val="auto"/>
        </w:rPr>
      </w:pPr>
      <w:r>
        <w:rPr>
          <w:rFonts w:ascii="Times New Roman" w:cs="Times New Roman" w:eastAsia="Times New Roman" w:hAnsi="Times New Roman"/>
          <w:sz w:val="20"/>
          <w:szCs w:val="20"/>
          <w:color w:val="auto"/>
        </w:rPr>
        <w:t>We are registering the offer and sale of the 6,000,000 ordinary shares held by the selling shareholder to satisfy certain registration rights we have granted. See “Selling Shareholder — Material Relationships with the Selling Shareholder — Registration Rights Agreement.”</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We are an “emerging growth company” and a “foreign private issuer” as defined under</w:t>
      </w:r>
    </w:p>
    <w:p>
      <w:pPr>
        <w:spacing w:after="0" w:line="22" w:lineRule="exact"/>
        <w:rPr>
          <w:sz w:val="20"/>
          <w:szCs w:val="20"/>
          <w:color w:val="auto"/>
        </w:rPr>
      </w:pPr>
    </w:p>
    <w:p>
      <w:pPr>
        <w:ind w:left="460" w:right="519"/>
        <w:spacing w:after="0" w:line="242" w:lineRule="auto"/>
        <w:rPr>
          <w:sz w:val="20"/>
          <w:szCs w:val="20"/>
          <w:color w:val="auto"/>
        </w:rPr>
      </w:pPr>
      <w:r>
        <w:rPr>
          <w:rFonts w:ascii="Times New Roman" w:cs="Times New Roman" w:eastAsia="Times New Roman" w:hAnsi="Times New Roman"/>
          <w:sz w:val="20"/>
          <w:szCs w:val="20"/>
          <w:color w:val="auto"/>
        </w:rPr>
        <w:t>U.S. federal securities laws and, as such, may elect to comply with reduced public company reporting requirements for this and future filings. See “Prospectus Summary — Implications of Being an Emerging Growth Company and Foreign Private Issuer.”</w:t>
      </w:r>
    </w:p>
    <w:p>
      <w:pPr>
        <w:spacing w:after="0" w:line="183" w:lineRule="exact"/>
        <w:rPr>
          <w:sz w:val="20"/>
          <w:szCs w:val="20"/>
          <w:color w:val="auto"/>
        </w:rPr>
      </w:pPr>
    </w:p>
    <w:p>
      <w:pPr>
        <w:ind w:left="460" w:right="539" w:firstLine="432"/>
        <w:spacing w:after="0" w:line="250"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See the “Risk Factors” section beginning on page 4 of this prospectus, in any applicable prospectus supplement and in our Securities and Exchange Commission (“SEC”) filings that are incorporated by reference herein and in the documents incorporated by reference herein and therein.</w:t>
      </w:r>
    </w:p>
    <w:p>
      <w:pPr>
        <w:spacing w:after="0" w:line="176"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20"/>
          <w:szCs w:val="20"/>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97" w:lineRule="exact"/>
        <w:rPr>
          <w:sz w:val="20"/>
          <w:szCs w:val="20"/>
          <w:color w:val="auto"/>
        </w:rPr>
      </w:pPr>
    </w:p>
    <w:tbl>
      <w:tblPr>
        <w:tblLayout w:type="fixed"/>
        <w:tblInd w:w="460" w:type="dxa"/>
        <w:tblCellMar>
          <w:top w:w="0" w:type="dxa"/>
          <w:left w:w="0" w:type="dxa"/>
          <w:bottom w:w="0" w:type="dxa"/>
          <w:right w:w="0" w:type="dxa"/>
        </w:tblCellMar>
      </w:tblPr>
      <w:tr>
        <w:trPr>
          <w:trHeight w:val="258"/>
        </w:trPr>
        <w:tc>
          <w:tcPr>
            <w:tcW w:w="4440" w:type="dxa"/>
            <w:vAlign w:val="bottom"/>
          </w:tcPr>
          <w:p>
            <w:pPr>
              <w:ind w:left="2840"/>
              <w:spacing w:after="0"/>
              <w:rPr>
                <w:sz w:val="20"/>
                <w:szCs w:val="20"/>
                <w:color w:val="auto"/>
              </w:rPr>
            </w:pPr>
            <w:r>
              <w:rPr>
                <w:rFonts w:ascii="Times New Roman" w:cs="Times New Roman" w:eastAsia="Times New Roman" w:hAnsi="Times New Roman"/>
                <w:sz w:val="20"/>
                <w:szCs w:val="20"/>
                <w:color w:val="auto"/>
              </w:rPr>
              <w:t>Prospectus dated</w:t>
            </w:r>
          </w:p>
        </w:tc>
        <w:tc>
          <w:tcPr>
            <w:tcW w:w="3660" w:type="dxa"/>
            <w:vAlign w:val="bottom"/>
          </w:tcPr>
          <w:p>
            <w:pPr>
              <w:jc w:val="right"/>
              <w:ind w:right="2741"/>
              <w:spacing w:after="0"/>
              <w:rPr>
                <w:sz w:val="20"/>
                <w:szCs w:val="20"/>
                <w:color w:val="auto"/>
              </w:rPr>
            </w:pPr>
            <w:r>
              <w:rPr>
                <w:rFonts w:ascii="Times New Roman" w:cs="Times New Roman" w:eastAsia="Times New Roman" w:hAnsi="Times New Roman"/>
                <w:sz w:val="20"/>
                <w:szCs w:val="20"/>
                <w:color w:val="auto"/>
              </w:rPr>
              <w:t>, 2024.</w:t>
            </w:r>
          </w:p>
        </w:tc>
      </w:tr>
      <w:tr>
        <w:trPr>
          <w:trHeight w:val="399"/>
        </w:trPr>
        <w:tc>
          <w:tcPr>
            <w:tcW w:w="44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ii</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Notice to Prospective Investors in Singapore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iv</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4</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5</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7</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Dividends and 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8</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9</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28</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Selling Shareholder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29</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Expenses of the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Service of Process and Enforcement of Civil Liabilities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Before buying any of the securities that the selling shareholder is offering, you should carefully read both this prospectus and any prospectus supplement with all of the information incorporated by reference in this prospectus,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spacing w:after="0" w:line="121"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w:t>
      </w:r>
    </w:p>
    <w:p>
      <w:pPr>
        <w:spacing w:after="0" w:line="3" w:lineRule="exact"/>
        <w:rPr>
          <w:sz w:val="20"/>
          <w:szCs w:val="20"/>
          <w:color w:val="auto"/>
        </w:rPr>
      </w:pPr>
    </w:p>
    <w:p>
      <w:pPr>
        <w:ind w:left="460" w:right="519"/>
        <w:spacing w:after="0" w:line="260" w:lineRule="auto"/>
        <w:rPr>
          <w:sz w:val="20"/>
          <w:szCs w:val="20"/>
          <w:color w:val="auto"/>
        </w:rPr>
      </w:pPr>
      <w:r>
        <w:rPr>
          <w:rFonts w:ascii="Times New Roman" w:cs="Times New Roman" w:eastAsia="Times New Roman" w:hAnsi="Times New Roman"/>
          <w:sz w:val="18"/>
          <w:szCs w:val="18"/>
          <w:color w:val="auto"/>
        </w:rPr>
        <w:t>date — for example, a prospectus supplement or a document incorporated by reference in this prospectus — the statement in the document having the later date modifies or supersedes the earlier statement.</w:t>
      </w:r>
    </w:p>
    <w:p>
      <w:pPr>
        <w:spacing w:after="0" w:line="114"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w:t>
      </w:r>
    </w:p>
    <w:p>
      <w:pPr>
        <w:spacing w:after="0" w:line="10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herein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2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Neither we nor the selling shareholder, nor any agent, underwriter or dealer has authorized anyone to provide any information or to make any representations other than as contained or incorporated by reference in this prospectus, any amendment or supplement to this prospectus, or any free writing prospectus prepared by or on behalf of us or to which we may have referred you. We and the selling shareholder, and any agent, underwriter or dealer, take no responsibility for, and can provide no assurance as to the reliability of, any other information that others may give you. This prospectus does not constitute an offer to sell or the solicitation of an offer to buy any securities other than the ordinary shares described in this prospectus or an offer to sell or the solicitation of an offer to buy such ordinary shares in any circumstances in which such offer or solicitation is unlawful.</w:t>
      </w:r>
    </w:p>
    <w:p>
      <w:pPr>
        <w:spacing w:after="0" w:line="121"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shareholder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102" w:lineRule="exact"/>
        <w:rPr>
          <w:sz w:val="20"/>
          <w:szCs w:val="20"/>
          <w:color w:val="auto"/>
        </w:rPr>
      </w:pPr>
    </w:p>
    <w:p>
      <w:pPr>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to “Karooooo,” the “Company,” the “Group,” “we,” “our,” “ours,” “us” or similar terms refer to Karooooo Ltd. and its subsidiaries.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Unless otherwise indicated, all financial information contained in this prospectus is prepared and presented in accordance with International Financial Reporting Standards (“IFRS”) as issued by the International Accounting Standards Board (“IASB”). Certain differences exist between IFRS and generally accepted accounting principles in the United States of America (“U.S. GAAP”) which might be material to the financial information herein.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We have not prepared a reconciliation of our consolidated financial statements and related footnote disclosures between IFRS and U.S. GAAP. Potential investors should consult their own professional advisers for an understanding of the differences between IFRS and U.S. GAAP and how these differences might affect the financial information herein.</w:t>
      </w:r>
    </w:p>
    <w:p>
      <w:pPr>
        <w:spacing w:after="0" w:line="11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All references in this prospectus to “U.S. dollars,” “U.S.$,” “$” and “USD” refer to the currency of the United States of America, all references to “R”, “rand” and “ZAR” refer to the currency of South Africa and all references to “S$” or “Singapore dollar” refer to the currency of Singapore. Unless otherwise indicated, all references to currency amounts in this prospectus are in rand. Our financial year ends on February 28 or February 29 of each year. References in this prospectus to a financial year, such as “financial year 2024,” relate to our financial year ended on February 28 or February 29, as applicable, of that calendar year.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48" w:lineRule="exact"/>
        <w:rPr>
          <w:sz w:val="20"/>
          <w:szCs w:val="20"/>
          <w:color w:val="auto"/>
        </w:rPr>
      </w:pPr>
    </w:p>
    <w:p>
      <w:pPr>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This prospectus has not been and will not be registered as a prospectus with the Monetary Authority of Singapore and the securities will be offered pursuant to exemptions under the Securities and Futures Act 2001 of Singapore, as modified or amended from time to time (the “SFA”).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w:t>
      </w:r>
    </w:p>
    <w:p>
      <w:pPr>
        <w:spacing w:after="0" w:line="5" w:lineRule="exact"/>
        <w:rPr>
          <w:sz w:val="20"/>
          <w:szCs w:val="20"/>
          <w:color w:val="auto"/>
        </w:rPr>
      </w:pPr>
    </w:p>
    <w:p>
      <w:pPr>
        <w:ind w:left="460" w:right="499" w:hanging="6"/>
        <w:spacing w:after="0" w:line="253" w:lineRule="auto"/>
        <w:tabs>
          <w:tab w:leader="none" w:pos="6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SFA) pursuant to Section 274 of the SFA or (ii) to an accredited investor (as defined in Section 4A of the SFA) pursuant to and in accordance with the conditions specified in Section 275 of the SFA and (where applicable) Regulation 3 of the Securities and Futures (Classes of Investors) Regulations 2018.</w:t>
      </w:r>
    </w:p>
    <w:p>
      <w:pPr>
        <w:spacing w:after="0" w:line="12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reference to the SFA is a reference to the Securities and Futures Act 2001 of Singapore and a reference to any term as defined in the SFA or any provision in the SFA is a reference to that term or provision as modified or amended from time to time including by such of its subsidiary legislation as may be applicable at the relevant time.</w:t>
      </w:r>
    </w:p>
    <w:p>
      <w:pPr>
        <w:spacing w:after="0" w:line="108" w:lineRule="exact"/>
        <w:rPr>
          <w:sz w:val="20"/>
          <w:szCs w:val="20"/>
          <w:color w:val="auto"/>
        </w:rPr>
      </w:pPr>
    </w:p>
    <w:p>
      <w:pPr>
        <w:ind w:left="460" w:right="49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Notification under Section 309B(1) of the SFA: </w:t>
      </w:r>
      <w:r>
        <w:rPr>
          <w:rFonts w:ascii="Times New Roman" w:cs="Times New Roman" w:eastAsia="Times New Roman" w:hAnsi="Times New Roman"/>
          <w:sz w:val="18"/>
          <w:szCs w:val="18"/>
          <w:color w:val="auto"/>
        </w:rPr>
        <w:t>The ordinary shares are “prescribed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428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742823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540" w:right="61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or incorporated by reference in this prospectus. This summary may not contain all the information that may be important to you, and we urge you to read this entire prospectus and the documents incorporated by reference in this prospectus carefully before deciding to invest in our securities.</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are a global provider of leading real-time mobility data analytics solutions for smart transportation.</w:t>
      </w:r>
    </w:p>
    <w:p>
      <w:pPr>
        <w:spacing w:after="0" w:line="144" w:lineRule="exact"/>
        <w:rPr>
          <w:sz w:val="20"/>
          <w:szCs w:val="20"/>
          <w:color w:val="auto"/>
        </w:rPr>
      </w:pPr>
    </w:p>
    <w:p>
      <w:pPr>
        <w:ind w:left="540" w:right="659" w:firstLine="432"/>
        <w:spacing w:after="0" w:line="261" w:lineRule="auto"/>
        <w:rPr>
          <w:sz w:val="20"/>
          <w:szCs w:val="20"/>
          <w:color w:val="auto"/>
        </w:rPr>
      </w:pPr>
      <w:r>
        <w:rPr>
          <w:rFonts w:ascii="Times New Roman" w:cs="Times New Roman" w:eastAsia="Times New Roman" w:hAnsi="Times New Roman"/>
          <w:sz w:val="18"/>
          <w:szCs w:val="18"/>
          <w:color w:val="auto"/>
        </w:rPr>
        <w:t>We offer a full-stack smart mobility SaaS platform for connected vehicles and other assets and provide customers with differentiated insights and analytics to optimize their business operations and workforce, increase efficiency and decrease costs, improve safety, monitor environmental impact, assist with regulatory compliance and manage risk.</w:t>
      </w:r>
    </w:p>
    <w:p>
      <w:pPr>
        <w:spacing w:after="0" w:line="112" w:lineRule="exact"/>
        <w:rPr>
          <w:sz w:val="20"/>
          <w:szCs w:val="20"/>
          <w:color w:val="auto"/>
        </w:rPr>
      </w:pPr>
    </w:p>
    <w:p>
      <w:pPr>
        <w:ind w:left="540" w:right="839" w:firstLine="432"/>
        <w:spacing w:after="0" w:line="256" w:lineRule="auto"/>
        <w:rPr>
          <w:sz w:val="20"/>
          <w:szCs w:val="20"/>
          <w:color w:val="auto"/>
        </w:rPr>
      </w:pPr>
      <w:r>
        <w:rPr>
          <w:rFonts w:ascii="Times New Roman" w:cs="Times New Roman" w:eastAsia="Times New Roman" w:hAnsi="Times New Roman"/>
          <w:sz w:val="18"/>
          <w:szCs w:val="18"/>
          <w:color w:val="auto"/>
        </w:rPr>
        <w:t>Our business is vertically integrated, which affords us complete autonomy with regards to the development of the capabilities and features that differentiate our applications as well as the speed of our innovation. Since we own and control almost every aspect of our most advanced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spacing w:after="0" w:line="120" w:lineRule="exact"/>
        <w:rPr>
          <w:sz w:val="20"/>
          <w:szCs w:val="20"/>
          <w:color w:val="auto"/>
        </w:rPr>
      </w:pPr>
    </w:p>
    <w:p>
      <w:pPr>
        <w:ind w:left="540" w:right="579" w:firstLine="432"/>
        <w:spacing w:after="0" w:line="254" w:lineRule="auto"/>
        <w:rPr>
          <w:sz w:val="20"/>
          <w:szCs w:val="20"/>
          <w:color w:val="auto"/>
        </w:rPr>
      </w:pPr>
      <w:r>
        <w:rPr>
          <w:rFonts w:ascii="Times New Roman" w:cs="Times New Roman" w:eastAsia="Times New Roman" w:hAnsi="Times New Roman"/>
          <w:sz w:val="18"/>
          <w:szCs w:val="18"/>
          <w:color w:val="auto"/>
        </w:rPr>
        <w:t>Our proprietary SaaS platform acts as a central nervous system for connected vehicles and other mobile assets, such as construction equipment, generators, refrigeration units, trailers and boats. Our platform collects, processes, and analyzes data via two-way communication with our proprietary hardware technology or third-party devices in each vehicle or other asset, providing our users with visibility into their fleets from a single, user friendly interface with reporting and tracking capabilities that deliver actionable insights in real-time. Our intuitive web-based applications provide a comprehensive set of software features for managing fleets and related workforces without the need for customers to incur upfront information technology costs and include advanced functionality such as real-time high speed video streaming.</w:t>
      </w:r>
    </w:p>
    <w:p>
      <w:pPr>
        <w:spacing w:after="0" w:line="111"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We provide customers with the flexibility to deploy our solutions across a range of vehicles, including electric vehicles, and other assets and to use our platform alone or in conjunction with the systems of original equipment manufacturers (“OEMs”) and other third parties. We are committed to the continued enhancement of our customer experience and retention by driving innovation in the platform, adding functionality, new software features and integration with OEM solutions. The benefits of our platform to our customers include increased productivity, efficiency, sustainability, and regulatory compliance. We empower our customers, which range from consumers to large enterprise fleets, with actionable intelligence to enhance profitability, better serve their customers, and strengthen safety and security.</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Company and Corporate Information</w:t>
      </w:r>
    </w:p>
    <w:p>
      <w:pPr>
        <w:spacing w:after="0" w:line="162" w:lineRule="exact"/>
        <w:rPr>
          <w:sz w:val="20"/>
          <w:szCs w:val="20"/>
          <w:color w:val="auto"/>
        </w:rPr>
      </w:pPr>
    </w:p>
    <w:p>
      <w:pPr>
        <w:ind w:left="540" w:right="579" w:firstLine="432"/>
        <w:spacing w:after="0" w:line="260" w:lineRule="auto"/>
        <w:rPr>
          <w:sz w:val="20"/>
          <w:szCs w:val="20"/>
          <w:color w:val="auto"/>
        </w:rPr>
      </w:pPr>
      <w:r>
        <w:rPr>
          <w:rFonts w:ascii="Times New Roman" w:cs="Times New Roman" w:eastAsia="Times New Roman" w:hAnsi="Times New Roman"/>
          <w:sz w:val="18"/>
          <w:szCs w:val="18"/>
          <w:color w:val="auto"/>
        </w:rPr>
        <w:t>Karooooo Ltd. was incorporated in Singapore on May 19, 2018 as Karooooo Pte. Ltd., a private limited company (Company Registration No. 201817157Z) under the Companies Act 1967 of Singapore (the “Singapore Companies Act”). On February 22, 2021, we converted Karooooo Pte. Ltd. from a Singapore private limited company to Karooooo Ltd., a Singapore public limited company. Our principal executive office is our premises at 1 Harbourfront Avenue, Keppel Bay Tower #14-07, Singapore 098632. Our telephone number at this location is +65 6255 4151. Our agent for service of process in the United States is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10168.</w:t>
      </w:r>
    </w:p>
    <w:p>
      <w:pPr>
        <w:spacing w:after="0" w:line="64" w:lineRule="exact"/>
        <w:rPr>
          <w:sz w:val="20"/>
          <w:szCs w:val="20"/>
          <w:color w:val="auto"/>
        </w:rPr>
      </w:pPr>
    </w:p>
    <w:p>
      <w:pPr>
        <w:ind w:left="540" w:right="659" w:firstLine="432"/>
        <w:spacing w:after="0" w:line="267" w:lineRule="auto"/>
        <w:rPr>
          <w:sz w:val="20"/>
          <w:szCs w:val="20"/>
          <w:color w:val="auto"/>
        </w:rPr>
      </w:pPr>
      <w:r>
        <w:rPr>
          <w:rFonts w:ascii="Times New Roman" w:cs="Times New Roman" w:eastAsia="Times New Roman" w:hAnsi="Times New Roman"/>
          <w:sz w:val="18"/>
          <w:szCs w:val="18"/>
          <w:color w:val="auto"/>
        </w:rPr>
        <w:t xml:space="preserve">Our principal website is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The information on our website is not incorporated by reference into this prospectus, and you should not consider information contained on our website to be a part of this prospectus or in deciding whether to purchase our ordinary shares.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27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0276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Foreign Private Issuer</w:t>
      </w:r>
    </w:p>
    <w:p>
      <w:pPr>
        <w:spacing w:after="0" w:line="162" w:lineRule="exact"/>
        <w:rPr>
          <w:sz w:val="20"/>
          <w:szCs w:val="20"/>
          <w:color w:val="auto"/>
        </w:rPr>
      </w:pPr>
    </w:p>
    <w:p>
      <w:pPr>
        <w:ind w:left="540" w:right="1039" w:firstLine="432"/>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As an emerging growth company, we may take advantage of specified reduced reporting and other burdens that are otherwise applicable generally to public companies. These provisions include:</w:t>
      </w:r>
    </w:p>
    <w:p>
      <w:pPr>
        <w:spacing w:after="0" w:line="112" w:lineRule="exact"/>
        <w:rPr>
          <w:sz w:val="20"/>
          <w:szCs w:val="20"/>
          <w:color w:val="auto"/>
        </w:rPr>
      </w:pPr>
    </w:p>
    <w:p>
      <w:pPr>
        <w:ind w:left="1400" w:right="799" w:hanging="424"/>
        <w:spacing w:after="0" w:line="26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Section 404 of the Sarbanes-Oxley Act of 2002 (the “Sarbanes-Oxley Act”); and</w:t>
      </w:r>
    </w:p>
    <w:p>
      <w:pPr>
        <w:spacing w:after="0" w:line="94" w:lineRule="exact"/>
        <w:rPr>
          <w:rFonts w:ascii="Times New Roman" w:cs="Times New Roman" w:eastAsia="Times New Roman" w:hAnsi="Times New Roman"/>
          <w:sz w:val="18"/>
          <w:szCs w:val="18"/>
          <w:color w:val="auto"/>
        </w:rPr>
      </w:pPr>
    </w:p>
    <w:p>
      <w:pPr>
        <w:ind w:left="1400" w:right="779" w:hanging="424"/>
        <w:spacing w:after="0" w:line="261"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12" w:lineRule="exact"/>
        <w:rPr>
          <w:sz w:val="20"/>
          <w:szCs w:val="20"/>
          <w:color w:val="auto"/>
        </w:rPr>
      </w:pPr>
    </w:p>
    <w:p>
      <w:pPr>
        <w:ind w:left="540" w:right="599" w:firstLine="432"/>
        <w:spacing w:after="0" w:line="252" w:lineRule="auto"/>
        <w:rPr>
          <w:sz w:val="20"/>
          <w:szCs w:val="20"/>
          <w:color w:val="auto"/>
        </w:rPr>
      </w:pPr>
      <w:r>
        <w:rPr>
          <w:rFonts w:ascii="Times New Roman" w:cs="Times New Roman" w:eastAsia="Times New Roman" w:hAnsi="Times New Roman"/>
          <w:sz w:val="18"/>
          <w:szCs w:val="18"/>
          <w:color w:val="auto"/>
        </w:rPr>
        <w:t>We may take advantage of these provisions until we are no longer an emerging growth company. We will remain an emerging growth company until the earliest of (i) the last day of the fiscal year in which we have total annual gross revenues of $1.235 billion or more; (ii) February 28, 2027; (iii) the date on which we have issued more than $1.0 billion in non-convertible debt during the previous three years; and (iv) the date on which we are deemed to be a large accelerated filer under the rules of the SEC, which means the market value of our ordinary shares that are held by non-affiliates equals or exceeds $700.0 million as of the prior August 31. We may choose to take advantage of some but not all of these reduced burdens. For example, 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This transition period is only applicable under U.S. GAAP. As a result, we will adopt new or revised accounting standards on the relevant dates on which adoption of such standards is required or permitted by the International Accounting Standards Board.</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are also considered a “foreign private issuer.” Accordingly, we report under the</w:t>
      </w:r>
    </w:p>
    <w:p>
      <w:pPr>
        <w:spacing w:after="0" w:line="27" w:lineRule="exact"/>
        <w:rPr>
          <w:sz w:val="20"/>
          <w:szCs w:val="20"/>
          <w:color w:val="auto"/>
        </w:rPr>
      </w:pPr>
    </w:p>
    <w:p>
      <w:pPr>
        <w:ind w:left="540" w:right="639"/>
        <w:spacing w:after="0" w:line="253" w:lineRule="auto"/>
        <w:rPr>
          <w:sz w:val="20"/>
          <w:szCs w:val="20"/>
          <w:color w:val="auto"/>
        </w:rPr>
      </w:pPr>
      <w:r>
        <w:rPr>
          <w:rFonts w:ascii="Times New Roman" w:cs="Times New Roman" w:eastAsia="Times New Roman" w:hAnsi="Times New Roman"/>
          <w:sz w:val="18"/>
          <w:szCs w:val="18"/>
          <w:color w:val="auto"/>
        </w:rPr>
        <w:t>Exchange Act of 1934, as amended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08" w:lineRule="exact"/>
        <w:rPr>
          <w:sz w:val="20"/>
          <w:szCs w:val="20"/>
          <w:color w:val="auto"/>
        </w:rPr>
      </w:pPr>
    </w:p>
    <w:p>
      <w:pPr>
        <w:ind w:left="1400" w:right="639" w:hanging="424"/>
        <w:spacing w:after="0" w:line="282"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94" w:lineRule="exact"/>
        <w:rPr>
          <w:rFonts w:ascii="Times New Roman" w:cs="Times New Roman" w:eastAsia="Times New Roman" w:hAnsi="Times New Roman"/>
          <w:sz w:val="18"/>
          <w:szCs w:val="18"/>
          <w:color w:val="auto"/>
        </w:rPr>
      </w:pPr>
    </w:p>
    <w:p>
      <w:pPr>
        <w:ind w:left="1400" w:right="659" w:hanging="424"/>
        <w:spacing w:after="0" w:line="266"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08" w:lineRule="exact"/>
        <w:rPr>
          <w:rFonts w:ascii="Times New Roman" w:cs="Times New Roman" w:eastAsia="Times New Roman" w:hAnsi="Times New Roman"/>
          <w:sz w:val="18"/>
          <w:szCs w:val="18"/>
          <w:color w:val="auto"/>
        </w:rPr>
      </w:pPr>
    </w:p>
    <w:p>
      <w:pPr>
        <w:ind w:left="1400" w:right="699" w:hanging="424"/>
        <w:spacing w:after="0" w:line="266"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95" w:lineRule="exact"/>
        <w:rPr>
          <w:sz w:val="20"/>
          <w:szCs w:val="20"/>
          <w:color w:val="auto"/>
        </w:rPr>
      </w:pPr>
    </w:p>
    <w:p>
      <w:pPr>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16" w:lineRule="exact"/>
        <w:rPr>
          <w:sz w:val="20"/>
          <w:szCs w:val="20"/>
          <w:color w:val="auto"/>
        </w:rPr>
      </w:pPr>
    </w:p>
    <w:p>
      <w:pPr>
        <w:ind w:left="540" w:right="659" w:firstLine="432"/>
        <w:spacing w:after="0" w:line="258" w:lineRule="auto"/>
        <w:rPr>
          <w:sz w:val="20"/>
          <w:szCs w:val="20"/>
          <w:color w:val="auto"/>
        </w:rPr>
      </w:pPr>
      <w:r>
        <w:rPr>
          <w:rFonts w:ascii="Times New Roman" w:cs="Times New Roman" w:eastAsia="Times New Roman" w:hAnsi="Times New Roman"/>
          <w:sz w:val="18"/>
          <w:szCs w:val="18"/>
          <w:color w:val="auto"/>
        </w:rPr>
        <w:t>In this prospectus and in the documents incorporated by reference in this prospectus, we have taken advantage of certain of the reduced reporting requirements as a result of being an emerging growth company and a foreign private issuer. Accordingly, the information contained in this prospectus and in the documents incorporated by reference in this prospectus may be different than the information you receive from other public companies in which you hold equity securities.</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458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34588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70" w:right="1440" w:bottom="1440" w:gutter="0" w:footer="0" w:header="0"/>
        </w:sectPr>
      </w:pPr>
    </w:p>
    <w:p>
      <w:pPr>
        <w:spacing w:after="0" w:line="214" w:lineRule="exact"/>
        <w:rPr>
          <w:sz w:val="20"/>
          <w:szCs w:val="20"/>
          <w:color w:val="auto"/>
        </w:rPr>
      </w:pPr>
    </w:p>
    <w:p>
      <w:pPr>
        <w:ind w:left="720" w:hanging="179"/>
        <w:spacing w:after="0" w:line="312" w:lineRule="auto"/>
        <w:rPr>
          <w:sz w:val="20"/>
          <w:szCs w:val="20"/>
          <w:color w:val="auto"/>
        </w:rPr>
      </w:pPr>
      <w:r>
        <w:rPr>
          <w:rFonts w:ascii="Times New Roman" w:cs="Times New Roman" w:eastAsia="Times New Roman" w:hAnsi="Times New Roman"/>
          <w:sz w:val="17"/>
          <w:szCs w:val="17"/>
          <w:color w:val="auto"/>
        </w:rPr>
        <w:t>Ordinary shares that may be offered and sold from time to time by the selling shareholder</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Offering prices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6,000,000 ordinary shares.</w:t>
      </w:r>
    </w:p>
    <w:p>
      <w:pPr>
        <w:spacing w:after="0" w:line="185" w:lineRule="exact"/>
        <w:rPr>
          <w:sz w:val="20"/>
          <w:szCs w:val="20"/>
          <w:color w:val="auto"/>
        </w:rPr>
      </w:pPr>
    </w:p>
    <w:p>
      <w:pPr>
        <w:jc w:val="both"/>
        <w:ind w:right="1039"/>
        <w:spacing w:after="0" w:line="261" w:lineRule="auto"/>
        <w:rPr>
          <w:sz w:val="20"/>
          <w:szCs w:val="20"/>
          <w:color w:val="auto"/>
        </w:rPr>
      </w:pPr>
      <w:r>
        <w:rPr>
          <w:rFonts w:ascii="Times New Roman" w:cs="Times New Roman" w:eastAsia="Times New Roman" w:hAnsi="Times New Roman"/>
          <w:sz w:val="18"/>
          <w:szCs w:val="18"/>
          <w:color w:val="auto"/>
        </w:rPr>
        <w:t>The ordinary shares offered by this prospectus may be offered and sold at prevailing market prices, at prices different than prevailing market prices or at privately negotiated prices.</w:t>
      </w:r>
    </w:p>
    <w:p>
      <w:pPr>
        <w:spacing w:after="0" w:line="153" w:lineRule="exact"/>
        <w:rPr>
          <w:sz w:val="20"/>
          <w:szCs w:val="20"/>
          <w:color w:val="auto"/>
        </w:rPr>
      </w:pPr>
    </w:p>
    <w:p>
      <w:pPr>
        <w:sectPr>
          <w:pgSz w:w="11900" w:h="16838" w:orient="portrait"/>
          <w:cols w:equalWidth="0" w:num="2">
            <w:col w:w="3880" w:space="200"/>
            <w:col w:w="493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2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We will not receive any proceeds from the sale of ordinary</w:t>
            </w:r>
          </w:p>
        </w:tc>
      </w:tr>
      <w:tr>
        <w:trPr>
          <w:trHeight w:val="216"/>
        </w:trPr>
        <w:tc>
          <w:tcPr>
            <w:tcW w:w="2440" w:type="dxa"/>
            <w:vAlign w:val="bottom"/>
          </w:tcPr>
          <w:p>
            <w:pPr>
              <w:spacing w:after="0"/>
              <w:rPr>
                <w:sz w:val="18"/>
                <w:szCs w:val="18"/>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shares by the selling shareholder from time to time pursuant</w:t>
            </w:r>
          </w:p>
        </w:tc>
      </w:tr>
      <w:tr>
        <w:trPr>
          <w:trHeight w:val="234"/>
        </w:trPr>
        <w:tc>
          <w:tcPr>
            <w:tcW w:w="2440" w:type="dxa"/>
            <w:vAlign w:val="bottom"/>
          </w:tcPr>
          <w:p>
            <w:pPr>
              <w:spacing w:after="0"/>
              <w:rPr>
                <w:sz w:val="20"/>
                <w:szCs w:val="20"/>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to this prospectus.</w:t>
            </w:r>
          </w:p>
        </w:tc>
      </w:tr>
      <w:tr>
        <w:trPr>
          <w:trHeight w:val="387"/>
        </w:trPr>
        <w:tc>
          <w:tcPr>
            <w:tcW w:w="2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w:t>
            </w:r>
          </w:p>
        </w:tc>
      </w:tr>
      <w:tr>
        <w:trPr>
          <w:trHeight w:val="216"/>
        </w:trPr>
        <w:tc>
          <w:tcPr>
            <w:tcW w:w="2440" w:type="dxa"/>
            <w:vAlign w:val="bottom"/>
          </w:tcPr>
          <w:p>
            <w:pPr>
              <w:spacing w:after="0"/>
              <w:rPr>
                <w:sz w:val="18"/>
                <w:szCs w:val="18"/>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See the “Risk Factors” section beginning on page 4 of this</w:t>
            </w:r>
          </w:p>
        </w:tc>
      </w:tr>
      <w:tr>
        <w:trPr>
          <w:trHeight w:val="216"/>
        </w:trPr>
        <w:tc>
          <w:tcPr>
            <w:tcW w:w="2440" w:type="dxa"/>
            <w:vAlign w:val="bottom"/>
          </w:tcPr>
          <w:p>
            <w:pPr>
              <w:spacing w:after="0"/>
              <w:rPr>
                <w:sz w:val="18"/>
                <w:szCs w:val="18"/>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prospectus and in the documents incorporated by reference</w:t>
            </w:r>
          </w:p>
        </w:tc>
      </w:tr>
      <w:tr>
        <w:trPr>
          <w:trHeight w:val="216"/>
        </w:trPr>
        <w:tc>
          <w:tcPr>
            <w:tcW w:w="2440" w:type="dxa"/>
            <w:vAlign w:val="bottom"/>
          </w:tcPr>
          <w:p>
            <w:pPr>
              <w:spacing w:after="0"/>
              <w:rPr>
                <w:sz w:val="18"/>
                <w:szCs w:val="18"/>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 this prospectus for a discussion of factors you should</w:t>
            </w:r>
          </w:p>
        </w:tc>
      </w:tr>
      <w:tr>
        <w:trPr>
          <w:trHeight w:val="234"/>
        </w:trPr>
        <w:tc>
          <w:tcPr>
            <w:tcW w:w="2440" w:type="dxa"/>
            <w:vAlign w:val="bottom"/>
          </w:tcPr>
          <w:p>
            <w:pPr>
              <w:spacing w:after="0"/>
              <w:rPr>
                <w:sz w:val="20"/>
                <w:szCs w:val="20"/>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consider before deciding to invest in our ordinary shares.</w:t>
            </w:r>
          </w:p>
        </w:tc>
      </w:tr>
      <w:tr>
        <w:trPr>
          <w:trHeight w:val="387"/>
        </w:trPr>
        <w:tc>
          <w:tcPr>
            <w:tcW w:w="2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Nasdaq symbol</w:t>
            </w: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Our ordinary shares are listed on the Nasdaq Capital Market</w:t>
            </w:r>
          </w:p>
        </w:tc>
      </w:tr>
      <w:tr>
        <w:trPr>
          <w:trHeight w:val="234"/>
        </w:trPr>
        <w:tc>
          <w:tcPr>
            <w:tcW w:w="2440" w:type="dxa"/>
            <w:vAlign w:val="bottom"/>
          </w:tcPr>
          <w:p>
            <w:pPr>
              <w:spacing w:after="0"/>
              <w:rPr>
                <w:sz w:val="20"/>
                <w:szCs w:val="20"/>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under the symbol “KARO.”</w:t>
            </w:r>
          </w:p>
        </w:tc>
      </w:tr>
      <w:tr>
        <w:trPr>
          <w:trHeight w:val="415"/>
        </w:trPr>
        <w:tc>
          <w:tcPr>
            <w:tcW w:w="24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r>
        <w:trPr>
          <w:trHeight w:val="388"/>
        </w:trPr>
        <w:tc>
          <w:tcPr>
            <w:tcW w:w="24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Before making a decision to invest in our securities, you should carefully consider the risks described under “Item 3.D. Key Information — Risk Factors” in our then-most recent Annual Report on Form 20-F (our “Annual Report”), and any updates to those risk factors in our reports on Form 6-K incorporated by reference in this prospectus, together with all of the other information appearing or incorporated by reference in this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contain statements that constitute forward-looking statements within the meaning of Section 21E of the Exchange Act and Section 27A of the Securities Act of 1933, as amended (the “Securities Act”).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27"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prospectus or the documents incorporated herein by reference. In addition, even if our results of operations, financial condition and liquidity, the development of the industry in which we operate and the effect of acquisitions on us are consistent with the forward-looking statements contained in this prospectus and the documents incorporated herein by reference, those results or developments may not be indicative of results or developments in subsequent periods.</w:t>
      </w:r>
    </w:p>
    <w:p>
      <w:pPr>
        <w:spacing w:after="0" w:line="127"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Factors that may cause our actual results to differ materially from those expressed or implied by the forward-looking statements in this prospectus and the documents incorporated herein by reference include, but are not limited to, the risks described under the heading titled “Risk Factors” in our Annual Report, subsequent quarterly reports on Form 6-K and other filings with the SEC. For example, factors that could cause actual results to vary from projected results include, but are not limited to:</w:t>
      </w:r>
    </w:p>
    <w:p>
      <w:pPr>
        <w:spacing w:after="0" w:line="102" w:lineRule="exact"/>
        <w:rPr>
          <w:sz w:val="20"/>
          <w:szCs w:val="20"/>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existing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subscribers and retain existing subscribers;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58"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a pandemic or widespread outbreak of an illness, the Russia-Ukraine conflict, geopolitical tensions, and similar macroeconomic events, including financial distress caused by recent or potential bank failures, global supply chain challenges, foreign currency fluctuations, elevated inflation and interest rates and monetary policy changes, upon our and our customers’ and partners’ respective businesses;</w:t>
      </w:r>
    </w:p>
    <w:p>
      <w:pPr>
        <w:spacing w:after="0" w:line="102"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our ability to increase sales to existing customers, the introduction of new solutions and international expansion;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 in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cellular networks;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industry consolidation;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software-as-a-service (“SaaS”) fleet management platform;</w:t>
      </w:r>
    </w:p>
    <w:p>
      <w:pPr>
        <w:spacing w:after="0" w:line="157" w:lineRule="exact"/>
        <w:rPr>
          <w:rFonts w:ascii="Times New Roman" w:cs="Times New Roman" w:eastAsia="Times New Roman" w:hAnsi="Times New Roman"/>
          <w:sz w:val="18"/>
          <w:szCs w:val="18"/>
          <w:color w:val="auto"/>
        </w:rPr>
      </w:pPr>
    </w:p>
    <w:p>
      <w:pPr>
        <w:ind w:left="1320" w:right="125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market conditions and the evolving nature of the automotive industry towards autonomous vehicles;</w:t>
      </w:r>
    </w:p>
    <w:p>
      <w:pPr>
        <w:spacing w:after="0" w:line="80"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profitability and certain cost or expense items as a percentage of our revenue;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key component suppliers and vendors;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enhance our brand recognition;</w:t>
      </w:r>
    </w:p>
    <w:p>
      <w:pPr>
        <w:spacing w:after="0" w:line="144" w:lineRule="exact"/>
        <w:rPr>
          <w:rFonts w:ascii="Times New Roman" w:cs="Times New Roman" w:eastAsia="Times New Roman" w:hAnsi="Times New Roman"/>
          <w:sz w:val="18"/>
          <w:szCs w:val="18"/>
          <w:color w:val="auto"/>
        </w:rPr>
      </w:pPr>
    </w:p>
    <w:p>
      <w:pPr>
        <w:ind w:left="4460" w:right="499" w:hanging="3574"/>
        <w:spacing w:after="0" w:line="485" w:lineRule="auto"/>
        <w:tabs>
          <w:tab w:leader="none" w:pos="1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key personnel or attract, train and retain other highly qualified personnel;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1359" w:hanging="434"/>
        <w:spacing w:after="0" w:line="282"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evolving nature of laws and regulations relating to the internet, including cybersecurity and data privacy;</w:t>
      </w:r>
    </w:p>
    <w:p>
      <w:pPr>
        <w:spacing w:after="0" w:line="94" w:lineRule="exact"/>
        <w:rPr>
          <w:rFonts w:ascii="Times New Roman" w:cs="Times New Roman" w:eastAsia="Times New Roman" w:hAnsi="Times New Roman"/>
          <w:sz w:val="18"/>
          <w:szCs w:val="18"/>
          <w:color w:val="auto"/>
        </w:rPr>
      </w:pPr>
    </w:p>
    <w:p>
      <w:pPr>
        <w:ind w:left="1320" w:right="1159" w:hanging="434"/>
        <w:spacing w:after="0" w:line="282"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technologies and address any infringement claims;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service on, or security breaches of, our websites or computer systems;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technology and licenses;</w:t>
      </w:r>
    </w:p>
    <w:p>
      <w:pPr>
        <w:spacing w:after="0" w:line="157"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South African rand and inflation rates in the countries in which we conduct business;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in the future;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the heading “Risk Factors” in our filings with the SEC.</w:t>
      </w:r>
    </w:p>
    <w:p>
      <w:pPr>
        <w:spacing w:after="0" w:line="158"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will not receive any proceeds from the sale of ordinary shares by the selling shareholder from time to time pursuant to this prospectus. If any ordinary shares are sold, the selling shareholder will pay any underwriting or brokerage commissions and/or similar charges incurred for the sale of such shares. We will bear all other costs, fees and expenses incurred in effecting the registration of ordinary shares covered by this prospectus, including all registration and filing fees and fees and expenses of our counsel and accountants.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 AND DIVIDEND POLICY</w:t>
      </w:r>
    </w:p>
    <w:p>
      <w:pPr>
        <w:spacing w:after="0" w:line="148" w:lineRule="exact"/>
        <w:rPr>
          <w:sz w:val="20"/>
          <w:szCs w:val="20"/>
          <w:color w:val="auto"/>
        </w:rPr>
      </w:pPr>
    </w:p>
    <w:p>
      <w:pPr>
        <w:jc w:val="both"/>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Dividends are declared at the discretion of our board of directors and we cannot assure you that we will pay any dividends to holders of our ordinary shares, or as to the amount of any such dividends if our board of directors determines to do so.</w:t>
      </w:r>
    </w:p>
    <w:p>
      <w:pPr>
        <w:spacing w:after="0" w:line="10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board recognizes the importance to the Group of investment in achieving growth at scale and endeavors to avoid swings in dividend profile.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Karooooo aims to reinvest retained earnings to the extent that it aligns with the Group’s required return on incrementally reinvested capital, return on equity, and short- to medium-term growth strategy. See “Item 3.D. Key Information — Risk Factors — Although Karooooo has paid dividends in the past, our ability to pay dividends in the future depends on many factors and we cannot guarantee you that we will continue to pay dividends in the future” in our Annual Report.</w:t>
      </w:r>
    </w:p>
    <w:p>
      <w:pPr>
        <w:spacing w:after="0" w:line="124"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spacing w:after="0" w:line="10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Although Karooooo’s reporting currency is ZAR, its statutory filings in Singapore are reported in USD, as a result of which dividends, if declared, are declared in USD.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46" w:lineRule="exact"/>
        <w:rPr>
          <w:sz w:val="20"/>
          <w:szCs w:val="20"/>
          <w:color w:val="auto"/>
        </w:rPr>
      </w:pPr>
    </w:p>
    <w:p>
      <w:pPr>
        <w:ind w:left="460" w:right="499" w:firstLine="432"/>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description summarizes certain material terms of our constitution in effect as at the date of this prospectus and certain relevant provisions of Singapore law. Such summary does not purport to be complete and is subject to, and is qualified in its entirety by reference to, the applicable provisions of Singapore law and our constitution, a copy of which is incorporated by reference as Exhibit 1.1 to the Annual Report on Form 20-F for the year ended February 29, 2024, which is incorporated by reference herein. We encourage you to read our constitution and the applicable provisions of Singapore law for additional information.</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Our issued and outstanding share capital consists of ordinary shares. We have 30,893,300 ordinary shares issued and outstanding as of the date of this prospectus.</w:t>
      </w:r>
    </w:p>
    <w:p>
      <w:pPr>
        <w:spacing w:after="0" w:line="94"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We currently only have one class of issued ordinary shares, which have identical rights in all respects and rank equally with one another.</w:t>
      </w:r>
    </w:p>
    <w:p>
      <w:pPr>
        <w:spacing w:after="0" w:line="81"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For the purposes of this section, references to “shareholders” mean those shareholders whose names and number of shares are entered in our register of members. Only persons who are registered in our register of members are recognized under Singapore law as our shareholders. As a result, only registered shareholders have legal standing under Singapore law to institute shareholder actions against us or otherwise seek to enforce their rights as shareholders.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ordinary shares have no par value as there is no concept of authorized share capital under Singapore law. All shares presently issued are fully paid and existing shareholders are not subject to any calls on shares. Although Singapore law does not recognize the concept of “non-assessability” with respect to newly-issued shares, we note that any subscriber of our ordinary shares who has fully paid up all amounts due with respect to such ordinary shares will not be subject under Singapore law to any personal liability to contribute to our assets or liabilities in such subscriber’s capacity solely as a holder of such ordinary shares. We believe this interpretation is substantively consistent with the concept of “non-assessability” under most, if not all, U.S. state corporation laws. All of our ordinary shares are in registered form. We cannot, except in the circumstances permitted by the Singapore Companies Act, grant any financial assistance for the acquisition or proposed acquisition of our own ordinary shares. Except as described in “— Singapore Code on Take-Overs and Mergers”, there are no limitations in our constitution or Singapore law on the rights of shareholders not resident in Singapore to hold or vote in respect of our ordinary shares.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Each ordinary share is entitled to one vote per share. Voting at any meeting of shareholders is by show of hands unless a poll has been demanded prior to or on the declaration of the result of the show of hands by, among others, at least one shareholder present in person or by proxy or by attorney or other duty authorized representative and representing not less than 5% of the total voting rights of all shareholders having the right to vote at the meeting. On a poll, each holder of ordinary shares who is present in person or by proxy or by attorney or other duly authorized representative, has one vote for each ordinary share which he holds or represents. Proxies need not be shareholders.</w:t>
      </w:r>
    </w:p>
    <w:p>
      <w:pPr>
        <w:spacing w:after="0" w:line="108"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Subject to the Singapore Companies Act and our constitution, only those shareholders who are registered in our register of members will be entitled to vote at any meeting of shareholders in person or by proxy or by attorney or other duly authorized representative. Therefore, since some of our ordinary shares are held through The Depository Trust Company (“DTC”) or its nominee, DTC or its nominee will grant an omnibus proxy to DTC participants holding our ordinary shares in book-entry form. Persons holding through a broker, bank, nominee or other institution that is a direct or indirect participant of DTC will have the right to instruct their broker, bank, nominee or other institution holding these ordinary shares on how to vote such ordinary shares by completing the voting instruction form provided by the applicable broker, bank, nominee, or other institution. Whether voting is by a show of hands or by a poll, the vote of DTC or its nominee will be voted by the chairman of the meeting according</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99"/>
        <w:spacing w:after="0" w:line="266" w:lineRule="auto"/>
        <w:rPr>
          <w:sz w:val="20"/>
          <w:szCs w:val="20"/>
          <w:color w:val="auto"/>
        </w:rPr>
      </w:pPr>
      <w:r>
        <w:rPr>
          <w:rFonts w:ascii="Times New Roman" w:cs="Times New Roman" w:eastAsia="Times New Roman" w:hAnsi="Times New Roman"/>
          <w:sz w:val="18"/>
          <w:szCs w:val="18"/>
          <w:color w:val="auto"/>
        </w:rPr>
        <w:t>to the results of the votes of the DTC participants (which results will reflect the instructions received from persons that own our ordinary shares electronically in book-entry form through DTC). In the case of a tie vote, the chairman of the meeting shall be entitled to a casting vote.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may, by ordinary resolution, declare dividends at a general meeting of our shareholders, but no dividend shall be payable except out of our profits, and the amount of any such dividend shall not exceed the amount recommended by our board of directors. Subject to our constitution and in accordance with the Singapore Companies Act, our board of directors may, without the approval of our shareholders, declare and pay interim dividends, but any final dividends the board declares must be approved by an ordinary resolution at a general meeting of our shareholders.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Capitalization and Other Rights</w:t>
      </w:r>
    </w:p>
    <w:p>
      <w:pPr>
        <w:spacing w:after="0" w:line="16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Our board of directors may, with the approval of our shareholders at a general meeting, capitalize any reserves or profits and distribute them as shares, credited as paid-up, to our shareholders in proportion to their shareholdings in accordance with our constitution.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7"/>
          <w:szCs w:val="17"/>
          <w:color w:val="auto"/>
        </w:rPr>
        <w:t>Subject to the Singapore Companies Act and every other Singapore statute for the time being in force affecting us, under our constitution, whenever our share capital is divided into different classes of shares, the special rights attached to any class may be varied or abrogated either with the consent in writing of the holders of three-quarters of the issued shares of the class or with the sanction of a special resolution passed at a separate general meeting of the holders of the shares of the class (but not otherwise) and may be so varied or abrogated either while the Company is a going concern or during or in contemplation of a winding-up. To every such separate general meeting, the necessary quorum shall be two persons (unless all the shares of the class are held by one person whereupon the necessary quorum shall be one person) at least holding or representing by proxy or by attorney or other duly authorized representative at least one-third of issued shares of the class and that any holder of shares of the class present in person or by proxy or by attorney or other duly authorized representative may demand a poll, and on a poll, shall have one vote for every share of the class held by him, provided always that where the necessary majority for such a special resolution is not obtained at such general meeting, consent in writing if obtained from the holders of three-quarters of the issued shares of the class concerned within</w:t>
      </w:r>
    </w:p>
    <w:p>
      <w:pPr>
        <w:spacing w:after="0" w:line="10" w:lineRule="exact"/>
        <w:rPr>
          <w:sz w:val="20"/>
          <w:szCs w:val="20"/>
          <w:color w:val="auto"/>
        </w:rPr>
      </w:pPr>
    </w:p>
    <w:p>
      <w:pPr>
        <w:ind w:left="460" w:right="479"/>
        <w:spacing w:after="0" w:line="260" w:lineRule="auto"/>
        <w:rPr>
          <w:sz w:val="20"/>
          <w:szCs w:val="20"/>
          <w:color w:val="auto"/>
        </w:rPr>
      </w:pPr>
      <w:r>
        <w:rPr>
          <w:rFonts w:ascii="Times New Roman" w:cs="Times New Roman" w:eastAsia="Times New Roman" w:hAnsi="Times New Roman"/>
          <w:sz w:val="18"/>
          <w:szCs w:val="18"/>
          <w:color w:val="auto"/>
        </w:rPr>
        <w:t>two months of such general meeting shall be as valid and effectual as a special resolution carried at such general meeting.</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Issuance of New Shares</w:t>
      </w:r>
    </w:p>
    <w:p>
      <w:pPr>
        <w:spacing w:after="0" w:line="162"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Under the Singapore Companies Act, new shares may be issued only with the prior approval of our shareholders in a general meeting. General approval may be sought from our shareholders in a general meeting for the issuance of shares. Such approval, if granted, will lapse at the earlier of:</w:t>
      </w:r>
    </w:p>
    <w:p>
      <w:pPr>
        <w:spacing w:after="0" w:line="108" w:lineRule="exact"/>
        <w:rPr>
          <w:sz w:val="20"/>
          <w:szCs w:val="20"/>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or</w:t>
      </w:r>
    </w:p>
    <w:p>
      <w:pPr>
        <w:spacing w:after="0" w:line="14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within which the next annual general meeting is required by law to be held (i.e., within six months after the end of each fiscal year);</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however, any approval may be revoked or varied by the company in a general meeting.</w:t>
      </w:r>
    </w:p>
    <w:p>
      <w:pPr>
        <w:spacing w:after="0" w:line="15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Our shareholders have provided such general authority to issue new ordinary shares until the conclusion of our annual general meeting or the date by which the next annual general meeting of the Company is required by law to be held, whichever is earlier.</w:t>
      </w:r>
    </w:p>
    <w:p>
      <w:pPr>
        <w:spacing w:after="0" w:line="95"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Subject to this and the provisions of the Singapore Companies Act and our constitution, our board of directors may allot, issue or grant options over or otherwise dispose of new ordinary shares to such persons on such terms and conditions and with the rights and restrictions as they may think fit to impose. Such rights are subject to any condition attached to such issue and the regulations of any stock exchange on which our ordinary shares are listed, as well as U.S. federal and blue sky securities laws applicable to such issue.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14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Our constitution provides that, subject to the Singapore Companies Act and our constitution, we may issue shares of a different class with preferential, deferred, qualified or special rights, privileges, conditions or such restrictions, whether with regard to dividend, voting, return of capital or otherwise, or which do not confer voting rights, as our board of directors may think fit. The Singapore Companies Act allows public companies such as us to issue shares with different voting rights (including special, limited or conditional voting rights, or no voting rights), subject to, among others, our shareholders having adopted a special resolution approving such issuance.</w:t>
      </w:r>
    </w:p>
    <w:p>
      <w:pPr>
        <w:spacing w:after="0" w:line="121"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We may, subject to the Singapore Companies Act and the prior approval in a general meeting of our shareholders, issue preference shares that are, or at our option are to be, subject to redemption provided that such preference shares may not be redeemed out of the capital of the Company unless:</w:t>
      </w:r>
    </w:p>
    <w:p>
      <w:pPr>
        <w:spacing w:after="0" w:line="108" w:lineRule="exact"/>
        <w:rPr>
          <w:sz w:val="20"/>
          <w:szCs w:val="20"/>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directors have made a solvency statement in relation to such redemption; and</w:t>
      </w:r>
    </w:p>
    <w:p>
      <w:pPr>
        <w:spacing w:after="0" w:line="144"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lodged a copy of the statement with the Accounting and Corporate Regulatory Authority of Singapore. Further, the preference shares must be fully paid-up before they are redeemed.</w:t>
      </w:r>
    </w:p>
    <w:p>
      <w:pPr>
        <w:spacing w:after="0" w:line="94" w:lineRule="exact"/>
        <w:rPr>
          <w:sz w:val="20"/>
          <w:szCs w:val="20"/>
          <w:color w:val="auto"/>
        </w:rPr>
      </w:pPr>
    </w:p>
    <w:p>
      <w:pPr>
        <w:ind w:left="460" w:right="559" w:firstLine="432"/>
        <w:spacing w:after="0" w:line="289" w:lineRule="auto"/>
        <w:rPr>
          <w:sz w:val="20"/>
          <w:szCs w:val="20"/>
          <w:color w:val="auto"/>
        </w:rPr>
      </w:pPr>
      <w:r>
        <w:rPr>
          <w:rFonts w:ascii="Times New Roman" w:cs="Times New Roman" w:eastAsia="Times New Roman" w:hAnsi="Times New Roman"/>
          <w:sz w:val="17"/>
          <w:szCs w:val="17"/>
          <w:color w:val="auto"/>
        </w:rPr>
        <w:t>The issuance of preference shares could have the effect of decreasing the trading price of our ordinary shares, restricting dividends on our ordinary shares, diluting the voting power of our ordinary shares, impairing the liquidation rights of our ordinary shares, or delaying or preventing a change in control of the Company.</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Only persons who are registered in our register of members are recognized under Singapore law as our shareholders with legal standing under Singapore law to institute shareholder actions against us or otherwise seek to enforce their rights as shareholders. We will not, except as required by applicable law, recognize any equitable, contingent, future or partial interest in any ordinary share, or any interest in any fractional part of an ordinary share, or other rights for any ordinary share other than the absolute right thereto of the registered holder of that ordinary share. We may close our register of members for any time or times, provided that our register of members may not be closed for more than 30 days in the aggregate in any calendar year. We typically will close our register of members to determine shareholders’ entitlement to receive dividends and other distributions.</w:t>
      </w:r>
    </w:p>
    <w:p>
      <w:pPr>
        <w:spacing w:after="0" w:line="107"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Our ordinary shares are listed and traded on Nasdaq under the symbol “KARO.” Our ordinary shares are held through The Depository Trust Company (“DTC”). Accordingly, DTC or its nominee, Cede &amp; Co., is the shareholder on record registered in our register of members.</w:t>
      </w:r>
    </w:p>
    <w:p>
      <w:pPr>
        <w:spacing w:after="0" w:line="10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A holder of our ordinary shares held in book-entry interests through DTC or its nominee may become a registered shareholder by exchanging its interest in such shares for certificated ordinary shares and being registered in our register of members in respect of such shares. The procedures by which a holder of book-entry interests held through the facilities of the DTC may exchange such interests for certificated ordinary shares are determined by DTC (including the broker, bank, nominee or other institution that holds the shares within DTC) and Computershare Trust Company, N.A. (“Computershare”), which will act as our transfer agent, in accordance with their internal policies and guidelines regulating the withdrawal and exchange of book-entry interests for certificated ordinary shares.</w:t>
      </w:r>
    </w:p>
    <w:p>
      <w:pPr>
        <w:spacing w:after="0" w:line="12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Under the Singapore Companies Act, if (a) the name of any person is without sufficient cause entered in or omitted from the register of members; or (b) default is made or unnecessary delay takes place in entering in the register of members the fact of any person having ceased to be a member, the person aggrieved or any member or the public company itself, may apply to the Singapore courts for rectification of the register of members. The Singapore courts may refuse the application or may order rectification of the register of members and payment by the public company of any damages sustained by any party to the application. The Singapore courts will not entertain any application for the rectification of a register of members in respect of an entry which was made in the register of members more than 30 years before the date of the application.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Singapore Code on Take-Overs and Mergers</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Singapore Code on Take-Overs and Mergers, or “Singapore Take-over Code,” regulates, among other things, the acquisition of voting shares of Singapore-incorporated public companies. In this regard, the Singapore Take-over Code applies to, among others, corporations with a primary listing of their equity securities in Singapore.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53" w:lineRule="auto"/>
        <w:rPr>
          <w:sz w:val="20"/>
          <w:szCs w:val="20"/>
          <w:color w:val="auto"/>
        </w:rPr>
      </w:pPr>
      <w:r>
        <w:rPr>
          <w:rFonts w:ascii="Times New Roman" w:cs="Times New Roman" w:eastAsia="Times New Roman" w:hAnsi="Times New Roman"/>
          <w:sz w:val="18"/>
          <w:szCs w:val="18"/>
          <w:color w:val="auto"/>
        </w:rPr>
        <w:t>While the Singapore Take-over Code is drafted with, among others, listed public companies in mind, unlisted public companies with more than 50 shareholders and net tangible assets of S$5.0 million or more, must also observe the letter and spirit of the general principles and rules of the Singapore Take-over Code, wherever this is possible and appropriate. Public companies with a primary listing overseas may apply to the Securities Industry Council (“</w:t>
      </w:r>
      <w:r>
        <w:rPr>
          <w:rFonts w:ascii="Times New Roman" w:cs="Times New Roman" w:eastAsia="Times New Roman" w:hAnsi="Times New Roman"/>
          <w:sz w:val="18"/>
          <w:szCs w:val="18"/>
          <w:b w:val="1"/>
          <w:bCs w:val="1"/>
          <w:color w:val="auto"/>
        </w:rPr>
        <w:t>SIC</w:t>
      </w:r>
      <w:r>
        <w:rPr>
          <w:rFonts w:ascii="Times New Roman" w:cs="Times New Roman" w:eastAsia="Times New Roman" w:hAnsi="Times New Roman"/>
          <w:sz w:val="18"/>
          <w:szCs w:val="18"/>
          <w:color w:val="auto"/>
        </w:rPr>
        <w:t>”) to waive the application of the Singapore Take-over Code. As at the date of this prospectus, no application has been made to SIC to waive the application of the Singapore Take-over Code in relation to us. We may submit an application to SIC for a waiver from the Singapore Take-over Code so that the Singapore Take-over Code will not apply to us for so long as we are not listed on a securities exchange in Singapore. We will make an appropriate announcement if we submit the application and when the result of the application is known.</w:t>
      </w:r>
    </w:p>
    <w:p>
      <w:pPr>
        <w:spacing w:after="0" w:line="127"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Any person acquiring an interest, whether by a series of transactions over a period of time or not, shares which (taken together with shares held or acquired by parties acting in concert with such person) carry 30% or more of the voting rights in the Company or any person holding, either on his or her own or together with parties acting in concert with such person, between 30% and 50% (both amounts inclusive) of the voting rights in the Company, and if such person (or any party acting in concert with such person) acquires additional voting shares representing more than 1% of the voting rights in the Company in any six-month period, must, except with the consent of SIC, extend a mandatory take-over offer for all the remaining voting shares in accordance with the provisions of the Singapore Take-over Code. Responsibility for ensuring compliance with the Singapore Take-over Code rests with parties (including company directors) to a take-over or merger and their advisors.</w:t>
      </w:r>
    </w:p>
    <w:p>
      <w:pPr>
        <w:spacing w:after="0" w:line="127" w:lineRule="exact"/>
        <w:rPr>
          <w:sz w:val="20"/>
          <w:szCs w:val="20"/>
          <w:color w:val="auto"/>
        </w:rPr>
      </w:pPr>
    </w:p>
    <w:p>
      <w:pPr>
        <w:jc w:val="both"/>
        <w:ind w:left="460" w:right="519" w:firstLine="432"/>
        <w:spacing w:after="0" w:line="281" w:lineRule="auto"/>
        <w:rPr>
          <w:sz w:val="20"/>
          <w:szCs w:val="20"/>
          <w:color w:val="auto"/>
        </w:rPr>
      </w:pPr>
      <w:r>
        <w:rPr>
          <w:rFonts w:ascii="Times New Roman" w:cs="Times New Roman" w:eastAsia="Times New Roman" w:hAnsi="Times New Roman"/>
          <w:sz w:val="17"/>
          <w:szCs w:val="17"/>
          <w:color w:val="auto"/>
        </w:rPr>
        <w:t>Under the Singapore Take-over Code, “parties acting in concert” comprise individuals or companies who, pursuant to an agreement or understanding (whether formal or informal), cooperate, through the acquisition by any of them of shares in a company, to obtain or consolidate effective control of that company. Certain persons are presumed (unless the presumption is rebutted) to be acting in concert with each other. They are as follows:</w:t>
      </w:r>
    </w:p>
    <w:p>
      <w:pPr>
        <w:spacing w:after="0" w:line="83" w:lineRule="exact"/>
        <w:rPr>
          <w:sz w:val="20"/>
          <w:szCs w:val="20"/>
          <w:color w:val="auto"/>
        </w:rPr>
      </w:pPr>
    </w:p>
    <w:p>
      <w:pPr>
        <w:ind w:left="1320" w:right="579" w:hanging="434"/>
        <w:spacing w:after="0" w:line="258"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its parent company, subsidiaries and fellow subsidiaries (together, the related companies), the associated companies of any of the company and its related companies, companies whose associated companies include any of these foregoing companies and any person who has provided financial assistance (other than a bank in the ordinary course of business) to any of the foregoing for the purchase of voting rights;</w:t>
      </w:r>
    </w:p>
    <w:p>
      <w:pPr>
        <w:spacing w:after="0" w:line="115"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with any of its directors (together with their close relatives, related trusts and companies controlled by any of the directors, their close relatives and related trusts);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with any of its pension funds and employee share schemes;</w:t>
      </w:r>
    </w:p>
    <w:p>
      <w:pPr>
        <w:spacing w:after="0" w:line="144" w:lineRule="exact"/>
        <w:rPr>
          <w:rFonts w:ascii="Times New Roman" w:cs="Times New Roman" w:eastAsia="Times New Roman" w:hAnsi="Times New Roman"/>
          <w:sz w:val="18"/>
          <w:szCs w:val="18"/>
          <w:color w:val="auto"/>
        </w:rPr>
      </w:pPr>
    </w:p>
    <w:p>
      <w:pPr>
        <w:ind w:left="1320" w:right="67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with any investment company, unit trust or other fund whose investment such person manages on a discretionary basis but only in respect of the investment account which such person manages;</w:t>
      </w:r>
    </w:p>
    <w:p>
      <w:pPr>
        <w:spacing w:after="0" w:line="108" w:lineRule="exact"/>
        <w:rPr>
          <w:rFonts w:ascii="Times New Roman" w:cs="Times New Roman" w:eastAsia="Times New Roman" w:hAnsi="Times New Roman"/>
          <w:sz w:val="18"/>
          <w:szCs w:val="18"/>
          <w:color w:val="auto"/>
        </w:rPr>
      </w:pPr>
    </w:p>
    <w:p>
      <w:pPr>
        <w:ind w:left="1320" w:right="55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or other professional adviser, including a stockbroker, with its client in respect of the shareholdings of the adviser and persons controlling, controlled by or under the same control as the adviser;</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a company (together with their close relatives, related trusts and companies controlled by any of such directors, their close relatives and related trusts) which is subject to an offer or where the directors have reason to believe a bona fide offer for the company may be imminent;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and</w:t>
      </w:r>
    </w:p>
    <w:p>
      <w:pPr>
        <w:spacing w:after="0" w:line="157" w:lineRule="exact"/>
        <w:rPr>
          <w:rFonts w:ascii="Times New Roman" w:cs="Times New Roman" w:eastAsia="Times New Roman" w:hAnsi="Times New Roman"/>
          <w:sz w:val="18"/>
          <w:szCs w:val="18"/>
          <w:color w:val="auto"/>
        </w:rPr>
      </w:pPr>
    </w:p>
    <w:p>
      <w:pPr>
        <w:ind w:left="1320" w:right="639" w:hanging="434"/>
        <w:spacing w:after="0" w:line="25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and (i) such person’s close relatives, (ii) such person’s related trusts, (iii) any person who is accustomed to act in accordance with such person’s instructions, (iv) companies controlled by the individual, such person’s close relatives, such person’s related trusts or any person who is accustomed to act in accordance with such person’s instructions and (v) any person who has provided financial assistance (other than a bank in the ordinary course of business) to any of the foregoing for the purchase of voting rights.</w:t>
      </w:r>
    </w:p>
    <w:p>
      <w:pPr>
        <w:spacing w:after="0" w:line="120"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Subject to certain exceptions, a mandatory take-over offer must be in cash or be accompanied by a cash alternative at not less than the highest price paid by the offeror or parties acting in concert with the offeror for voting rights in the offeree company during the offer period and within the six months prior to its commencement.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Under the Singapore Take-over Code, where effective control of a company is acquired or consolidated by a person, or persons acting in concert, a general offer to all other shareholders is normally required. An offeror must treat all shareholders of the same class in an offeree company equally. A fundamental requirement is that shareholders in the company subject to the take-over offer must be given sufficient information, advice and time to enable them to reach an informed decision on the offer. These legal requirements may impede or delay a takeover of our company by a third-party.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Election and Reelection of Directors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may, by ordinary resolution, remove any director before the expiration of his or her period of office, notwithstanding anything in our constitution or in any agreement between us and such director but where any director so removed was appointed to represent the interests of any particular class of shareholders or debenture holders the resolution to remove him shall not take effect until his successor has been appointed. We may also, by an ordinary resolution, appoint another person in place of a director removed from office pursuant to the foregoing.</w:t>
      </w:r>
    </w:p>
    <w:p>
      <w:pPr>
        <w:spacing w:after="0" w:line="120"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Under our constitution, our directors shall be divided into three (3) classes as nearly equal in size as is practicable, hereby designated Class I, Class II and Class III.</w:t>
      </w:r>
    </w:p>
    <w:p>
      <w:pPr>
        <w:spacing w:after="0" w:line="8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board of directors may assign members of the board of directors already in office to such classes at the time such classification becomes effective. The term of office of the initial Class I directors shall expire at the first annual general meeting following the adoption of our constitution, the term of office of the initial Class II directors shall expire at the second annual general meeting following the adoption of this constitution and the term of office of the initial Class III directors shall expire at the third annual general meeting following the adoption of our constitution. At each annual general meeting, commencing with the first annual general meeting following the adoption of our constitution, each of the successors elected to replace the directors of a class whose term shall have expired at such annual general meeting shall be elected to hold office until the third annual general meeting next succeeding his or her election and until his or her respective successor shall have been duly elected and qualified. A retiring director shall be eligible for re-election.</w:t>
      </w:r>
    </w:p>
    <w:p>
      <w:pPr>
        <w:spacing w:after="0" w:line="127"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Our constitution provides that our board of directors shall have the power, at any time, to appoint any person to be a director either to fill a casual vacancy or as an additional director but any person so appointed by the directors shall hold office only until the next annual general meeting and shall then be eligible for re-election.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 Meetings of Shareholders</w:t>
      </w:r>
    </w:p>
    <w:p>
      <w:pPr>
        <w:spacing w:after="0" w:line="162"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Subject to the Singapore Companies Act, we are required to hold an annual general meeting of shareholders within six months from the end of our fiscal year. The directors may convene an extraordinary general meeting whenever they think fit and they must do so upon the requisition of shareholders holding not less than 10% of the total number of paid-up shares as of the date of deposit of the requisition carrying the right to vote at a general meeting (disregarding paid-up shares held as treasury shares). In addition, two or more shareholders holding not less than 10% of our total number of issued shares (excluding treasury shares) may call a meeting of our shareholders.</w:t>
      </w:r>
    </w:p>
    <w:p>
      <w:pPr>
        <w:spacing w:after="0" w:line="108"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Singapore Companies Act provides that a shareholder is entitled to attend any general meeting and speak on any resolution put before the general meeting. Unless otherwise required by law or by our constitution, voting on resolutions put forth at general meetings is by ordinary resolution, requiring the affirmative vote of a simple majority of the voting rights of the shareholders present in person or represented by proxy at the meeting and entitled to vote on the resolution. An ordinary resolution suffices, for example, for the appointment of directors. A special resolution, requiring the affirmative vote of not less than three-fourths of the voting rights of the shareholders present in person or represented by proxy at the meeting and entitled to vote on the resolution, is necessary for certain matters under Singapore law, including voluntary winding-up, amendments to our constitution, a change of our corporate name and a reduction in the share capital.</w:t>
      </w:r>
    </w:p>
    <w:p>
      <w:pPr>
        <w:spacing w:after="0" w:line="121" w:lineRule="exact"/>
        <w:rPr>
          <w:sz w:val="20"/>
          <w:szCs w:val="20"/>
          <w:color w:val="auto"/>
        </w:rPr>
      </w:pPr>
    </w:p>
    <w:p>
      <w:pPr>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We must give at least 21 days’ notice in writing for every general meeting convened for the purpose of passing a special resolution. General meetings convened for the purpose of passing ordinary resolutions generally require at least 14 days’ notice in writing.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Minority Rights</w:t>
      </w:r>
    </w:p>
    <w:p>
      <w:pPr>
        <w:spacing w:after="0" w:line="148" w:lineRule="exact"/>
        <w:rPr>
          <w:sz w:val="20"/>
          <w:szCs w:val="20"/>
          <w:color w:val="auto"/>
        </w:rPr>
      </w:pPr>
    </w:p>
    <w:p>
      <w:pPr>
        <w:ind w:left="460" w:right="999" w:firstLine="432"/>
        <w:spacing w:after="0" w:line="289" w:lineRule="auto"/>
        <w:rPr>
          <w:sz w:val="20"/>
          <w:szCs w:val="20"/>
          <w:color w:val="auto"/>
        </w:rPr>
      </w:pPr>
      <w:r>
        <w:rPr>
          <w:rFonts w:ascii="Times New Roman" w:cs="Times New Roman" w:eastAsia="Times New Roman" w:hAnsi="Times New Roman"/>
          <w:sz w:val="17"/>
          <w:szCs w:val="17"/>
          <w:color w:val="auto"/>
        </w:rPr>
        <w:t>The rights of minority shareholders of Singapore companies are protected under Section 216 of the Singapore Companies Act, which gives the Singapore courts a general power to make any order, upon application by any shareholder of a company, as they think fit to remedy any of the following situations:</w:t>
      </w:r>
    </w:p>
    <w:p>
      <w:pPr>
        <w:spacing w:after="0" w:line="90" w:lineRule="exact"/>
        <w:rPr>
          <w:sz w:val="20"/>
          <w:szCs w:val="20"/>
          <w:color w:val="auto"/>
        </w:rPr>
      </w:pPr>
    </w:p>
    <w:p>
      <w:pPr>
        <w:ind w:left="1320" w:right="959" w:hanging="434"/>
        <w:spacing w:after="0" w:line="266"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affairs of a company are being conducted or the powers of the board of directors are being exercised in a manner oppressive to, or in disregard of the interests of, one or more of the shareholders, including the applicant; or</w:t>
      </w:r>
    </w:p>
    <w:p>
      <w:pPr>
        <w:spacing w:after="0" w:line="108"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takes an action, or threatens to take an action, or the shareholders pass a resolution, or propose to pass a resolution, which unfairly discriminates against, or is otherwise prejudicial to, one or more of the shareholders, including the applicant.</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Singapore courts have a wide discretion as to the remedies they may grant and the remedies listed in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Singapore Companies Act itself are not exclusive. In general, the Singapore courts may:</w:t>
      </w:r>
    </w:p>
    <w:p>
      <w:pPr>
        <w:spacing w:after="0" w:line="139" w:lineRule="exact"/>
        <w:rPr>
          <w:sz w:val="20"/>
          <w:szCs w:val="20"/>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prohibit any act or cancel or modify any transaction or resolution;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conduct of the affairs of the company in the future;</w:t>
      </w:r>
    </w:p>
    <w:p>
      <w:pPr>
        <w:spacing w:after="0" w:line="144"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civil proceedings to be brought in the name of, or on behalf of, the company by a person or persons and on such terms as the court may direct;</w:t>
      </w:r>
    </w:p>
    <w:p>
      <w:pPr>
        <w:spacing w:after="0" w:line="94" w:lineRule="exact"/>
        <w:rPr>
          <w:rFonts w:ascii="Times New Roman" w:cs="Times New Roman" w:eastAsia="Times New Roman" w:hAnsi="Times New Roman"/>
          <w:sz w:val="18"/>
          <w:szCs w:val="18"/>
          <w:color w:val="auto"/>
        </w:rPr>
      </w:pPr>
    </w:p>
    <w:p>
      <w:pPr>
        <w:ind w:left="1320" w:right="639" w:hanging="434"/>
        <w:spacing w:after="0" w:line="266"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purchase of a minority shareholder’s shares by the other shareholders or by the company and, in the case of a purchase of shares by the company, a corresponding reduction of its share capital; or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company be wound up.</w:t>
      </w:r>
    </w:p>
    <w:p>
      <w:pPr>
        <w:spacing w:after="0" w:line="144"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In addition, Section 216A of the Singapore Companies Act allows a complainant (including a minority shareholder) to apply to the Singapore courts for leave to bring an action in a court proceeding or arbitration to which a company is a party or intervene in an action in a court proceeding or arbitration to which a company is a party for the purpose of prosecuting, defending or discontinuing the action or arbitration on behalf of a company.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Liquidation or Other Return of Capital</w:t>
      </w:r>
    </w:p>
    <w:p>
      <w:pPr>
        <w:spacing w:after="0" w:line="162"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On a winding-up or other return of capital, subject to any special rights attaching to any other class of shares, holders of ordinary shares will be entitled to participate in any surplus assets in proportion to their shareholdings.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 and Officers</w:t>
      </w:r>
    </w:p>
    <w:p>
      <w:pPr>
        <w:spacing w:after="0" w:line="162" w:lineRule="exact"/>
        <w:rPr>
          <w:sz w:val="20"/>
          <w:szCs w:val="20"/>
          <w:color w:val="auto"/>
        </w:rPr>
      </w:pPr>
    </w:p>
    <w:p>
      <w:pPr>
        <w:ind w:left="460" w:right="599" w:firstLine="432"/>
        <w:spacing w:after="0" w:line="253" w:lineRule="auto"/>
        <w:rPr>
          <w:sz w:val="20"/>
          <w:szCs w:val="20"/>
          <w:color w:val="auto"/>
        </w:rPr>
      </w:pPr>
      <w:r>
        <w:rPr>
          <w:rFonts w:ascii="Times New Roman" w:cs="Times New Roman" w:eastAsia="Times New Roman" w:hAnsi="Times New Roman"/>
          <w:sz w:val="18"/>
          <w:szCs w:val="18"/>
          <w:color w:val="auto"/>
        </w:rPr>
        <w:t>Under Section 172 of the Singapore Companies Act, any provision exempting or indemnifying the officers of a company (including directors) against any liability that would otherwise attach to them in connection with any negligence, default, breach of duty or breach of trust in relation to the company is void. However, a company is not prohibited from: (a) as provided in Section 172A of the Singapore Companies Act, purchasing and maintaining for any such individual insurance against liability incurred by him or her in connection with any negligence, default, breach of duty or breach of trust in relation to the company; or (b) as provided in Section 172B of the Singapore Companies Act, indemnifying the individual against liability incurred by him or her to a person other than the company except when the indemnity is against any liability</w:t>
      </w:r>
    </w:p>
    <w:p>
      <w:pPr>
        <w:spacing w:after="0" w:line="1" w:lineRule="exact"/>
        <w:rPr>
          <w:sz w:val="20"/>
          <w:szCs w:val="20"/>
          <w:color w:val="auto"/>
        </w:rPr>
      </w:pPr>
    </w:p>
    <w:p>
      <w:pPr>
        <w:ind w:left="460" w:right="659" w:hanging="6"/>
        <w:spacing w:after="0" w:line="265" w:lineRule="auto"/>
        <w:tabs>
          <w:tab w:leader="none" w:pos="67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individual to pay a fine in criminal proceedings, (ii) of the individual to pay a penalty to a regulatory authority in respect of non-compliance with any requirements of a regulatory nature (howsoever arising),</w:t>
      </w:r>
    </w:p>
    <w:p>
      <w:pPr>
        <w:ind w:left="460" w:right="499" w:hanging="6"/>
        <w:spacing w:after="0" w:line="253" w:lineRule="auto"/>
        <w:tabs>
          <w:tab w:leader="none" w:pos="7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by the individual in defending criminal proceedings in which he or she is convicted, (iv) incurred by the individual in defending civil proceedings brought by the company or a related company in which judgment is given against him or her, or (v) incurred by the individual in connection with an application for relief under Section 76A(13) or Section 391 of the Singapore Companies Act in which the court refuses to grant him or her relief.</w:t>
      </w:r>
    </w:p>
    <w:p>
      <w:pPr>
        <w:spacing w:after="0" w:line="106"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Singapore statute for the time being in force and affecting our company, every director, secretary or other officer of the Company shall be entitled to be indemnified by us against all costs, charges, losses, expenses and liabilities incurred or to be incurred by them in the execution and discharge of their duties or in relation thereto.</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addition,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us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duties of his or her office or in relation thereto unless the same shall happen through his or her own negligence, willful default, breach of duty or breach of trust.</w:t>
      </w:r>
    </w:p>
    <w:p>
      <w:pPr>
        <w:spacing w:after="0" w:line="121"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agreements will require us to indemnify these individuals to the fullest extent permitted under Singapore law against liabilities that may arise by reason of their service to us, and to advance expenses incurred as a result of any proceeding against them as to which they could be indemnified (on terms that the full amount of such advances is to be repaid if the individual is convicted in the relevant proceeding (with such conviction being final), final judgment is given against the individual in the relevant proceeding or, as the case may be, the court refuses to grant the individual relief on the application (with such refusal of relief being final)), save that the Company shall not provide any indemnity (to any extent) to a director or an officer against any liability attaching to him in connection with any negligence, default, breach of duty or breach of trust in relation to the Company save for the circumstances as permitted pursuant to Section 172A and Section 172B of the Singapore Companies Act. These indemnification rights shall not be exclusive of any other right which an indemnified person may have or hereafter acquire under any statute, provision of our constitution, agreement, vote of shareholders or disinterested directors or otherwise.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The transfer agent and branch registrar for our ordinary shares, which maintains our branch register located in the United States, is Computershare. Its address is 150 Royall Street, Canton, Massachusetts 02021. In South Africa, Computershare Investor Services Proprietary Limited maintains an administrative depositary share register to facilitate trading on the JSE.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Comparison of Shareholder Rights</w:t>
      </w:r>
    </w:p>
    <w:p>
      <w:pPr>
        <w:spacing w:after="0" w:line="148"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Singapore. The following discussion summarizes material differences between the rights of holders of our ordinary shares and the rights of holders of the common stock of a typical corporation incorporated under the laws of the state of Delaware which result from differences in governing documents and the laws of Singapore and Delaware.</w:t>
      </w:r>
    </w:p>
    <w:p>
      <w:pPr>
        <w:spacing w:after="0" w:line="11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This discussion does not purport to be a complete or comprehensive statement of the rights of holders of our ordinary shares under applicable law in Singapore and our constitution or the rights of holders of the common stock of a typical corporation under applicable Delaware law and a typical certificate of incorporation and bylaws.</w:t>
      </w:r>
    </w:p>
    <w:p>
      <w:pPr>
        <w:spacing w:after="0" w:line="162" w:lineRule="exact"/>
        <w:rPr>
          <w:sz w:val="20"/>
          <w:szCs w:val="20"/>
          <w:color w:val="auto"/>
        </w:rPr>
      </w:pPr>
    </w:p>
    <w:p>
      <w:pPr>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7"/>
          <w:szCs w:val="17"/>
          <w:color w:val="auto"/>
        </w:rPr>
        <w:t>A typical certificate of incorporation and bylaws would provide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19"/>
        <w:spacing w:after="0" w:line="270" w:lineRule="auto"/>
        <w:rPr>
          <w:sz w:val="20"/>
          <w:szCs w:val="20"/>
          <w:color w:val="auto"/>
        </w:rPr>
      </w:pPr>
      <w:r>
        <w:rPr>
          <w:rFonts w:ascii="Times New Roman" w:cs="Times New Roman" w:eastAsia="Times New Roman" w:hAnsi="Times New Roman"/>
          <w:sz w:val="17"/>
          <w:szCs w:val="17"/>
          <w:color w:val="auto"/>
        </w:rPr>
        <w:t>The constitution of companies will typically state the minimum number of directors as well as provide that directors may be appointed or removed by shareholders via ordinary resolution passed at a general meeting, provided that the number of directors following such appointment or removal is within the minimum (and maximum, if any) number of directors provided in the constitution. Our constitution provides that subject to the Singapore Companies Act, there shall be at least one director who is ordinarily resident in Singapore.</w:t>
      </w:r>
    </w:p>
    <w:p>
      <w:pPr>
        <w:spacing w:after="0" w:line="190" w:lineRule="exact"/>
        <w:rPr>
          <w:sz w:val="20"/>
          <w:szCs w:val="20"/>
          <w:color w:val="auto"/>
        </w:rPr>
      </w:pPr>
    </w:p>
    <w:p>
      <w:pPr>
        <w:sectPr>
          <w:pgSz w:w="11900" w:h="16838" w:orient="portrait"/>
          <w:cols w:equalWidth="0" w:num="2">
            <w:col w:w="4360" w:space="14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both"/>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on Personal Liability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A typical certificate of incorporation provides for the elimination of personal monetary liability of directors for breach of fiduciary duties as directors to the fullest extent permissible under the laws of Delaware, except for liability (i) for any breach of a director’s loyalty to the corporation or its stockholders, (ii) for acts or omissions not in good faith or which involve intentional misconduct or a knowing violation of law,</w:t>
      </w:r>
    </w:p>
    <w:p>
      <w:pPr>
        <w:spacing w:after="0" w:line="1" w:lineRule="exact"/>
        <w:rPr>
          <w:sz w:val="20"/>
          <w:szCs w:val="20"/>
          <w:color w:val="auto"/>
        </w:rPr>
      </w:pPr>
    </w:p>
    <w:p>
      <w:pPr>
        <w:ind w:left="460" w:hanging="6"/>
        <w:spacing w:after="0" w:line="251" w:lineRule="auto"/>
        <w:tabs>
          <w:tab w:leader="none" w:pos="7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(relating to the liability of directors for unlawful payment of a dividend or an unlawful stock purchase or redemption) or (iv) for any transaction from which the director derived an improper personal benefit. A typical certificate of incorporation would also provide that if the Delaware General Corporation Law is amended so as to allow further elimination of, or limitations on, director liability, then the liability of directors will be eliminated or limited to the fullest extent permitted by the Delaware General Corporation Law as so amended.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79"/>
        <w:spacing w:after="0" w:line="267" w:lineRule="auto"/>
        <w:rPr>
          <w:sz w:val="20"/>
          <w:szCs w:val="20"/>
          <w:color w:val="auto"/>
        </w:rPr>
      </w:pPr>
      <w:r>
        <w:rPr>
          <w:rFonts w:ascii="Times New Roman" w:cs="Times New Roman" w:eastAsia="Times New Roman" w:hAnsi="Times New Roman"/>
          <w:sz w:val="17"/>
          <w:szCs w:val="17"/>
          <w:color w:val="auto"/>
        </w:rPr>
        <w:t>Under Section 172 of the Singapore Companies Act, any provision exempting or indemnifying a director against any liability for negligence, default, breach of duty or breach of trust in relation to a company will be void. However, a company is not prohibited from: (a) as provided in Section 172A of the Singapore Companies Act, purchasing and maintaining for any director insurance against any such liability incurred by him or her in connection with any negligence, default, breach of duty or breach of trust in relation to the company; or</w:t>
      </w:r>
    </w:p>
    <w:p>
      <w:pPr>
        <w:spacing w:after="0" w:line="4" w:lineRule="exact"/>
        <w:rPr>
          <w:sz w:val="20"/>
          <w:szCs w:val="20"/>
          <w:color w:val="auto"/>
        </w:rPr>
      </w:pPr>
    </w:p>
    <w:p>
      <w:pPr>
        <w:ind w:right="579" w:firstLine="4"/>
        <w:spacing w:after="0" w:line="251"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Section 172B of the Singapore Companies Act, indemnifying a director against liability incurred by him or her to a person other than the company except when the indemnity is against any liability (i) of the director to pay a fine in criminal proceedings, (ii) of the director to pay a penalty to a regulatory authority in respect of non-compliance with any requirements of a regulatory nature (howsoever arising),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w:t>
      </w:r>
    </w:p>
    <w:p>
      <w:pPr>
        <w:spacing w:after="0" w:line="163" w:lineRule="exact"/>
        <w:rPr>
          <w:sz w:val="20"/>
          <w:szCs w:val="20"/>
          <w:color w:val="auto"/>
        </w:rPr>
      </w:pPr>
    </w:p>
    <w:p>
      <w:pPr>
        <w:ind w:right="479"/>
        <w:spacing w:after="0" w:line="251"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p>
      <w:pPr>
        <w:spacing w:after="0" w:line="200" w:lineRule="exact"/>
        <w:rPr>
          <w:sz w:val="20"/>
          <w:szCs w:val="20"/>
          <w:color w:val="auto"/>
        </w:rPr>
      </w:pPr>
    </w:p>
    <w:p>
      <w:pPr>
        <w:sectPr>
          <w:pgSz w:w="11900" w:h="16838" w:orient="portrait"/>
          <w:cols w:equalWidth="0" w:num="2">
            <w:col w:w="4360" w:space="140"/>
            <w:col w:w="4519"/>
          </w:cols>
          <w:pgMar w:left="1440" w:top="270" w:right="1440"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both"/>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Section 203 of the Delaware General Corporation Law generally prohibits a Delaware corporation from engaging in specified corporate transactions (such as mergers, stock and asset sales, and loans) with an “interested stockholder” for three years following the time that the stockholder becomes an interested stockholder. Subject to specified exceptions, an “interested stockholder” is a person or group that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the voting stock at any time within the previous three years.</w:t>
      </w:r>
    </w:p>
    <w:p>
      <w:pPr>
        <w:spacing w:after="0" w:line="166"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color w:val="auto"/>
        </w:rPr>
        <w:t>A Delaware corporation may elect to “opt out” of, and not be governed by, Section 203 through a provision in either its original certificate of incorporation, or an amendment to its original certificate or bylaws that was approved by majority stockholder vote. With a limited exception, this amendment would not become effective until 12 months following its adoption.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There are no comparable provisions in Singapore with respect to public companies which are not listed on the Singapore Exchange Securities Trading Limited.</w:t>
      </w:r>
    </w:p>
    <w:p>
      <w:pPr>
        <w:spacing w:after="0" w:line="4870"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ectPr>
          <w:pgSz w:w="11900" w:h="16838" w:orient="portrait"/>
          <w:cols w:equalWidth="0" w:num="1">
            <w:col w:w="9019"/>
          </w:cols>
          <w:pgMar w:left="1440" w:top="270" w:right="1440" w:bottom="1440" w:gutter="0" w:footer="0" w:header="0"/>
          <w:type w:val="continuous"/>
        </w:sectPr>
      </w:pPr>
    </w:p>
    <w:p>
      <w:pPr>
        <w:spacing w:after="0" w:line="202"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holders of any preferred stock,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79"/>
        <w:spacing w:after="0" w:line="252" w:lineRule="auto"/>
        <w:rPr>
          <w:sz w:val="20"/>
          <w:szCs w:val="20"/>
          <w:color w:val="auto"/>
        </w:rPr>
      </w:pPr>
      <w:r>
        <w:rPr>
          <w:rFonts w:ascii="Times New Roman" w:cs="Times New Roman" w:eastAsia="Times New Roman" w:hAnsi="Times New Roman"/>
          <w:sz w:val="18"/>
          <w:szCs w:val="18"/>
          <w:color w:val="auto"/>
        </w:rPr>
        <w:t>According to the Singapore Companies Act, directors of a public company may be removed before expiration of their term of office with or without cause by ordinary resolution (i.e., a resolution requiring the affirmative vote of a simple majority of those shareholders present and voting in person or by proxy). Notice of the intention to move such a resolution has to be given to the company not less than 28 days before the meeting at which it is moved. The company shall then give notice of such resolution to its shareholders not less than</w:t>
      </w:r>
    </w:p>
    <w:p>
      <w:pPr>
        <w:spacing w:after="0" w:line="5" w:lineRule="exact"/>
        <w:rPr>
          <w:sz w:val="20"/>
          <w:szCs w:val="20"/>
          <w:color w:val="auto"/>
        </w:rPr>
      </w:pPr>
    </w:p>
    <w:p>
      <w:pPr>
        <w:ind w:right="579"/>
        <w:spacing w:after="0" w:line="252" w:lineRule="auto"/>
        <w:rPr>
          <w:sz w:val="20"/>
          <w:szCs w:val="20"/>
          <w:color w:val="auto"/>
        </w:rPr>
      </w:pPr>
      <w:r>
        <w:rPr>
          <w:rFonts w:ascii="Times New Roman" w:cs="Times New Roman" w:eastAsia="Times New Roman" w:hAnsi="Times New Roman"/>
          <w:sz w:val="18"/>
          <w:szCs w:val="18"/>
          <w:color w:val="auto"/>
        </w:rPr>
        <w:t>14 days before the meeting. Where any director removed in this manner was appointed to represent the interests of any particular class of shareholders or debenture holders, the resolution to remove such director will not take effect until such director’s successor has been appointed.</w:t>
      </w:r>
    </w:p>
    <w:p>
      <w:pPr>
        <w:spacing w:after="0" w:line="159" w:lineRule="exact"/>
        <w:rPr>
          <w:sz w:val="20"/>
          <w:szCs w:val="20"/>
          <w:color w:val="auto"/>
        </w:rPr>
      </w:pPr>
    </w:p>
    <w:p>
      <w:pPr>
        <w:sectPr>
          <w:pgSz w:w="11900" w:h="16838" w:orient="portrait"/>
          <w:cols w:equalWidth="0" w:num="2">
            <w:col w:w="4340" w:space="16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Filling Vacancies on the Board of Directors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the holders of any preferred stock, any vacancy, whether 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stockholders at which the term of the class of directors to which the newly elected director has been elected expires.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499"/>
        <w:spacing w:after="0" w:line="255" w:lineRule="auto"/>
        <w:rPr>
          <w:sz w:val="20"/>
          <w:szCs w:val="20"/>
          <w:color w:val="auto"/>
        </w:rPr>
      </w:pPr>
      <w:r>
        <w:rPr>
          <w:rFonts w:ascii="Times New Roman" w:cs="Times New Roman" w:eastAsia="Times New Roman" w:hAnsi="Times New Roman"/>
          <w:sz w:val="18"/>
          <w:szCs w:val="18"/>
          <w:color w:val="auto"/>
        </w:rPr>
        <w:t>Our constitution provides that our board of directors shall have the power, at any time, to appoint any person to be a director either to fill a casual vacancy or as an additional director but any person so appointed by the directors shall hold office only until the next annual general meeting and shall then be eligible for re-election.</w:t>
      </w:r>
    </w:p>
    <w:p>
      <w:pPr>
        <w:spacing w:after="0" w:line="1484"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tbl>
      <w:tblPr>
        <w:tblLayout w:type="fixed"/>
        <w:tblInd w:w="460" w:type="dxa"/>
        <w:tblCellMar>
          <w:top w:w="0" w:type="dxa"/>
          <w:left w:w="0" w:type="dxa"/>
          <w:bottom w:w="0" w:type="dxa"/>
          <w:right w:w="0" w:type="dxa"/>
        </w:tblCellMar>
      </w:tblPr>
      <w:tr>
        <w:trPr>
          <w:trHeight w:val="20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240" w:type="dxa"/>
            <w:vAlign w:val="bottom"/>
          </w:tcPr>
          <w:p>
            <w:pPr>
              <w:spacing w:after="0"/>
              <w:rPr>
                <w:sz w:val="17"/>
                <w:szCs w:val="17"/>
                <w:color w:val="auto"/>
              </w:rPr>
            </w:pPr>
          </w:p>
        </w:tc>
      </w:tr>
      <w:tr>
        <w:trPr>
          <w:trHeight w:val="439"/>
        </w:trPr>
        <w:tc>
          <w:tcPr>
            <w:tcW w:w="1280" w:type="dxa"/>
            <w:vAlign w:val="bottom"/>
            <w:tcBorders>
              <w:top w:val="single" w:sz="8" w:color="0000EE"/>
            </w:tcBorders>
          </w:tcPr>
          <w:p>
            <w:pPr>
              <w:spacing w:after="0"/>
              <w:rPr>
                <w:sz w:val="24"/>
                <w:szCs w:val="24"/>
                <w:color w:val="auto"/>
              </w:rPr>
            </w:pPr>
          </w:p>
        </w:tc>
        <w:tc>
          <w:tcPr>
            <w:tcW w:w="2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4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Singapore</w:t>
            </w:r>
          </w:p>
        </w:tc>
      </w:tr>
      <w:tr>
        <w:trPr>
          <w:trHeight w:val="40"/>
        </w:trPr>
        <w:tc>
          <w:tcPr>
            <w:tcW w:w="1280" w:type="dxa"/>
            <w:vAlign w:val="bottom"/>
            <w:tcBorders>
              <w:bottom w:val="single" w:sz="8" w:color="auto"/>
            </w:tcBorders>
          </w:tcPr>
          <w:p>
            <w:pPr>
              <w:spacing w:after="0"/>
              <w:rPr>
                <w:sz w:val="3"/>
                <w:szCs w:val="3"/>
                <w:color w:val="auto"/>
              </w:rPr>
            </w:pPr>
          </w:p>
        </w:tc>
        <w:tc>
          <w:tcPr>
            <w:tcW w:w="6820" w:type="dxa"/>
            <w:vAlign w:val="bottom"/>
            <w:tcBorders>
              <w:bottom w:val="single" w:sz="8" w:color="auto"/>
            </w:tcBorders>
            <w:gridSpan w:val="2"/>
          </w:tcPr>
          <w:p>
            <w:pPr>
              <w:spacing w:after="0"/>
              <w:rPr>
                <w:sz w:val="3"/>
                <w:szCs w:val="3"/>
                <w:color w:val="auto"/>
              </w:rPr>
            </w:pPr>
          </w:p>
        </w:tc>
      </w:tr>
      <w:tr>
        <w:trPr>
          <w:trHeight w:val="232"/>
        </w:trPr>
        <w:tc>
          <w:tcPr>
            <w:tcW w:w="1280" w:type="dxa"/>
            <w:vAlign w:val="bottom"/>
          </w:tcPr>
          <w:p>
            <w:pPr>
              <w:spacing w:after="0"/>
              <w:rPr>
                <w:sz w:val="20"/>
                <w:szCs w:val="20"/>
                <w:color w:val="auto"/>
              </w:rPr>
            </w:pPr>
          </w:p>
        </w:tc>
        <w:tc>
          <w:tcPr>
            <w:tcW w:w="682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tc>
      </w:tr>
      <w:tr>
        <w:trPr>
          <w:trHeight w:val="360"/>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Certification of Incorporation and</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Alteration to Constitution</w:t>
            </w:r>
          </w:p>
        </w:tc>
      </w:tr>
      <w:tr>
        <w:trPr>
          <w:trHeight w:val="23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Bylaws</w:t>
            </w:r>
          </w:p>
        </w:tc>
        <w:tc>
          <w:tcPr>
            <w:tcW w:w="4240" w:type="dxa"/>
            <w:vAlign w:val="bottom"/>
          </w:tcPr>
          <w:p>
            <w:pPr>
              <w:spacing w:after="0"/>
              <w:rPr>
                <w:sz w:val="20"/>
                <w:szCs w:val="20"/>
                <w:color w:val="auto"/>
              </w:rPr>
            </w:pPr>
          </w:p>
        </w:tc>
      </w:tr>
    </w:tbl>
    <w:p>
      <w:pPr>
        <w:spacing w:after="0" w:line="171" w:lineRule="exact"/>
        <w:rPr>
          <w:sz w:val="20"/>
          <w:szCs w:val="20"/>
          <w:color w:val="auto"/>
        </w:rPr>
      </w:pPr>
    </w:p>
    <w:p>
      <w:pPr>
        <w:sectPr>
          <w:pgSz w:w="11900" w:h="16838" w:orient="portrait"/>
          <w:cols w:equalWidth="0" w:num="1">
            <w:col w:w="9019"/>
          </w:cols>
          <w:pgMar w:left="1440" w:top="257" w:right="1440" w:bottom="1440" w:gutter="0" w:footer="0" w:header="0"/>
        </w:sectPr>
      </w:pPr>
    </w:p>
    <w:p>
      <w:pPr>
        <w:ind w:left="460"/>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amendments to a corporation’s certificate of incorporation require the approval of stockholders holding a majority of the outstanding shares entitled to vote on the amendment.</w:t>
      </w:r>
    </w:p>
    <w:p>
      <w:pPr>
        <w:spacing w:after="0" w:line="102" w:lineRule="exact"/>
        <w:rPr>
          <w:sz w:val="20"/>
          <w:szCs w:val="20"/>
          <w:color w:val="auto"/>
        </w:rPr>
      </w:pPr>
    </w:p>
    <w:p>
      <w:pPr>
        <w:ind w:left="460" w:right="100"/>
        <w:spacing w:after="0" w:line="253" w:lineRule="auto"/>
        <w:rPr>
          <w:sz w:val="20"/>
          <w:szCs w:val="20"/>
          <w:color w:val="auto"/>
        </w:rPr>
      </w:pPr>
      <w:r>
        <w:rPr>
          <w:rFonts w:ascii="Times New Roman" w:cs="Times New Roman" w:eastAsia="Times New Roman" w:hAnsi="Times New Roman"/>
          <w:sz w:val="18"/>
          <w:szCs w:val="18"/>
          <w:color w:val="auto"/>
        </w:rPr>
        <w:t>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 Under the Delaware General Corporation Law, the board of directors may amend bylaws if so authorized in the certificate of incorporation. The stockholders of a Delaware corporation also have the power to amend bylaws.</w:t>
      </w:r>
    </w:p>
    <w:p>
      <w:pPr>
        <w:spacing w:after="0" w:line="20" w:lineRule="exact"/>
        <w:rPr>
          <w:sz w:val="20"/>
          <w:szCs w:val="20"/>
          <w:color w:val="auto"/>
        </w:rPr>
      </w:pPr>
      <w:r>
        <w:rPr>
          <w:sz w:val="20"/>
          <w:szCs w:val="20"/>
          <w:color w:val="auto"/>
        </w:rPr>
        <w:br w:type="column"/>
      </w:r>
    </w:p>
    <w:p>
      <w:pPr>
        <w:ind w:right="479"/>
        <w:spacing w:after="0" w:line="255" w:lineRule="auto"/>
        <w:rPr>
          <w:sz w:val="20"/>
          <w:szCs w:val="20"/>
          <w:color w:val="auto"/>
        </w:rPr>
      </w:pPr>
      <w:r>
        <w:rPr>
          <w:rFonts w:ascii="Times New Roman" w:cs="Times New Roman" w:eastAsia="Times New Roman" w:hAnsi="Times New Roman"/>
          <w:sz w:val="18"/>
          <w:szCs w:val="18"/>
          <w:color w:val="auto"/>
        </w:rPr>
        <w:t>Our constitution may be altered by special resolution (i.e., a resolution requiring the affirmative vote of not less than three-fourths majority of the shareholders present in person or represented by proxy at the meeting and entitled to vote on the resolution for which not less than 21 days written notice is given). Our board of directors has no power to amend our constitution.</w:t>
      </w:r>
    </w:p>
    <w:p>
      <w:pPr>
        <w:spacing w:after="0" w:line="2020" w:lineRule="exact"/>
        <w:rPr>
          <w:sz w:val="20"/>
          <w:szCs w:val="20"/>
          <w:color w:val="auto"/>
        </w:rPr>
      </w:pPr>
    </w:p>
    <w:p>
      <w:pPr>
        <w:sectPr>
          <w:pgSz w:w="11900" w:h="16838" w:orient="portrait"/>
          <w:cols w:equalWidth="0" w:num="2">
            <w:col w:w="4400" w:space="100"/>
            <w:col w:w="4519"/>
          </w:cols>
          <w:pgMar w:left="1440" w:top="25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198"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b w:val="1"/>
          <w:bCs w:val="1"/>
          <w:i w:val="1"/>
          <w:iCs w:val="1"/>
          <w:color w:val="auto"/>
        </w:rPr>
        <w:t>Annual and Special Meetings</w:t>
      </w:r>
      <w:r>
        <w:rPr>
          <w:sz w:val="20"/>
          <w:szCs w:val="20"/>
          <w:color w:val="auto"/>
        </w:rPr>
        <w:tab/>
      </w:r>
      <w:r>
        <w:rPr>
          <w:rFonts w:ascii="Times New Roman" w:cs="Times New Roman" w:eastAsia="Times New Roman" w:hAnsi="Times New Roman"/>
          <w:sz w:val="18"/>
          <w:szCs w:val="18"/>
          <w:b w:val="1"/>
          <w:bCs w:val="1"/>
          <w:i w:val="1"/>
          <w:iCs w:val="1"/>
          <w:color w:val="auto"/>
        </w:rPr>
        <w:t>Annual General Meetings</w:t>
      </w:r>
    </w:p>
    <w:p>
      <w:pPr>
        <w:sectPr>
          <w:pgSz w:w="11900" w:h="16838" w:orient="portrait"/>
          <w:cols w:equalWidth="0" w:num="1">
            <w:col w:w="9019"/>
          </w:cols>
          <w:pgMar w:left="1440" w:top="257" w:right="1440" w:bottom="1440" w:gutter="0" w:footer="0" w:header="0"/>
          <w:type w:val="continuous"/>
        </w:sectPr>
      </w:pPr>
    </w:p>
    <w:p>
      <w:pPr>
        <w:spacing w:after="0" w:line="202" w:lineRule="exact"/>
        <w:rPr>
          <w:sz w:val="20"/>
          <w:szCs w:val="20"/>
          <w:color w:val="auto"/>
        </w:rPr>
      </w:pPr>
    </w:p>
    <w:p>
      <w:pPr>
        <w:ind w:left="460" w:right="340"/>
        <w:spacing w:after="0" w:line="266" w:lineRule="auto"/>
        <w:rPr>
          <w:sz w:val="20"/>
          <w:szCs w:val="20"/>
          <w:color w:val="auto"/>
        </w:rPr>
      </w:pPr>
      <w:r>
        <w:rPr>
          <w:rFonts w:ascii="Times New Roman" w:cs="Times New Roman" w:eastAsia="Times New Roman" w:hAnsi="Times New Roman"/>
          <w:sz w:val="18"/>
          <w:szCs w:val="18"/>
          <w:color w:val="auto"/>
        </w:rPr>
        <w:t>Typical bylaws provide that annual meetings of stockholders are to be held on a date and at a time fixed by the board of directors.</w:t>
      </w:r>
    </w:p>
    <w:p>
      <w:pPr>
        <w:spacing w:after="0" w:line="95" w:lineRule="exact"/>
        <w:rPr>
          <w:sz w:val="20"/>
          <w:szCs w:val="20"/>
          <w:color w:val="auto"/>
        </w:rPr>
      </w:pPr>
    </w:p>
    <w:p>
      <w:pPr>
        <w:ind w:left="460"/>
        <w:spacing w:after="0" w:line="281" w:lineRule="auto"/>
        <w:rPr>
          <w:sz w:val="20"/>
          <w:szCs w:val="20"/>
          <w:color w:val="auto"/>
        </w:rPr>
      </w:pPr>
      <w:r>
        <w:rPr>
          <w:rFonts w:ascii="Times New Roman" w:cs="Times New Roman" w:eastAsia="Times New Roman" w:hAnsi="Times New Roman"/>
          <w:sz w:val="17"/>
          <w:szCs w:val="17"/>
          <w:color w:val="auto"/>
        </w:rPr>
        <w:t>Under the Delaware General Corporation Law, a special meeting of stockholders may be called by the board of directors or by any other person authorized to do so in the certificate of incorporation or the bylaws.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819"/>
        <w:spacing w:after="0" w:line="261" w:lineRule="auto"/>
        <w:rPr>
          <w:sz w:val="20"/>
          <w:szCs w:val="20"/>
          <w:color w:val="auto"/>
        </w:rPr>
      </w:pPr>
      <w:r>
        <w:rPr>
          <w:rFonts w:ascii="Times New Roman" w:cs="Times New Roman" w:eastAsia="Times New Roman" w:hAnsi="Times New Roman"/>
          <w:sz w:val="18"/>
          <w:szCs w:val="18"/>
          <w:color w:val="auto"/>
        </w:rPr>
        <w:t>Subject to the Singapore Companies Act, we are required to hold an annual general meeting of shareholders within six months from the end of our fiscal year.</w:t>
      </w:r>
    </w:p>
    <w:p>
      <w:pPr>
        <w:spacing w:after="0" w:line="931" w:lineRule="exact"/>
        <w:rPr>
          <w:sz w:val="20"/>
          <w:szCs w:val="20"/>
          <w:color w:val="auto"/>
        </w:rPr>
      </w:pPr>
    </w:p>
    <w:p>
      <w:pPr>
        <w:sectPr>
          <w:pgSz w:w="11900" w:h="16838" w:orient="portrait"/>
          <w:cols w:equalWidth="0" w:num="2">
            <w:col w:w="4380" w:space="120"/>
            <w:col w:w="4519"/>
          </w:cols>
          <w:pgMar w:left="1440" w:top="257" w:right="1440" w:bottom="1440" w:gutter="0" w:footer="0" w:header="0"/>
          <w:type w:val="continuous"/>
        </w:sectPr>
      </w:pPr>
    </w:p>
    <w:p>
      <w:pPr>
        <w:ind w:left="4500"/>
        <w:spacing w:after="0"/>
        <w:rPr>
          <w:sz w:val="20"/>
          <w:szCs w:val="20"/>
          <w:color w:val="auto"/>
        </w:rPr>
      </w:pPr>
      <w:r>
        <w:rPr>
          <w:rFonts w:ascii="Times New Roman" w:cs="Times New Roman" w:eastAsia="Times New Roman" w:hAnsi="Times New Roman"/>
          <w:sz w:val="18"/>
          <w:szCs w:val="18"/>
          <w:b w:val="1"/>
          <w:bCs w:val="1"/>
          <w:i w:val="1"/>
          <w:iCs w:val="1"/>
          <w:color w:val="auto"/>
        </w:rPr>
        <w:t>Extraordinary General Meetings</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Any general meeting other than the annual general</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meeting is called an “extraordinary general meeting.”</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Two or more shareholders holding not less than 10%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total number of issued shares (excluding treasury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may call an extraordinary general meeting.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addition, the constitution usually also provides that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general meetings may be convened in accordance with</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Singapore Companies Act by the directors.</w:t>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Notwithstanding anything in the constitution, the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directors are required to convene a general meeting if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required to do so by requisition (i.e., written notice to</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directors requiring that a meeting be called) by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shareholders holding not less than 10% of the total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number of paid-up shares as at the date of the deposit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requisition carrying the right of voting at general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meetings of the company. In addition, our constitution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provides that the directors may, whenever they think fit,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convene an extraordinary general meeting.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type w:val="continuous"/>
        </w:sectPr>
      </w:pPr>
    </w:p>
    <w:bookmarkStart w:id="24" w:name="page25"/>
    <w:bookmarkEnd w:id="24"/>
    <w:tbl>
      <w:tblPr>
        <w:tblLayout w:type="fixed"/>
        <w:tblInd w:w="460" w:type="dxa"/>
        <w:tblCellMar>
          <w:top w:w="0" w:type="dxa"/>
          <w:left w:w="0" w:type="dxa"/>
          <w:bottom w:w="0" w:type="dxa"/>
          <w:right w:w="0" w:type="dxa"/>
        </w:tblCellMar>
      </w:tblPr>
      <w:tr>
        <w:trPr>
          <w:trHeight w:val="207"/>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80" w:type="dxa"/>
            <w:vAlign w:val="bottom"/>
            <w:tcBorders>
              <w:top w:val="single" w:sz="8" w:color="0000EE"/>
            </w:tcBorders>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6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0" w:type="dxa"/>
            <w:vAlign w:val="bottom"/>
          </w:tcPr>
          <w:p>
            <w:pPr>
              <w:spacing w:after="0"/>
              <w:rPr>
                <w:sz w:val="1"/>
                <w:szCs w:val="1"/>
                <w:color w:val="auto"/>
              </w:rPr>
            </w:pPr>
          </w:p>
        </w:tc>
      </w:tr>
      <w:tr>
        <w:trPr>
          <w:trHeight w:val="40"/>
        </w:trPr>
        <w:tc>
          <w:tcPr>
            <w:tcW w:w="128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tc>
        <w:tc>
          <w:tcPr>
            <w:tcW w:w="100" w:type="dxa"/>
            <w:vAlign w:val="bottom"/>
            <w:vMerge w:val="continue"/>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tc>
        <w:tc>
          <w:tcPr>
            <w:tcW w:w="0" w:type="dxa"/>
            <w:vAlign w:val="bottom"/>
          </w:tcPr>
          <w:p>
            <w:pPr>
              <w:spacing w:after="0"/>
              <w:rPr>
                <w:sz w:val="1"/>
                <w:szCs w:val="1"/>
                <w:color w:val="auto"/>
              </w:rPr>
            </w:pPr>
          </w:p>
        </w:tc>
      </w:tr>
    </w:tbl>
    <w:p>
      <w:pPr>
        <w:spacing w:after="0" w:line="162" w:lineRule="exact"/>
        <w:rPr>
          <w:sz w:val="20"/>
          <w:szCs w:val="20"/>
          <w:color w:val="auto"/>
        </w:rPr>
      </w:pPr>
    </w:p>
    <w:p>
      <w:pPr>
        <w:sectPr>
          <w:pgSz w:w="11900" w:h="16838" w:orient="portrait"/>
          <w:cols w:equalWidth="0" w:num="1">
            <w:col w:w="9019"/>
          </w:cols>
          <w:pgMar w:left="1440" w:top="257" w:right="1440" w:bottom="1440" w:gutter="0" w:footer="0" w:header="0"/>
        </w:sectPr>
      </w:pPr>
    </w:p>
    <w:p>
      <w:pPr>
        <w:ind w:left="460"/>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20" w:lineRule="exact"/>
        <w:rPr>
          <w:sz w:val="20"/>
          <w:szCs w:val="20"/>
          <w:color w:val="auto"/>
        </w:rPr>
      </w:pPr>
      <w:r>
        <w:rPr>
          <w:sz w:val="20"/>
          <w:szCs w:val="20"/>
          <w:color w:val="auto"/>
        </w:rPr>
        <w:br w:type="column"/>
      </w:r>
    </w:p>
    <w:p>
      <w:pPr>
        <w:ind w:right="499"/>
        <w:spacing w:after="0" w:line="261" w:lineRule="auto"/>
        <w:rPr>
          <w:sz w:val="20"/>
          <w:szCs w:val="20"/>
          <w:color w:val="auto"/>
        </w:rPr>
      </w:pPr>
      <w:r>
        <w:rPr>
          <w:rFonts w:ascii="Times New Roman" w:cs="Times New Roman" w:eastAsia="Times New Roman" w:hAnsi="Times New Roman"/>
          <w:sz w:val="18"/>
          <w:szCs w:val="18"/>
          <w:color w:val="auto"/>
        </w:rPr>
        <w:t>Our constitution provides that the quorum at any general meeting shall be two or more members present in person or by proxy or by attorney or other duly authorized representative save in certain circumstances.</w:t>
      </w:r>
    </w:p>
    <w:p>
      <w:pPr>
        <w:spacing w:after="0" w:line="797" w:lineRule="exact"/>
        <w:rPr>
          <w:sz w:val="20"/>
          <w:szCs w:val="20"/>
          <w:color w:val="auto"/>
        </w:rPr>
      </w:pPr>
    </w:p>
    <w:p>
      <w:pPr>
        <w:sectPr>
          <w:pgSz w:w="11900" w:h="16838" w:orient="portrait"/>
          <w:cols w:equalWidth="0" w:num="2">
            <w:col w:w="4320" w:space="180"/>
            <w:col w:w="4519"/>
          </w:cols>
          <w:pgMar w:left="1440" w:top="25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Indemnification of Officers, Directors and Employees</w:t>
      </w:r>
    </w:p>
    <w:p>
      <w:pPr>
        <w:sectPr>
          <w:pgSz w:w="11900" w:h="16838" w:orient="portrait"/>
          <w:cols w:equalWidth="0" w:num="1">
            <w:col w:w="9019"/>
          </w:cols>
          <w:pgMar w:left="1440" w:top="257" w:right="1440" w:bottom="1440" w:gutter="0" w:footer="0" w:header="0"/>
          <w:type w:val="continuous"/>
        </w:sectPr>
      </w:pPr>
    </w:p>
    <w:p>
      <w:pPr>
        <w:spacing w:after="0" w:line="214" w:lineRule="exact"/>
        <w:rPr>
          <w:sz w:val="20"/>
          <w:szCs w:val="20"/>
          <w:color w:val="auto"/>
        </w:rPr>
      </w:pPr>
    </w:p>
    <w:p>
      <w:pPr>
        <w:ind w:left="460"/>
        <w:spacing w:after="0" w:line="268" w:lineRule="auto"/>
        <w:rPr>
          <w:sz w:val="20"/>
          <w:szCs w:val="20"/>
          <w:color w:val="auto"/>
        </w:rPr>
      </w:pPr>
      <w:r>
        <w:rPr>
          <w:rFonts w:ascii="Times New Roman" w:cs="Times New Roman" w:eastAsia="Times New Roman" w:hAnsi="Times New Roman"/>
          <w:sz w:val="17"/>
          <w:szCs w:val="17"/>
          <w:color w:val="auto"/>
        </w:rPr>
        <w:t>Under the Delaware General Corporation Law,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w:t>
      </w:r>
    </w:p>
    <w:p>
      <w:pPr>
        <w:spacing w:after="0" w:line="317" w:lineRule="exact"/>
        <w:rPr>
          <w:sz w:val="20"/>
          <w:szCs w:val="20"/>
          <w:color w:val="auto"/>
        </w:rPr>
      </w:pPr>
    </w:p>
    <w:p>
      <w:pPr>
        <w:ind w:left="880" w:right="140" w:hanging="210"/>
        <w:spacing w:after="0" w:line="258" w:lineRule="auto"/>
        <w:tabs>
          <w:tab w:leader="none" w:pos="8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in good faith and in a manner he or she reasonably believed to be in or not opposed to the best interests of the corporation or, in some circumstances, at least not opposed to its best interests; and</w:t>
      </w:r>
    </w:p>
    <w:p>
      <w:pPr>
        <w:spacing w:after="0" w:line="115" w:lineRule="exact"/>
        <w:rPr>
          <w:rFonts w:ascii="Times New Roman" w:cs="Times New Roman" w:eastAsia="Times New Roman" w:hAnsi="Times New Roman"/>
          <w:sz w:val="18"/>
          <w:szCs w:val="18"/>
          <w:color w:val="auto"/>
        </w:rPr>
      </w:pPr>
    </w:p>
    <w:p>
      <w:pPr>
        <w:ind w:left="880" w:right="380" w:hanging="210"/>
        <w:spacing w:after="0" w:line="266" w:lineRule="auto"/>
        <w:tabs>
          <w:tab w:leader="none" w:pos="8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criminal proceeding, had no reasonable cause to believe his or her conduct was unlawful.</w:t>
      </w:r>
    </w:p>
    <w:p>
      <w:pPr>
        <w:spacing w:after="0" w:line="200" w:lineRule="exact"/>
        <w:rPr>
          <w:sz w:val="20"/>
          <w:szCs w:val="20"/>
          <w:color w:val="auto"/>
        </w:rPr>
      </w:pPr>
    </w:p>
    <w:p>
      <w:pPr>
        <w:spacing w:after="0" w:line="313"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Delaware corporate law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479"/>
        <w:spacing w:after="0" w:line="267" w:lineRule="auto"/>
        <w:rPr>
          <w:sz w:val="20"/>
          <w:szCs w:val="20"/>
          <w:color w:val="auto"/>
        </w:rPr>
      </w:pPr>
      <w:r>
        <w:rPr>
          <w:rFonts w:ascii="Times New Roman" w:cs="Times New Roman" w:eastAsia="Times New Roman" w:hAnsi="Times New Roman"/>
          <w:sz w:val="17"/>
          <w:szCs w:val="17"/>
          <w:color w:val="auto"/>
        </w:rPr>
        <w:t>Under Section 172 of the Singapore Companies Act, any provision exempting or indemnifying a director against any liability for negligence, default, breach of duty or breach of trust in relation to a company will be void. However, a company is not prohibited from: (a) as provided in Section 172A of the Singapore Companies Act, purchasing and maintaining for any director insurance against any such liability incurred by him or her in connection with any negligence, default, breach of duty or breach of trust in relation to the company; or</w:t>
      </w:r>
    </w:p>
    <w:p>
      <w:pPr>
        <w:spacing w:after="0" w:line="4" w:lineRule="exact"/>
        <w:rPr>
          <w:sz w:val="20"/>
          <w:szCs w:val="20"/>
          <w:color w:val="auto"/>
        </w:rPr>
      </w:pPr>
    </w:p>
    <w:p>
      <w:pPr>
        <w:ind w:right="499" w:firstLine="4"/>
        <w:spacing w:after="0" w:line="251"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Section 172B of the Singapore Companies Act, indemnifying a director against liability incurred by him or her to a person other than the company except when the indemnity is against any liability (i) of the director to pay a fine in criminal proceedings, (ii) of the director to pay a penalty to a regulatory authority in respect of non-compliance with any requirements of a regulatory nature (howsoever arising),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w:t>
      </w:r>
    </w:p>
    <w:p>
      <w:pPr>
        <w:spacing w:after="0" w:line="163" w:lineRule="exact"/>
        <w:rPr>
          <w:sz w:val="20"/>
          <w:szCs w:val="20"/>
          <w:color w:val="auto"/>
        </w:rPr>
      </w:pPr>
    </w:p>
    <w:p>
      <w:pPr>
        <w:ind w:right="479"/>
        <w:spacing w:after="0" w:line="253" w:lineRule="auto"/>
        <w:rPr>
          <w:sz w:val="20"/>
          <w:szCs w:val="20"/>
          <w:color w:val="auto"/>
        </w:rPr>
      </w:pPr>
      <w:r>
        <w:rPr>
          <w:rFonts w:ascii="Times New Roman" w:cs="Times New Roman" w:eastAsia="Times New Roman" w:hAnsi="Times New Roman"/>
          <w:sz w:val="18"/>
          <w:szCs w:val="18"/>
          <w:color w:val="auto"/>
        </w:rPr>
        <w:t>In cases where a director is sued by the company, the Singapore Companies Act gives the court the power to relieve directors either wholly or partially from the consequences of their negligence, default, breach of duty or breach of trust. In order for relief to be obtained, it must be shown that (i) the director acted reasonably and honestly; and (ii) it is fair, having regard to all the circumstances of the case including those connected with such director’s appointment, to excuse the director.</w:t>
      </w:r>
    </w:p>
    <w:p>
      <w:pPr>
        <w:spacing w:after="0" w:line="113" w:lineRule="exact"/>
        <w:rPr>
          <w:sz w:val="20"/>
          <w:szCs w:val="20"/>
          <w:color w:val="auto"/>
        </w:rPr>
      </w:pPr>
    </w:p>
    <w:p>
      <w:pPr>
        <w:ind w:right="459"/>
        <w:spacing w:after="0" w:line="266" w:lineRule="auto"/>
        <w:rPr>
          <w:sz w:val="20"/>
          <w:szCs w:val="20"/>
          <w:color w:val="auto"/>
        </w:rPr>
      </w:pPr>
      <w:r>
        <w:rPr>
          <w:rFonts w:ascii="Times New Roman" w:cs="Times New Roman" w:eastAsia="Times New Roman" w:hAnsi="Times New Roman"/>
          <w:sz w:val="18"/>
          <w:szCs w:val="18"/>
          <w:color w:val="auto"/>
        </w:rPr>
        <w:t>However, Singapore case law has indicated that such relief will not be granted to a director who has benefited as a result of his or her breach of trust.</w:t>
      </w:r>
    </w:p>
    <w:p>
      <w:pPr>
        <w:spacing w:after="0" w:line="176" w:lineRule="exact"/>
        <w:rPr>
          <w:sz w:val="20"/>
          <w:szCs w:val="20"/>
          <w:color w:val="auto"/>
        </w:rPr>
      </w:pPr>
    </w:p>
    <w:p>
      <w:pPr>
        <w:sectPr>
          <w:pgSz w:w="11900" w:h="16838" w:orient="portrait"/>
          <w:cols w:equalWidth="0" w:num="2">
            <w:col w:w="4400" w:space="100"/>
            <w:col w:w="4519"/>
          </w:cols>
          <w:pgMar w:left="1440" w:top="25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both"/>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ectPr>
          <w:pgSz w:w="11900" w:h="16838" w:orient="portrait"/>
          <w:cols w:equalWidth="0" w:num="1">
            <w:col w:w="9019"/>
          </w:cols>
          <w:pgMar w:left="1440" w:top="270" w:right="1440" w:bottom="1440" w:gutter="0" w:footer="0" w:header="0"/>
        </w:sectPr>
      </w:pPr>
    </w:p>
    <w:p>
      <w:pPr>
        <w:spacing w:after="0" w:line="67"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To the extent a director, officer, employee or agent is successful in the defense of such an action, suit or proceeding, the corporation is required by Delaware corporate law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person is not entitled to be so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-1659255</wp:posOffset>
            </wp:positionV>
            <wp:extent cx="25114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479"/>
        <w:spacing w:after="0" w:line="251"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-3844925</wp:posOffset>
            </wp:positionV>
            <wp:extent cx="25717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Shareholder Approval of Issuance of Shares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Under Delaware law, the board of directors has the authority to issue, from time to time, capital stock in its sole discretion, as long as the number of shares to be issued, together with those shares that are already issued and outstanding and those shares reserved to be issued, do not exceed the authorized capital for the corporation as previously approved by the stockholders and set forth in the corporation’s certificate of incorporation. Under the foregoing circumstances, no additional stockholder approval is required for the issuance of capital stock. Under Delaware law, stockholder approval is required for</w:t>
      </w:r>
    </w:p>
    <w:p>
      <w:pPr>
        <w:spacing w:after="0" w:line="2" w:lineRule="exact"/>
        <w:rPr>
          <w:sz w:val="20"/>
          <w:szCs w:val="20"/>
          <w:color w:val="auto"/>
        </w:rPr>
      </w:pPr>
    </w:p>
    <w:p>
      <w:pPr>
        <w:ind w:left="460" w:right="160" w:hanging="6"/>
        <w:spacing w:after="0" w:line="265" w:lineRule="auto"/>
        <w:tabs>
          <w:tab w:leader="none" w:pos="67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to the corporation’s certificate of incorporation to increase the authorized capital and</w:t>
      </w:r>
    </w:p>
    <w:p>
      <w:pPr>
        <w:ind w:left="460" w:right="20" w:hanging="6"/>
        <w:spacing w:after="0" w:line="253" w:lineRule="auto"/>
        <w:tabs>
          <w:tab w:leader="none" w:pos="7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stock in a direct merger transaction where the number of shares exceeds 20% of the corporation’s shares outstanding prior to the transaction, regardless of whether there is sufficient authorized capital.</w:t>
      </w:r>
    </w:p>
    <w:p>
      <w:pPr>
        <w:spacing w:after="0" w:line="160" w:lineRule="exact"/>
        <w:rPr>
          <w:sz w:val="20"/>
          <w:szCs w:val="20"/>
          <w:color w:val="auto"/>
        </w:rPr>
      </w:pPr>
    </w:p>
    <w:p>
      <w:pPr>
        <w:ind w:left="460" w:right="120"/>
        <w:spacing w:after="0" w:line="254" w:lineRule="auto"/>
        <w:rPr>
          <w:sz w:val="20"/>
          <w:szCs w:val="20"/>
          <w:color w:val="auto"/>
        </w:rPr>
      </w:pPr>
      <w:r>
        <w:rPr>
          <w:rFonts w:ascii="Times New Roman" w:cs="Times New Roman" w:eastAsia="Times New Roman" w:hAnsi="Times New Roman"/>
          <w:sz w:val="18"/>
          <w:szCs w:val="18"/>
          <w:color w:val="auto"/>
        </w:rPr>
        <w:t>In addition, a corporation may issue one or more classes of stock or one or more series of stock within any class as shall be stated and expressed in the certificate of incorporation or of any amendment thereto, or in the resolution or resolutions providing for the issue of such stock adopted by the board of directors pursuant to authority expressly vested in it by the provisions of its certificate of incorporation.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499"/>
        <w:spacing w:after="0" w:line="252" w:lineRule="auto"/>
        <w:rPr>
          <w:sz w:val="20"/>
          <w:szCs w:val="20"/>
          <w:color w:val="auto"/>
        </w:rPr>
      </w:pPr>
      <w:r>
        <w:rPr>
          <w:rFonts w:ascii="Times New Roman" w:cs="Times New Roman" w:eastAsia="Times New Roman" w:hAnsi="Times New Roman"/>
          <w:sz w:val="18"/>
          <w:szCs w:val="18"/>
          <w:color w:val="auto"/>
        </w:rPr>
        <w:t>Section 161 of the Singapore Companies Act provides that notwithstanding anything in the company’s constitution, the directors shall not exercise any power to issue shares without prior approval of the shareholders in a general meeting. Such authorization may be obtained by ordinary resolution (i.e., a resolution requiring the affirmative vote of a simple majority of the voting rights of those shareholders present and voting in person or by proxy). Once this shareholders’ approval is obtained, unless previously revoked or varied by the company in a general meeting, it continues in force until the conclusion of the next annual general meeting or the expiration of the period within which the next annual general meeting after that date is required by law to be held, whichever is earlier; but any approval may be revoked or varied by the company in a general meeting.</w:t>
      </w:r>
    </w:p>
    <w:p>
      <w:pPr>
        <w:spacing w:after="0" w:line="2542"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both"/>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stock of any class or of any series thereof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made convertible into, or exchangeable for, at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option of either the holder or the corporation or upon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happening of a specified event, shares of any other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or classes or any other series of the same or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class or classes of stock of the corporation, 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price or prices or at such rate or rates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exchange and with such adjustments as shall be stated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certificate of incorporation or in the resolution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resolutions providing for the issue of such stock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adopted by the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Approval of Business Combinations</w:t>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8"/>
          <w:szCs w:val="18"/>
          <w:color w:val="auto"/>
        </w:rPr>
        <w:t>Generally, under the Delaware General Corporation Law, completion of a merger, consolidation, or the sale, lease or exchange of substantially all of a corporation’s assets or dissolution requires approval by the board of directors and by a majority (unless the certificate of incorporation requires a higher percentage) of outstanding stock of the corporation entitled to vote.</w:t>
      </w:r>
    </w:p>
    <w:p>
      <w:pPr>
        <w:spacing w:after="0" w:line="111"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also requires a special vote of stockholders in connection with a business combination with an “interested stockholder” as defined in section 203 of the Delaware General Corporation Law. See “— Interested Shareholders” above.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The Singapore Companies Act mandates that specified corporate actions require approval by the shareholders in a general meeting, notably:</w:t>
      </w:r>
    </w:p>
    <w:p>
      <w:pPr>
        <w:spacing w:after="0" w:line="95" w:lineRule="exact"/>
        <w:rPr>
          <w:sz w:val="20"/>
          <w:szCs w:val="20"/>
          <w:color w:val="auto"/>
        </w:rPr>
      </w:pPr>
    </w:p>
    <w:p>
      <w:pPr>
        <w:ind w:left="440" w:right="539" w:hanging="220"/>
        <w:spacing w:after="0" w:line="255" w:lineRule="auto"/>
        <w:tabs>
          <w:tab w:leader="none" w:pos="4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company’s constitution, directors are not permitted to carry into effect any proposals for disposing of the whole or substantially the whole of the company’s undertaking or property unless those proposals have been approved by shareholders in a general meeting;</w:t>
      </w:r>
    </w:p>
    <w:p>
      <w:pPr>
        <w:spacing w:after="0" w:line="121" w:lineRule="exact"/>
        <w:rPr>
          <w:rFonts w:ascii="Times New Roman" w:cs="Times New Roman" w:eastAsia="Times New Roman" w:hAnsi="Times New Roman"/>
          <w:sz w:val="18"/>
          <w:szCs w:val="18"/>
          <w:color w:val="auto"/>
        </w:rPr>
      </w:pPr>
    </w:p>
    <w:p>
      <w:pPr>
        <w:ind w:left="440" w:right="479" w:hanging="220"/>
        <w:spacing w:after="0" w:line="254" w:lineRule="auto"/>
        <w:tabs>
          <w:tab w:leader="none" w:pos="4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constitution of each amalgamating company, an amalgamation proposal in accordance with the full amalgamation procedures under the Singapore Companies Act that do not require a court order must be approved by the shareholders of each amalgamating company via special resolution at a general meeting; and</w:t>
      </w:r>
    </w:p>
    <w:p>
      <w:pPr>
        <w:spacing w:after="0" w:line="124" w:lineRule="exact"/>
        <w:rPr>
          <w:rFonts w:ascii="Times New Roman" w:cs="Times New Roman" w:eastAsia="Times New Roman" w:hAnsi="Times New Roman"/>
          <w:sz w:val="18"/>
          <w:szCs w:val="18"/>
          <w:color w:val="auto"/>
        </w:rPr>
      </w:pPr>
    </w:p>
    <w:p>
      <w:pPr>
        <w:ind w:left="440" w:right="579" w:hanging="220"/>
        <w:spacing w:after="0" w:line="258" w:lineRule="auto"/>
        <w:tabs>
          <w:tab w:leader="none" w:pos="4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company’s constitution, the directors may not, without the prior approval of shareholders, issue shares, including shares being issued in connection with corporate actions.</w:t>
      </w:r>
    </w:p>
    <w:p>
      <w:pPr>
        <w:spacing w:after="0" w:line="152"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Shareholder Action Without A Meeting</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unless otherwise provided in a corporation’s certificate of incorporation, any action that may be taken at a meeting of stockholders may be taken without a meeting, without prior notice and without a vote if the holders of outstanding stock, having not less than the minimum number of votes that would be necessary to authorize such action, consent in writing. It is not uncommon for a corporation’s certificate of incorporation to prohibit such action.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619"/>
        <w:spacing w:after="0" w:line="282" w:lineRule="auto"/>
        <w:rPr>
          <w:sz w:val="20"/>
          <w:szCs w:val="20"/>
          <w:color w:val="auto"/>
        </w:rPr>
      </w:pPr>
      <w:r>
        <w:rPr>
          <w:rFonts w:ascii="Times New Roman" w:cs="Times New Roman" w:eastAsia="Times New Roman" w:hAnsi="Times New Roman"/>
          <w:sz w:val="18"/>
          <w:szCs w:val="18"/>
          <w:color w:val="auto"/>
        </w:rPr>
        <w:t>Shareholder action by written consent is not permitted for a listed public company.</w:t>
      </w:r>
    </w:p>
    <w:p>
      <w:pPr>
        <w:spacing w:after="0" w:line="1889" w:lineRule="exact"/>
        <w:rPr>
          <w:sz w:val="20"/>
          <w:szCs w:val="20"/>
          <w:color w:val="auto"/>
        </w:rPr>
      </w:pPr>
    </w:p>
    <w:p>
      <w:pPr>
        <w:sectPr>
          <w:pgSz w:w="11900" w:h="16838" w:orient="portrait"/>
          <w:cols w:equalWidth="0" w:num="2">
            <w:col w:w="4360" w:space="14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both"/>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Suits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1" w:lineRule="auto"/>
        <w:rPr>
          <w:sz w:val="20"/>
          <w:szCs w:val="20"/>
          <w:color w:val="auto"/>
        </w:rPr>
      </w:pPr>
      <w:r>
        <w:rPr>
          <w:rFonts w:ascii="Times New Roman" w:cs="Times New Roman" w:eastAsia="Times New Roman" w:hAnsi="Times New Roman"/>
          <w:sz w:val="18"/>
          <w:szCs w:val="18"/>
          <w:color w:val="auto"/>
        </w:rPr>
        <w:t>Under the Delaware General Corporation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Actions</w:t>
      </w:r>
    </w:p>
    <w:p>
      <w:pPr>
        <w:spacing w:after="0" w:line="148" w:lineRule="exact"/>
        <w:rPr>
          <w:sz w:val="20"/>
          <w:szCs w:val="20"/>
          <w:color w:val="auto"/>
        </w:rPr>
      </w:pPr>
    </w:p>
    <w:p>
      <w:pPr>
        <w:ind w:right="479"/>
        <w:spacing w:after="0" w:line="261" w:lineRule="auto"/>
        <w:rPr>
          <w:sz w:val="20"/>
          <w:szCs w:val="20"/>
          <w:color w:val="auto"/>
        </w:rPr>
      </w:pPr>
      <w:r>
        <w:rPr>
          <w:rFonts w:ascii="Times New Roman" w:cs="Times New Roman" w:eastAsia="Times New Roman" w:hAnsi="Times New Roman"/>
          <w:sz w:val="18"/>
          <w:szCs w:val="18"/>
          <w:color w:val="auto"/>
        </w:rPr>
        <w:t>The Singapore Companies Act has a provision which provides a mechanism enabling shareholders to apply to the court for leave to bring a derivative action or commence an arbitration on behalf of the company.</w:t>
      </w:r>
    </w:p>
    <w:p>
      <w:pPr>
        <w:spacing w:after="0" w:line="112" w:lineRule="exact"/>
        <w:rPr>
          <w:sz w:val="20"/>
          <w:szCs w:val="20"/>
          <w:color w:val="auto"/>
        </w:rPr>
      </w:pPr>
    </w:p>
    <w:p>
      <w:pPr>
        <w:ind w:right="539"/>
        <w:spacing w:after="0" w:line="261" w:lineRule="auto"/>
        <w:rPr>
          <w:sz w:val="20"/>
          <w:szCs w:val="20"/>
          <w:color w:val="auto"/>
        </w:rPr>
      </w:pPr>
      <w:r>
        <w:rPr>
          <w:rFonts w:ascii="Times New Roman" w:cs="Times New Roman" w:eastAsia="Times New Roman" w:hAnsi="Times New Roman"/>
          <w:sz w:val="18"/>
          <w:szCs w:val="18"/>
          <w:color w:val="auto"/>
        </w:rPr>
        <w:t>Applications are generally made by shareholders of the company, but courts are given the discretion to allow such persons as they deem proper to apply (e.g., beneficial owner of shares).</w:t>
      </w:r>
    </w:p>
    <w:p>
      <w:pPr>
        <w:spacing w:after="0" w:line="112" w:lineRule="exact"/>
        <w:rPr>
          <w:sz w:val="20"/>
          <w:szCs w:val="20"/>
          <w:color w:val="auto"/>
        </w:rPr>
      </w:pPr>
    </w:p>
    <w:p>
      <w:pPr>
        <w:ind w:right="479"/>
        <w:spacing w:after="0" w:line="255" w:lineRule="auto"/>
        <w:rPr>
          <w:sz w:val="20"/>
          <w:szCs w:val="20"/>
          <w:color w:val="auto"/>
        </w:rPr>
      </w:pPr>
      <w:r>
        <w:rPr>
          <w:rFonts w:ascii="Times New Roman" w:cs="Times New Roman" w:eastAsia="Times New Roman" w:hAnsi="Times New Roman"/>
          <w:sz w:val="18"/>
          <w:szCs w:val="18"/>
          <w:color w:val="auto"/>
        </w:rPr>
        <w:t>It should be noted that this provision of the Singapore Companies Act is primarily used by minority shareholders to bring an action or arbitration in the name and on behalf of the company or intervene in an action or arbitration to which the company is a party for the purpose of prosecuting, defending or discontinuing the action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Actions</w:t>
      </w:r>
    </w:p>
    <w:p>
      <w:pPr>
        <w:spacing w:after="0" w:line="202" w:lineRule="exact"/>
        <w:rPr>
          <w:sz w:val="20"/>
          <w:szCs w:val="20"/>
          <w:color w:val="auto"/>
        </w:rPr>
      </w:pPr>
    </w:p>
    <w:p>
      <w:pPr>
        <w:ind w:right="459"/>
        <w:spacing w:after="0" w:line="254" w:lineRule="auto"/>
        <w:rPr>
          <w:sz w:val="20"/>
          <w:szCs w:val="20"/>
          <w:color w:val="auto"/>
        </w:rPr>
      </w:pPr>
      <w:r>
        <w:rPr>
          <w:rFonts w:ascii="Times New Roman" w:cs="Times New Roman" w:eastAsia="Times New Roman" w:hAnsi="Times New Roman"/>
          <w:sz w:val="18"/>
          <w:szCs w:val="18"/>
          <w:color w:val="auto"/>
        </w:rPr>
        <w:t>The concept of class action suits, which allows individual shareholders to bring an action seeking to represent a class or classes of shareholders, does not exist in Singapore. However, it is possible as a matter of procedure for a number of shareholders to lead an action and establish liability on behalf of themselves and other shareholders who join in or who are made parties to the action. These shareholders are commonly known as “lead plaintiffs.”</w:t>
      </w:r>
    </w:p>
    <w:p>
      <w:pPr>
        <w:spacing w:after="0" w:line="157"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 and Dividends; Repurchases and Redemptions</w:t>
      </w:r>
    </w:p>
    <w:p>
      <w:pPr>
        <w:sectPr>
          <w:pgSz w:w="11900" w:h="16838" w:orient="portrait"/>
          <w:cols w:equalWidth="0" w:num="1">
            <w:col w:w="9019"/>
          </w:cols>
          <w:pgMar w:left="1440" w:top="270" w:right="1440" w:bottom="1440" w:gutter="0" w:footer="0" w:header="0"/>
          <w:type w:val="continuous"/>
        </w:sectPr>
      </w:pPr>
    </w:p>
    <w:p>
      <w:pPr>
        <w:spacing w:after="0" w:line="202" w:lineRule="exact"/>
        <w:rPr>
          <w:sz w:val="20"/>
          <w:szCs w:val="20"/>
          <w:color w:val="auto"/>
        </w:rPr>
      </w:pPr>
    </w:p>
    <w:p>
      <w:pPr>
        <w:ind w:left="460"/>
        <w:spacing w:after="0" w:line="270" w:lineRule="auto"/>
        <w:rPr>
          <w:sz w:val="20"/>
          <w:szCs w:val="20"/>
          <w:color w:val="auto"/>
        </w:rPr>
      </w:pPr>
      <w:r>
        <w:rPr>
          <w:rFonts w:ascii="Times New Roman" w:cs="Times New Roman" w:eastAsia="Times New Roman" w:hAnsi="Times New Roman"/>
          <w:sz w:val="17"/>
          <w:szCs w:val="17"/>
          <w:color w:val="auto"/>
        </w:rPr>
        <w:t>The Delaware General Corporation Law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819"/>
        <w:spacing w:after="0" w:line="266" w:lineRule="auto"/>
        <w:rPr>
          <w:sz w:val="20"/>
          <w:szCs w:val="20"/>
          <w:color w:val="auto"/>
        </w:rPr>
      </w:pPr>
      <w:r>
        <w:rPr>
          <w:rFonts w:ascii="Times New Roman" w:cs="Times New Roman" w:eastAsia="Times New Roman" w:hAnsi="Times New Roman"/>
          <w:sz w:val="18"/>
          <w:szCs w:val="18"/>
          <w:color w:val="auto"/>
        </w:rPr>
        <w:t>The Singapore Companies Act provides that no dividends can be paid to shareholders except out of profits.</w:t>
      </w:r>
    </w:p>
    <w:p>
      <w:pPr>
        <w:spacing w:after="0" w:line="95" w:lineRule="exact"/>
        <w:rPr>
          <w:sz w:val="20"/>
          <w:szCs w:val="20"/>
          <w:color w:val="auto"/>
        </w:rPr>
      </w:pPr>
    </w:p>
    <w:p>
      <w:pPr>
        <w:ind w:right="679"/>
        <w:spacing w:after="0" w:line="261" w:lineRule="auto"/>
        <w:rPr>
          <w:sz w:val="20"/>
          <w:szCs w:val="20"/>
          <w:color w:val="auto"/>
        </w:rPr>
      </w:pPr>
      <w:r>
        <w:rPr>
          <w:rFonts w:ascii="Times New Roman" w:cs="Times New Roman" w:eastAsia="Times New Roman" w:hAnsi="Times New Roman"/>
          <w:sz w:val="18"/>
          <w:szCs w:val="18"/>
          <w:color w:val="auto"/>
        </w:rPr>
        <w:t>The Singapore Companies Act does not provide a definition on when profits are deemed to be available for the purpose of paying dividends and this is accordingly governed by case law.</w:t>
      </w:r>
    </w:p>
    <w:p>
      <w:pPr>
        <w:spacing w:after="0" w:line="112" w:lineRule="exact"/>
        <w:rPr>
          <w:sz w:val="20"/>
          <w:szCs w:val="20"/>
          <w:color w:val="auto"/>
        </w:rPr>
      </w:pPr>
    </w:p>
    <w:p>
      <w:pPr>
        <w:ind w:right="599"/>
        <w:spacing w:after="0" w:line="282" w:lineRule="auto"/>
        <w:rPr>
          <w:sz w:val="20"/>
          <w:szCs w:val="20"/>
          <w:color w:val="auto"/>
        </w:rPr>
      </w:pPr>
      <w:r>
        <w:rPr>
          <w:rFonts w:ascii="Times New Roman" w:cs="Times New Roman" w:eastAsia="Times New Roman" w:hAnsi="Times New Roman"/>
          <w:sz w:val="18"/>
          <w:szCs w:val="18"/>
          <w:color w:val="auto"/>
        </w:rPr>
        <w:t>Our constitution provides that no dividend can be paid otherwise than out of profits.</w:t>
      </w:r>
    </w:p>
    <w:p>
      <w:pPr>
        <w:spacing w:after="0" w:line="162"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67"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-1381760</wp:posOffset>
            </wp:positionV>
            <wp:extent cx="25114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 Company’s Own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25717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42" w:lineRule="exact"/>
        <w:rPr>
          <w:sz w:val="20"/>
          <w:szCs w:val="20"/>
          <w:color w:val="auto"/>
        </w:rPr>
      </w:pPr>
    </w:p>
    <w:p>
      <w:pPr>
        <w:ind w:right="459"/>
        <w:spacing w:after="0" w:line="253" w:lineRule="auto"/>
        <w:rPr>
          <w:sz w:val="20"/>
          <w:szCs w:val="20"/>
          <w:color w:val="auto"/>
        </w:rPr>
      </w:pPr>
      <w:r>
        <w:rPr>
          <w:rFonts w:ascii="Times New Roman" w:cs="Times New Roman" w:eastAsia="Times New Roman" w:hAnsi="Times New Roman"/>
          <w:sz w:val="18"/>
          <w:szCs w:val="18"/>
          <w:color w:val="auto"/>
        </w:rPr>
        <w:t>The Singapore Companies Act generally prohibits a company from acquiring its own shares subject to certain exceptions. Any contract or transaction made or entered into in contravention of the aforementioned prohibition by which a company acquires its own shares is void. However, provided that it is expressly permitted to do so by its constitution, as the case may be, and subject to the special conditions of each permitted acquisition contained in the Singapore Companies Act, a company may:</w:t>
      </w:r>
    </w:p>
    <w:p>
      <w:pPr>
        <w:spacing w:after="0" w:line="113" w:lineRule="exact"/>
        <w:rPr>
          <w:sz w:val="20"/>
          <w:szCs w:val="20"/>
          <w:color w:val="auto"/>
        </w:rPr>
      </w:pPr>
    </w:p>
    <w:p>
      <w:pPr>
        <w:ind w:left="440" w:right="519" w:hanging="220"/>
        <w:spacing w:after="0" w:line="254" w:lineRule="auto"/>
        <w:tabs>
          <w:tab w:leader="none" w:pos="4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redeemable preference shares. Preference shares may be redeemed out of capital if all the directors make a solvency statement in relation to such redemption in accordance with the Singapore Companies Act, and the company lodges a copy of the statement with the Accounting and Corporate Regulatory Authority of Singapore;</w:t>
      </w:r>
    </w:p>
    <w:p>
      <w:pPr>
        <w:spacing w:after="0" w:line="124" w:lineRule="exact"/>
        <w:rPr>
          <w:rFonts w:ascii="Times New Roman" w:cs="Times New Roman" w:eastAsia="Times New Roman" w:hAnsi="Times New Roman"/>
          <w:sz w:val="18"/>
          <w:szCs w:val="18"/>
          <w:color w:val="auto"/>
        </w:rPr>
      </w:pPr>
    </w:p>
    <w:p>
      <w:pPr>
        <w:ind w:left="440" w:right="499" w:hanging="220"/>
        <w:spacing w:after="0" w:line="256" w:lineRule="auto"/>
        <w:tabs>
          <w:tab w:leader="none" w:pos="4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it is listed on an approved exchange in Singapore or any securities exchange outside Singapore, make an off-market purchase of its own shares in accordance with an equal access scheme authorized in advance at a general meeting;</w:t>
      </w:r>
    </w:p>
    <w:p>
      <w:pPr>
        <w:spacing w:after="0" w:line="119" w:lineRule="exact"/>
        <w:rPr>
          <w:rFonts w:ascii="Times New Roman" w:cs="Times New Roman" w:eastAsia="Times New Roman" w:hAnsi="Times New Roman"/>
          <w:sz w:val="18"/>
          <w:szCs w:val="18"/>
          <w:color w:val="auto"/>
        </w:rPr>
      </w:pPr>
    </w:p>
    <w:p>
      <w:pPr>
        <w:ind w:left="440" w:right="479" w:hanging="220"/>
        <w:spacing w:after="0" w:line="256" w:lineRule="auto"/>
        <w:tabs>
          <w:tab w:leader="none" w:pos="4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selective off-market purchase of its own shares in accordance with an agreement authorized in advance at a general meeting by a special resolution where persons whose shares are to be acquired and their associated persons have abstained from voting;</w:t>
      </w:r>
    </w:p>
    <w:p>
      <w:pPr>
        <w:spacing w:after="0" w:line="106" w:lineRule="exact"/>
        <w:rPr>
          <w:rFonts w:ascii="Times New Roman" w:cs="Times New Roman" w:eastAsia="Times New Roman" w:hAnsi="Times New Roman"/>
          <w:sz w:val="18"/>
          <w:szCs w:val="18"/>
          <w:color w:val="auto"/>
        </w:rPr>
      </w:pPr>
    </w:p>
    <w:p>
      <w:pPr>
        <w:ind w:left="440" w:right="479" w:hanging="220"/>
        <w:spacing w:after="0" w:line="256" w:lineRule="auto"/>
        <w:tabs>
          <w:tab w:leader="none" w:pos="4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it is listed on an approved exchange in Singapore or any securities exchange outside Singapore, make an acquisition of its own shares under a contingent purchase contract which has been authorized in advance at a general meeting by a special resolution; and</w:t>
      </w:r>
    </w:p>
    <w:p>
      <w:pPr>
        <w:spacing w:after="0" w:line="119" w:lineRule="exact"/>
        <w:rPr>
          <w:rFonts w:ascii="Times New Roman" w:cs="Times New Roman" w:eastAsia="Times New Roman" w:hAnsi="Times New Roman"/>
          <w:sz w:val="18"/>
          <w:szCs w:val="18"/>
          <w:color w:val="auto"/>
        </w:rPr>
      </w:pPr>
    </w:p>
    <w:p>
      <w:pPr>
        <w:ind w:left="440" w:right="599" w:hanging="220"/>
        <w:spacing w:after="0" w:line="281" w:lineRule="auto"/>
        <w:tabs>
          <w:tab w:leader="none" w:pos="42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it is listed on a securities exchange, make an acquisition of its own shares on the securities exchange, in accordance with terms and limits authorized in advance at a general meeting.</w:t>
      </w:r>
    </w:p>
    <w:p>
      <w:pPr>
        <w:spacing w:after="0" w:line="137" w:lineRule="exact"/>
        <w:rPr>
          <w:sz w:val="20"/>
          <w:szCs w:val="20"/>
          <w:color w:val="auto"/>
        </w:rPr>
      </w:pPr>
    </w:p>
    <w:p>
      <w:pPr>
        <w:ind w:right="799"/>
        <w:spacing w:after="0" w:line="282" w:lineRule="auto"/>
        <w:rPr>
          <w:sz w:val="20"/>
          <w:szCs w:val="20"/>
          <w:color w:val="auto"/>
        </w:rPr>
      </w:pPr>
      <w:r>
        <w:rPr>
          <w:rFonts w:ascii="Times New Roman" w:cs="Times New Roman" w:eastAsia="Times New Roman" w:hAnsi="Times New Roman"/>
          <w:sz w:val="18"/>
          <w:szCs w:val="18"/>
          <w:color w:val="auto"/>
        </w:rPr>
        <w:t>A company may also purchase its own shares by an order of a Singapore court.</w:t>
      </w:r>
    </w:p>
    <w:p>
      <w:pPr>
        <w:spacing w:after="0" w:line="162" w:lineRule="exact"/>
        <w:rPr>
          <w:sz w:val="20"/>
          <w:szCs w:val="20"/>
          <w:color w:val="auto"/>
        </w:rPr>
      </w:pPr>
    </w:p>
    <w:p>
      <w:pPr>
        <w:sectPr>
          <w:pgSz w:w="11900" w:h="16838" w:orient="portrait"/>
          <w:cols w:equalWidth="0" w:num="2">
            <w:col w:w="4360" w:space="140"/>
            <w:col w:w="45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total number of ordinary shares that may be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acquired by a company during a relevant period may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not exceed 20% (or such other prescribed percentage)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of the total number of ordinary shares as of the date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resolution passed to authorize the acquisition of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Where, however, a company has reduced its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 capital by a special resolution or a Singapore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 has made an order confirming the reduction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 capital of the company, the total number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ordinary shares shall be taken to be the total number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ordinary shares as altered by the special resolution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order of the court. Payment, including any expenses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(including brokerage or commission) incurred directly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 the acquisition by the company of its own shares,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may be made out of the company’s distributable profits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 capital, provided that the company is solvent.</w:t>
      </w:r>
    </w:p>
    <w:p>
      <w:pPr>
        <w:spacing w:after="0" w:line="1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Our constitution provides that subject to the provisions</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of the Singapore Companies Act, we may purchase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otherwise acquire our issued shares on such terms and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 such manner as we may think fit. These shares may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be held as treasury shares or cancelled as provided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Singapore Companies Act or dealt with in such</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manner as may be permitted by the Singapore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Companies Act. On cancellation of the shares,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rights and privileges attached to those shares will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expire.</w:t>
      </w:r>
    </w:p>
    <w:p>
      <w:pPr>
        <w:spacing w:after="0" w:line="1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i w:val="1"/>
          <w:iCs w:val="1"/>
          <w:color w:val="auto"/>
        </w:rPr>
        <w:t>Financial Assistance for the Acquisition of Shares</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 public company or a company whose holding</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company or ultimate holding company is a public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company shall not give financial assistance to any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person whether directly or indirectly for the purpose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 in connection with:</w:t>
      </w:r>
    </w:p>
    <w:p>
      <w:pPr>
        <w:spacing w:after="0" w:line="1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the acquisition or proposed acquisition of shares</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in the company or units of such shares; or</w:t>
      </w:r>
    </w:p>
    <w:p>
      <w:pPr>
        <w:spacing w:after="0" w:line="13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the acquisition or proposed acquisition of shares</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in its holding company or ultimate holding</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company, or units of such shares.</w:t>
      </w:r>
    </w:p>
    <w:p>
      <w:pPr>
        <w:spacing w:after="0" w:line="1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Financial assistance may take the form of a loan, the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giving of a guarantee, the provision of security,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release of an obligation, the release of a debt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otherwise.</w:t>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However, it should be noted that a company may</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provide financial assistance for the acquisition of its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or shares in its holding company if it complies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with the requirements (including approval by special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resolution) set out in the Singapore Companies Act.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both"/>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Officers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some contracts or transactions in which one or more of a corporation’s directors has an interest are not void or voidable because of such interest provided that some conditions, such as obtaining the required approval and fulfilling the requirements of good faith and full disclosure, are met. Under the Delaware General Corporation Law, either (a) the stockholders or the board of directors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79"/>
        <w:spacing w:after="0" w:line="252" w:lineRule="auto"/>
        <w:rPr>
          <w:sz w:val="20"/>
          <w:szCs w:val="20"/>
          <w:color w:val="auto"/>
        </w:rPr>
      </w:pPr>
      <w:r>
        <w:rPr>
          <w:rFonts w:ascii="Times New Roman" w:cs="Times New Roman" w:eastAsia="Times New Roman" w:hAnsi="Times New Roman"/>
          <w:sz w:val="18"/>
          <w:szCs w:val="18"/>
          <w:color w:val="auto"/>
        </w:rPr>
        <w:t>Under the Singapore Companies Act, directors and chief executive officers are not prohibited from dealing with the company, but where they have an interest in a transaction with the company, that interest must be disclosed to the board of directors. In particular, every director or chief executive officer who is in any way, whether directly or indirectly, interested in a transaction or proposed transaction with the company must, as soon as is practicable after the relevant facts have come to such director’s or chief executive officer’s knowledge, declare the nature of such director’s or chief executive officer’s interest at a board of directors’ meeting or send a written notice to the company containing details on the nature, character and extent of his or her interest in the transaction or proposed transaction with the company.</w:t>
      </w:r>
    </w:p>
    <w:p>
      <w:pPr>
        <w:spacing w:after="0" w:line="384" w:lineRule="exact"/>
        <w:rPr>
          <w:sz w:val="20"/>
          <w:szCs w:val="20"/>
          <w:color w:val="auto"/>
        </w:rPr>
      </w:pPr>
    </w:p>
    <w:p>
      <w:pPr>
        <w:ind w:right="479"/>
        <w:spacing w:after="0" w:line="252" w:lineRule="auto"/>
        <w:rPr>
          <w:sz w:val="20"/>
          <w:szCs w:val="20"/>
          <w:color w:val="auto"/>
        </w:rPr>
      </w:pPr>
      <w:r>
        <w:rPr>
          <w:rFonts w:ascii="Times New Roman" w:cs="Times New Roman" w:eastAsia="Times New Roman" w:hAnsi="Times New Roman"/>
          <w:sz w:val="18"/>
          <w:szCs w:val="18"/>
          <w:color w:val="auto"/>
        </w:rPr>
        <w:t>There is, however, no requirement for disclosure where the interest of the director or chief executive officer (as the case may be) consists only of being a member or creditor of a corporation which is interested in the transaction or proposed transaction with the company if the interest may properly be regarded as immaterial. Where the transaction or the proposed transaction relates to any loan to the company, a director or chief executive officer shall not be deemed to be interested or to have been at any time interested in the transaction or proposed transaction where the director or chief executive officer has only guaranteed or joined in guaranteeing the repayment of such loan, unless the constitution provides otherwise.</w:t>
      </w:r>
    </w:p>
    <w:p>
      <w:pPr>
        <w:spacing w:after="0" w:line="170" w:lineRule="exact"/>
        <w:rPr>
          <w:sz w:val="20"/>
          <w:szCs w:val="20"/>
          <w:color w:val="auto"/>
        </w:rPr>
      </w:pPr>
    </w:p>
    <w:p>
      <w:pPr>
        <w:ind w:right="459"/>
        <w:spacing w:after="0" w:line="253" w:lineRule="auto"/>
        <w:rPr>
          <w:sz w:val="20"/>
          <w:szCs w:val="20"/>
          <w:color w:val="auto"/>
        </w:rPr>
      </w:pPr>
      <w:r>
        <w:rPr>
          <w:rFonts w:ascii="Times New Roman" w:cs="Times New Roman" w:eastAsia="Times New Roman" w:hAnsi="Times New Roman"/>
          <w:sz w:val="18"/>
          <w:szCs w:val="18"/>
          <w:color w:val="auto"/>
        </w:rPr>
        <w:t>Further, where the transaction or the proposed transaction has been or will be made with or for the benefit of a related corporation (i.e. the holding company, subsidiary or subsidiary of a common holding company), a director or chief executive officer shall not be deemed to be interested or to have been at any time interested in the transaction or proposed transaction where he is a director or chief executive officer (as the case may be) of that corporation, unless the constitution provides otherwise.</w:t>
      </w:r>
    </w:p>
    <w:p>
      <w:pPr>
        <w:spacing w:after="0" w:line="167" w:lineRule="exact"/>
        <w:rPr>
          <w:sz w:val="20"/>
          <w:szCs w:val="20"/>
          <w:color w:val="auto"/>
        </w:rPr>
      </w:pPr>
    </w:p>
    <w:p>
      <w:pPr>
        <w:ind w:right="519"/>
        <w:spacing w:after="0" w:line="253" w:lineRule="auto"/>
        <w:rPr>
          <w:sz w:val="20"/>
          <w:szCs w:val="20"/>
          <w:color w:val="auto"/>
        </w:rPr>
      </w:pPr>
      <w:r>
        <w:rPr>
          <w:rFonts w:ascii="Times New Roman" w:cs="Times New Roman" w:eastAsia="Times New Roman" w:hAnsi="Times New Roman"/>
          <w:sz w:val="18"/>
          <w:szCs w:val="18"/>
          <w:color w:val="auto"/>
        </w:rPr>
        <w:t>In addition, a director or chief executive officer who holds any office or possesses any property which directly or indirectly might create duties or interests in conflict with such director’s or chief executive officer’s duties or interests as director or chief executive officer (as the case may be) is required to declare the fact and the nature, character and extent of the conflict at a meeting of directors or send a written notice to the company setting out the fact and the nature, character and extent of the conflict.</w:t>
      </w:r>
    </w:p>
    <w:p>
      <w:pPr>
        <w:spacing w:after="0" w:line="194"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Singapore Companies Act extends the scope of this</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statutory duty of a director and chief executive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to disclose any interests by pronouncing that an interest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of a member of a director’s or chief executive officer’s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the case may be) family (including spouse, son,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adopted son, step-son, daughter, adopted daughter and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step-daughter) will be treated as an interest of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director or chief executive officer (as the case may be).</w:t>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Subject to specified exceptions, the Singapore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Companies Act prohibits a company from making 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loan or quasi-loan to its directors or to directors of 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related corporation, or giving a guarantee or security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connection with such a loan or quasi-loan.</w:t>
      </w:r>
    </w:p>
    <w:p>
      <w:pPr>
        <w:spacing w:after="0" w:line="1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Companies are also prohibited from making loans or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quasi-loans to its directors’ spouse or children (whether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adopted or natural or step-children), or giving 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guarantee or security in connection with such a loan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quasi-loan.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stockholder of a corporation participating in some types of major corporate transactions may, under varying circumstances, be entitled to appraisal rights pursuant to which the stockholder may receive cash in the amount of the fair market value of his or her shares in lieu of the consideration he or she would otherwise receive in the transaction.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99"/>
        <w:spacing w:after="0" w:line="282" w:lineRule="auto"/>
        <w:rPr>
          <w:sz w:val="20"/>
          <w:szCs w:val="20"/>
          <w:color w:val="auto"/>
        </w:rPr>
      </w:pPr>
      <w:r>
        <w:rPr>
          <w:rFonts w:ascii="Times New Roman" w:cs="Times New Roman" w:eastAsia="Times New Roman" w:hAnsi="Times New Roman"/>
          <w:sz w:val="18"/>
          <w:szCs w:val="18"/>
          <w:color w:val="auto"/>
        </w:rPr>
        <w:t>There are no equivalent provisions in Singapore under the Singapore Companies Act.</w:t>
      </w:r>
    </w:p>
    <w:p>
      <w:pPr>
        <w:spacing w:after="0" w:line="1427"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Cumulative Voting</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adopt in its bylaws that its directors shall be elected by cumulative voting. When directors are elected by cumulative voting, a stockholder has the number of votes equal to the number of shares held by such stockholder times the number of directors nominated for election. The stockholder may cast all of such votes for one director or among the directors in any proportion.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519"/>
        <w:spacing w:after="0" w:line="266" w:lineRule="auto"/>
        <w:rPr>
          <w:sz w:val="20"/>
          <w:szCs w:val="20"/>
          <w:color w:val="auto"/>
        </w:rPr>
      </w:pPr>
      <w:r>
        <w:rPr>
          <w:rFonts w:ascii="Times New Roman" w:cs="Times New Roman" w:eastAsia="Times New Roman" w:hAnsi="Times New Roman"/>
          <w:sz w:val="18"/>
          <w:szCs w:val="18"/>
          <w:color w:val="auto"/>
        </w:rPr>
        <w:t>There is no equivalent provision under the Singapore Companies Act in respect of companies incorporated in Singapore.</w:t>
      </w:r>
    </w:p>
    <w:p>
      <w:pPr>
        <w:spacing w:after="0" w:line="1440"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Anti-Takeover Measures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the certificate of incorporation of a corporation may give the board the right to issue new classes of preferred stock with voting, conversion, dividend distribution, and other rights to be determined by the board at the time of issuance, which could prevent a takeover attempt and thereby preclude shareholders from realizing a potential premium over the market value of their shares.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539"/>
        <w:spacing w:after="0" w:line="256" w:lineRule="auto"/>
        <w:rPr>
          <w:sz w:val="20"/>
          <w:szCs w:val="20"/>
          <w:color w:val="auto"/>
        </w:rPr>
      </w:pPr>
      <w:r>
        <w:rPr>
          <w:rFonts w:ascii="Times New Roman" w:cs="Times New Roman" w:eastAsia="Times New Roman" w:hAnsi="Times New Roman"/>
          <w:sz w:val="18"/>
          <w:szCs w:val="18"/>
          <w:color w:val="auto"/>
        </w:rPr>
        <w:t>The constitution of a Singapore company typically provides that the company may allot and issue new shares of a different class with preferential, deferred, qualified or other special rights as its board of directors may determine with the prior approval of the company’s shareholders in a general meeting.</w:t>
      </w:r>
    </w:p>
    <w:p>
      <w:pPr>
        <w:spacing w:after="0" w:line="834"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both"/>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ectPr>
          <w:pgSz w:w="11900" w:h="16838" w:orient="portrait"/>
          <w:cols w:equalWidth="0" w:num="1">
            <w:col w:w="9019"/>
          </w:cols>
          <w:pgMar w:left="1440" w:top="270" w:right="1440" w:bottom="1440" w:gutter="0" w:footer="0" w:header="0"/>
        </w:sectPr>
      </w:pPr>
    </w:p>
    <w:p>
      <w:pPr>
        <w:spacing w:after="0" w:line="67"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In addition, Delaware law does not prohibit a corporation from adopting a stockholder rights plan, or “poison pill,” which could prevent a takeover attempt and also preclude shareholders from realizing a potential premium over the market value of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-837565</wp:posOffset>
            </wp:positionV>
            <wp:extent cx="25114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479"/>
        <w:spacing w:after="0" w:line="270" w:lineRule="auto"/>
        <w:rPr>
          <w:sz w:val="20"/>
          <w:szCs w:val="20"/>
          <w:color w:val="auto"/>
        </w:rPr>
      </w:pPr>
      <w:r>
        <w:rPr>
          <w:rFonts w:ascii="Times New Roman" w:cs="Times New Roman" w:eastAsia="Times New Roman" w:hAnsi="Times New Roman"/>
          <w:sz w:val="17"/>
          <w:szCs w:val="17"/>
          <w:color w:val="auto"/>
        </w:rPr>
        <w:t>Under the Singapore Take-over Code, if, in the course of an offer, or even before the date of the announcement of the offer, the board of the offeree company has reason to believe that a bona fide offer is imminent, the board must not, except pursuant to a contract entered into earlier, take any action, without the approval of shareholders at a general meeting, on the affairs of the offeree company that could effectively result in any bona fide offer being frustrated or the shareholders being denied an opportunity to decide on its merits.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-1392555</wp:posOffset>
            </wp:positionV>
            <wp:extent cx="25717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4320" w:space="18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48" w:lineRule="exact"/>
        <w:rPr>
          <w:sz w:val="20"/>
          <w:szCs w:val="20"/>
          <w:color w:val="auto"/>
        </w:rPr>
      </w:pPr>
    </w:p>
    <w:p>
      <w:pPr>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Material income tax considerations relating to the purchase, ownership and disposition of any of the securities offered by this prospectus will be set forth in the applicable prospectus supplement relating to the offering of those securities.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4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We are registering the ordinary shares previously issued to the selling shareholder identified below in order to permit the selling shareholder to offer the shares for resale from time to time. The shares being offered by the selling shareholder are 6,000,000 ordinary shares.</w:t>
      </w:r>
    </w:p>
    <w:p>
      <w:pPr>
        <w:spacing w:after="0" w:line="10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table below lists the selling shareholder and other information regarding the beneficial ownership of ordinary shares by the selling shareholder. The second column lists the number of ordinary shares owned by the selling shareholder, based on its ownership of ordinary shares. The third column lists the number of ordinary shares offered by this prospectus by the selling shareholder. The fourth column lists the number of ordinary shares beneficially owned by the selling shareholder after the offering contemplated by this prospectus, assuming the sale of all ordinary shares being offered by this prospectus by the selling shareholder.</w:t>
      </w:r>
    </w:p>
    <w:p>
      <w:pPr>
        <w:spacing w:after="0" w:line="120"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The selling shareholder may sell some, all or none of its ordinary shares. We do not know how long the selling shareholder will hold the ordinary shares before selling them, and we currently have no agreements, arrangements or understandings with the selling shareholder regarding its resale of any of the ordinary shares. See “Plan of Distribution.”</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Ordinary Shares</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 Ordinary</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 Ordinary</w:t>
            </w: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Assuming Sale of</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Beneficially Owned</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Offered by</w:t>
            </w: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Shares Offered by</w:t>
            </w:r>
          </w:p>
        </w:tc>
      </w:tr>
      <w:tr>
        <w:trPr>
          <w:trHeight w:val="212"/>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Selling Shareholder</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Prior to Any Sale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This Prospectus</w:t>
            </w: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This Prospectus</w:t>
            </w:r>
          </w:p>
        </w:tc>
      </w:tr>
      <w:tr>
        <w:trPr>
          <w:trHeight w:val="47"/>
        </w:trPr>
        <w:tc>
          <w:tcPr>
            <w:tcW w:w="2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r>
      <w:tr>
        <w:trPr>
          <w:trHeight w:val="26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Isaias (Zak) Jose Calisto</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20,028,811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14,028,811</w:t>
            </w:r>
          </w:p>
        </w:tc>
      </w:tr>
      <w:tr>
        <w:trPr>
          <w:trHeight w:val="251"/>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r>
    </w:tbl>
    <w:p>
      <w:pPr>
        <w:spacing w:after="0" w:line="87" w:lineRule="exact"/>
        <w:rPr>
          <w:sz w:val="20"/>
          <w:szCs w:val="20"/>
          <w:color w:val="auto"/>
        </w:rPr>
      </w:pPr>
    </w:p>
    <w:p>
      <w:pPr>
        <w:ind w:left="880" w:right="479" w:hanging="426"/>
        <w:spacing w:after="0" w:line="267"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Calisto beneficially owns 20,028,811 shares, or 64.83% of the 30,893,300 ordinary shares issued and outstanding as of the date of this prospectus. In addition, Juan Marais, the Chief Sales Officer of the Company, is the beneficial owner of 3,140,000 shares, or 10.16% of the issued and outstanding shares of the Company, through One Spire (Pty) Ltd.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One Spire (Pty) Ltd.’s 3,140,000 shares may be deemed to be beneficially owned by Mr. Calisto. Therefore, Mr. Calisto may be deemed to beneficially own 23,168,811 shares or 75.00% of the issued and outstanding shares of the Company. Mr. Calisto disclaims beneficial ownership of One Spire (Pty) Ltd.’s 3,140,000 ordinary shares.</w:t>
      </w:r>
    </w:p>
    <w:p>
      <w:pPr>
        <w:spacing w:after="0" w:line="109"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The table above is prepared based on information supplied to us by the selling shareholder as of the date of this prospectus. The selling shareholder may have sold, transferred or otherwise disposed of all or a portion of its ordinary shares since the date on which the selling shareholder provided information for this table. We have not made independent inquiries about such transfers or dispositions. Information about the selling shareholder may change from time to time. Any changed information with respect to which we are given notice will be included in a supplement to this prospectus, if required.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Shareholder</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selling shareholder is the founder, Chief Executive Officer and the ultimate controlling shareholder of Karooooo, and has been a member of our board of directors since May 2018. The description of our relationships, and certain agreements and transactions, with the selling shareholder and its affiliates set forth in “Item 7. Major Shareholders and Related Party Transactions” of our Annual Report is incorporated herein by reference.</w:t>
      </w:r>
    </w:p>
    <w:p>
      <w:pPr>
        <w:spacing w:after="0" w:line="116"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depend on the continued service and performance of the selling shareholder. See “Item 3.D. Key Information — Risk Factors — The loss of one or more of our key management team members or personnel, or our failure to attract, train and retain other highly qualified personnel, could harm our business” in our Annual Report, which is incorporated herein by reference.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4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our initial public offering in April 2021, we entered into a registration rights agreement (the “Registration Rights Agreement”), dated April 6, 2021, with the selling shareholder, pursuant to which we granted demand and piggyback registration rights to the selling shareholder and its designees. As a result, the selling shareholder may require us to use reasonable best efforts to effect the registration under the Securities Act of our ordinary shares that the selling shareholder or its affiliates own, in each case at our own expense. The Registration Rights Agreement also provides that we will indemnify the selling shareholder in connection with the registration of our ordinary shares. The foregoing description of the Registration Rights Agreement is not a complete description thereof and is qualified in its entirety by reference to the full text of the Registration Rights Agreement, which is filed as Exhibit 4.5 to our Annual Report, which is incorporated by reference herein. See also “Item 7.B. Major Shareholders and Related Party Transactions — Related Party Transactions — Registration Rights Agreement” in our Annual Report.</w:t>
      </w:r>
    </w:p>
    <w:p>
      <w:pPr>
        <w:spacing w:after="0" w:line="124" w:lineRule="exact"/>
        <w:rPr>
          <w:sz w:val="20"/>
          <w:szCs w:val="20"/>
          <w:color w:val="auto"/>
        </w:rPr>
      </w:pPr>
    </w:p>
    <w:p>
      <w:pPr>
        <w:ind w:left="460" w:right="599" w:firstLine="432"/>
        <w:spacing w:after="0" w:line="289" w:lineRule="auto"/>
        <w:rPr>
          <w:sz w:val="20"/>
          <w:szCs w:val="20"/>
          <w:color w:val="auto"/>
        </w:rPr>
      </w:pPr>
      <w:r>
        <w:rPr>
          <w:rFonts w:ascii="Times New Roman" w:cs="Times New Roman" w:eastAsia="Times New Roman" w:hAnsi="Times New Roman"/>
          <w:sz w:val="17"/>
          <w:szCs w:val="17"/>
          <w:color w:val="auto"/>
        </w:rPr>
        <w:t>The registration statement of which this prospectus forms a part has been filed to provide for registration of 6,000,000 ordinary shares held by the selling shareholder to satisfy the selling shareholder’s exercise of its demand registration rights pursuant to Sections 2.01(a) and 2.01(f) of the Registration Rights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selling shareholder and its pledgees, donees, assignees, transferees, and successors-in-interest may, from time to time, sell, transfer or otherwise dispose of any or all of their securities or interests in any securities covered hereby on the Nasdaq or any other stock exchange, market or trading facility on which the securities are traded, or in private transactions, or using a combination of these methods. These sales or dispositions may be at fixed prices, at prevailing market prices or at negotiated prices. The selling shareholder may use any one or more of the following methods when selling, transferring or otherwise disposing of its securities or interests therein:</w:t>
      </w:r>
    </w:p>
    <w:p>
      <w:pPr>
        <w:spacing w:after="0" w:line="121" w:lineRule="exact"/>
        <w:rPr>
          <w:sz w:val="20"/>
          <w:szCs w:val="20"/>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57" w:lineRule="exact"/>
        <w:rPr>
          <w:rFonts w:ascii="Times New Roman" w:cs="Times New Roman" w:eastAsia="Times New Roman" w:hAnsi="Times New Roman"/>
          <w:sz w:val="18"/>
          <w:szCs w:val="18"/>
          <w:color w:val="auto"/>
        </w:rPr>
      </w:pPr>
    </w:p>
    <w:p>
      <w:pPr>
        <w:ind w:left="1320" w:right="61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that may act solely as agents;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57"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made after the effectiveness of the registration statement of which this prospectus forms a part;</w:t>
      </w:r>
    </w:p>
    <w:p>
      <w:pPr>
        <w:spacing w:after="0" w:line="94"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shareholder to sell a specified number of such securities at a stipulated price per security;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 on a firm commitment or best efforts basis;</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ind w:left="460" w:right="559" w:firstLine="432"/>
        <w:spacing w:after="0" w:line="274" w:lineRule="auto"/>
        <w:rPr>
          <w:sz w:val="20"/>
          <w:szCs w:val="20"/>
          <w:color w:val="auto"/>
        </w:rPr>
      </w:pPr>
      <w:r>
        <w:rPr>
          <w:rFonts w:ascii="Times New Roman" w:cs="Times New Roman" w:eastAsia="Times New Roman" w:hAnsi="Times New Roman"/>
          <w:sz w:val="17"/>
          <w:szCs w:val="17"/>
          <w:color w:val="auto"/>
        </w:rPr>
        <w:t>Broker-dealers engaged by the selling shareholder may arrange for other broker-dealers to participate in sales. Broker-dealers may receive commissions or discounts from the selling shareholder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Financial Industry Regulatory Authority (“FINRA”) Rule 2121, and in the case of a principal transaction a markup or markdown in compliance with FINRA Rule 2121.</w:t>
      </w:r>
    </w:p>
    <w:p>
      <w:pPr>
        <w:spacing w:after="0" w:line="105"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selling shareholder,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The selling shareholder may be deemed to be an “underwriter.”</w:t>
      </w:r>
    </w:p>
    <w:p>
      <w:pPr>
        <w:spacing w:after="0" w:line="111"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At the time a particular offering of the ordinary shares is made, a prospectus supplement, if required, will be distributed, which will set forth the aggregate amount of</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79"/>
        <w:spacing w:after="0" w:line="289" w:lineRule="auto"/>
        <w:rPr>
          <w:sz w:val="20"/>
          <w:szCs w:val="20"/>
          <w:color w:val="auto"/>
        </w:rPr>
      </w:pPr>
      <w:r>
        <w:rPr>
          <w:rFonts w:ascii="Times New Roman" w:cs="Times New Roman" w:eastAsia="Times New Roman" w:hAnsi="Times New Roman"/>
          <w:sz w:val="17"/>
          <w:szCs w:val="17"/>
          <w:color w:val="auto"/>
        </w:rPr>
        <w:t>the ordinary shares being offered and the terms of the offering, including the name or names of any broker-dealers or agents, any discounts, commissions and other terms constituting compensation from the selling shareholder and any discounts, commissions or concessions allowed or re-allowed or paid to broker-dealers.</w:t>
      </w:r>
    </w:p>
    <w:p>
      <w:pPr>
        <w:spacing w:after="0" w:line="90"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shareholder may enter into hedging transactions with broker-dealers or other financial institutions, which may in turn engage in short sales of the securities in the course of hedging the positions they assume. The selling shareholder may also sell securities short after the effectiveness of the registration statement of which this prospectus forms a part and deliver these securities to close out its short positions, or loan or pledge the securities to broker-dealers that in turn may sell these securities. The selling shareholder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27"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selling shareholder may pledge or grant a security interest in some or all of the ordinary shares owned by it and, if the selling shareholder defaults in the performance of its secured obligations, the pledgees or secured parties may offer and sell the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 also may transfer and donate the ordinary shares in other circumstances in which case the transferees, donees, pledgees or other successors in interest will be the selling beneficial owners for purposes of this prospectus.</w:t>
      </w:r>
    </w:p>
    <w:p>
      <w:pPr>
        <w:spacing w:after="0" w:line="111" w:lineRule="exact"/>
        <w:rPr>
          <w:sz w:val="20"/>
          <w:szCs w:val="20"/>
          <w:color w:val="auto"/>
        </w:rPr>
      </w:pPr>
    </w:p>
    <w:p>
      <w:pPr>
        <w:ind w:left="460" w:right="859" w:firstLine="432"/>
        <w:spacing w:after="0" w:line="266"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shareholder against certain losses, claims, damages and liabilities, including liabilities under the Securities Act.</w:t>
      </w:r>
    </w:p>
    <w:p>
      <w:pPr>
        <w:spacing w:after="0" w:line="108"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Any securities covered by this prospectus that qualify for sale pursuant to Rule 144 under the Securities Act may be sold under Rule 144 rather than under this prospectus.</w:t>
      </w:r>
    </w:p>
    <w:p>
      <w:pPr>
        <w:spacing w:after="0" w:line="9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agreed, pursuant to the Registration Rights Agreement under which the selling shareholder is making a “demand registration” in respect of the securities covered by this prospectus, to keep the registration statement of which this prospectus is a part effective until the earlier of (i) the date when all securities covered by this prospectus have been sold and (ii) 40 days from the effective date of the registration statement of which this prospectus is a part. See “Selling Shareholder — Material Relationships with the Selling Shareholder — Registration Rights Agreement.”</w:t>
      </w:r>
    </w:p>
    <w:p>
      <w:pPr>
        <w:spacing w:after="0" w:line="106"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ordinary shares for the applicable restricted period, as defined in Regulation M, prior to and during the distribution. In addition, the selling shareholder will be subject to applicable provisions of the Exchange Act and the rules and regulations thereunder, including Regulation M.</w:t>
      </w:r>
    </w:p>
    <w:p>
      <w:pPr>
        <w:spacing w:after="0" w:line="116"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94"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perform services for us, in the ordinary course of business for which they receive compensation.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expect that our expenses in connection with this offering will be as follows:</w:t>
      </w:r>
    </w:p>
    <w:p>
      <w:pPr>
        <w:spacing w:after="0" w:line="241" w:lineRule="exact"/>
        <w:rPr>
          <w:sz w:val="20"/>
          <w:szCs w:val="20"/>
          <w:color w:val="auto"/>
        </w:rPr>
      </w:pPr>
    </w:p>
    <w:p>
      <w:pPr>
        <w:ind w:left="460"/>
        <w:spacing w:after="0"/>
        <w:tabs>
          <w:tab w:leader="none" w:pos="7620" w:val="left"/>
        </w:tabs>
        <w:rPr>
          <w:sz w:val="20"/>
          <w:szCs w:val="20"/>
          <w:color w:val="auto"/>
        </w:rPr>
      </w:pPr>
      <w:r>
        <w:rPr>
          <w:rFonts w:ascii="Times New Roman" w:cs="Times New Roman" w:eastAsia="Times New Roman" w:hAnsi="Times New Roman"/>
          <w:sz w:val="16"/>
          <w:szCs w:val="16"/>
          <w:b w:val="1"/>
          <w:bCs w:val="1"/>
          <w:color w:val="auto"/>
        </w:rPr>
        <w:t>Expenses</w:t>
      </w:r>
      <w:r>
        <w:rPr>
          <w:sz w:val="20"/>
          <w:szCs w:val="20"/>
          <w:color w:val="auto"/>
        </w:rPr>
        <w:tab/>
      </w:r>
      <w:r>
        <w:rPr>
          <w:rFonts w:ascii="Times New Roman" w:cs="Times New Roman" w:eastAsia="Times New Roman" w:hAnsi="Times New Roman"/>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U.S. Securities and Exchange Commission registration fee</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Miscellaneous costs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388" w:hanging="388"/>
        <w:spacing w:after="0"/>
        <w:tabs>
          <w:tab w:leader="none" w:pos="3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28,445.48</w:t>
      </w:r>
    </w:p>
    <w:p>
      <w:pPr>
        <w:spacing w:after="0" w:line="138"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perscript"/>
        </w:rPr>
        <w:t>)</w:t>
      </w:r>
    </w:p>
    <w:p>
      <w:pPr>
        <w:spacing w:after="0" w:line="54"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perscript"/>
        </w:rPr>
        <w:t>)</w:t>
      </w:r>
    </w:p>
    <w:p>
      <w:pPr>
        <w:spacing w:after="0" w:line="54"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perscript"/>
        </w:rPr>
        <w:t>)</w:t>
      </w:r>
    </w:p>
    <w:p>
      <w:pPr>
        <w:spacing w:after="0" w:line="38"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02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ind w:left="1028" w:hanging="1028"/>
        <w:spacing w:after="0" w:line="189" w:lineRule="auto"/>
        <w:tabs>
          <w:tab w:leader="none" w:pos="1028" w:val="left"/>
        </w:tabs>
        <w:numPr>
          <w:ilvl w:val="0"/>
          <w:numId w:val="24"/>
        </w:numPr>
        <w:rPr>
          <w:rFonts w:ascii="Times New Roman" w:cs="Times New Roman" w:eastAsia="Times New Roman" w:hAnsi="Times New Roman"/>
          <w:sz w:val="15"/>
          <w:szCs w:val="15"/>
          <w:b w:val="1"/>
          <w:bCs w:val="1"/>
          <w:color w:val="auto"/>
          <w:vertAlign w:val="subscript"/>
        </w:rPr>
      </w:pPr>
      <w:r>
        <w:rPr>
          <w:rFonts w:ascii="Times New Roman" w:cs="Times New Roman" w:eastAsia="Times New Roman" w:hAnsi="Times New Roman"/>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029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101600</wp:posOffset>
            </wp:positionV>
            <wp:extent cx="7029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919" w:hanging="426"/>
        <w:spacing w:after="0" w:line="298" w:lineRule="auto"/>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fees are calculated based on the securities offered and the number of offerings and accordingly cannot be estimated at this time.</w:t>
      </w:r>
    </w:p>
    <w:p>
      <w:pPr>
        <w:spacing w:after="0" w:line="9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will pay fees and expenses incurred by us incident to the registration of the securities and offerings of particular securities. Each prospectus supplement describing an offering of securities will reflect the estimated expenses related to the offering of securities under that prospectus supplement. If any shares are sold, the selling shareholder will pay any underwriting or brokerage commissions and/or similar charges incurred for the sale of such shares.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The validity of the ordinary shares and certain other matters of Singapore law will be passed upon for us by Allen &amp; Gledhill LLP. Certain matters with respect to U.S. federal and New York State law will be passed upon for us by Davis Polk &amp; Wardwell LLP,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consolidated financial statements of Karooooo Ltd. at February 29, 2024, and for each of the</w:t>
      </w:r>
    </w:p>
    <w:p>
      <w:pPr>
        <w:spacing w:after="0" w:line="27"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two years in the period ended February 29, 2024,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21"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Karooooo Ltd. for the year ended February 28, 2022, have been incorporated by reference herein in reliance upon the report of KPMG LLP, independent registered public accounting firm, incorporated by reference herein, and upon the authority of said firm as experts in accounting and auditing.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CIVIL LIABILITIES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the Republic of Singapore, and certain of our officers and directors are residents outside the United States. In addition, a significant portion of our operations and business is conducted, and a substantial portion of our assets are located, outside the United States.</w:t>
      </w:r>
    </w:p>
    <w:p>
      <w:pPr>
        <w:spacing w:after="0" w:line="108" w:lineRule="exact"/>
        <w:rPr>
          <w:sz w:val="20"/>
          <w:szCs w:val="20"/>
          <w:color w:val="auto"/>
        </w:rPr>
      </w:pPr>
    </w:p>
    <w:p>
      <w:pPr>
        <w:jc w:val="both"/>
        <w:ind w:left="460" w:right="579" w:firstLine="432"/>
        <w:spacing w:after="0" w:line="244" w:lineRule="auto"/>
        <w:rPr>
          <w:sz w:val="20"/>
          <w:szCs w:val="20"/>
          <w:color w:val="auto"/>
        </w:rPr>
      </w:pPr>
      <w:r>
        <w:rPr>
          <w:rFonts w:ascii="Times New Roman" w:cs="Times New Roman" w:eastAsia="Times New Roman" w:hAnsi="Times New Roman"/>
          <w:sz w:val="18"/>
          <w:szCs w:val="18"/>
          <w:color w:val="auto"/>
        </w:rPr>
        <w:t>Although we are incorporated outside the United States, we have agreed to accept service of process in the United States through Cogency Global Inc., our agent designated for that purpose,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 Nevertheless, since a substantial portion of the assets owned by us are located outside the United States, any judgment obtained in the United States against us may not be collectible within the United States.</w:t>
      </w:r>
    </w:p>
    <w:p>
      <w:pPr>
        <w:spacing w:after="0" w:line="130"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An investor may or may not be able to commence an original action against us or our directors or officers, or any person, before the courts outside the United States to enforce liabilities under United States federal securities laws, depending on the nature of the action.</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is uncertainty as to whether judgments of courts in the United States, based upon the civil liability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provisions of the securities laws of the United States or any state or territory of the United States, will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recognized or enforced by the Singapore courts, and there is doubt as to whether the Singapore courts will enter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judgments in original actions brought in the Singapore courts based solely on the civil liability provisions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these securities laws. An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xml:space="preserve"> final and conclusive judgment in the federal or state courts of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United States under which a fixed or ascertainable sum of money is payable may generally be enforced as a debt</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Singapore courts under the common law as long as it is established by the Singapore courts applying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Singapore conflicts of law rules that each of the United States courts and the Singapore courts has the requisite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jurisdiction over the judgment debtor. However, the Singapore courts are unlikely to enforce a foreign judgment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 the foreign judgment is inconsistent with a prior local judgment that is binding on the same parties; (b)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enforcement of the foreign judgment would contravene the public policy of Singapore; (c) the proceedings in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which the foreign judgment was obtained were contrary to principles of natural justice; (d) the foreign judgment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was obtained by fraud; or (e) the enforcement of the foreign judgment amounts to the direct or indirect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enforcement of a foreign penal, revenue or other public law.</w:t>
      </w:r>
    </w:p>
    <w:p>
      <w:pPr>
        <w:spacing w:after="0" w:line="139"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 which permit punitive damages against us and our directors or executive officers, we are unaware of any decision by the Singapore courts which has considered the specific issue of whether a judgment of a United States court based on such civil liability provisions of the securities laws of the United States or any state or territory of the United States is enforceable in Singapore.</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In addition, holders of book-entry interests in our ordinary shares may be required to be registered as shareholders in our register of members in order to have standing to bring a shareholder suit and, if successful, to enforce a foreign judgment against us, our directors or our executive officers in the Singapore courts, subject to applicable Singapore laws. A holder of book-entry interests in our ordinary shares may become our registered shareholder by exchanging its interest in our ordinary shares for certificated ordinary shares and being registered in our register of members. The administrative process of becoming a registered shareholder could result in delays prejudicial to any legal proceeding or enforcement action.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21"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more detail about us and the securities that may be offered by this prospectus, you may examine the registration statement on Form F-3 and the exhibits filed with it at the website provided in the previous paragraph.</w:t>
      </w:r>
    </w:p>
    <w:p>
      <w:pPr>
        <w:spacing w:after="0" w:line="118" w:lineRule="exact"/>
        <w:rPr>
          <w:sz w:val="20"/>
          <w:szCs w:val="20"/>
          <w:color w:val="auto"/>
        </w:rPr>
      </w:pPr>
    </w:p>
    <w:p>
      <w:pPr>
        <w:jc w:val="both"/>
        <w:ind w:left="460" w:right="939" w:firstLine="432"/>
        <w:spacing w:after="0" w:line="267"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The reference to our website is an inactive textual reference only, and information contained therein or connected thereto is not incorporated into this prospectus or the registration statement of which it forms a part.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 this prospectus, which means that we disclose important information to you by referring you to another document filed separately with the SEC. The information incorporated by reference in this prospectus is considered to be a part of this prospectus.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This prospectus incorporates by reference the document listed below:</w:t>
      </w:r>
    </w:p>
    <w:p>
      <w:pPr>
        <w:spacing w:after="0" w:line="121" w:lineRule="exact"/>
        <w:rPr>
          <w:sz w:val="20"/>
          <w:szCs w:val="20"/>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6">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February 29, 2024.</w:t>
      </w:r>
    </w:p>
    <w:p>
      <w:pPr>
        <w:spacing w:after="0" w:line="15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All subsequent Annual Reports on Form 20-F that we file with the SEC pursuant to the Exchange Act (excluding any information or documents deemed to be furnished and not filed with the SEC), after the date hereof and prior to the completion or termination of this offering, shall be incorporated by reference. We may incorporate by reference any reports on Form 6-K that we furnish to the SEC (i) after the filing of the registration statement of which this prospectus forms a part and prior to the effectiveness of such registration statement and (ii) after the date of this prospectus and prior to the completion or termination of this offering, in each case, that we specifically identify in such form as being incorporated by reference into this prospectus. In all cases, you should rely on the later information over different information included in this prospectus or any accompanying prospectus supplement.</w:t>
      </w:r>
    </w:p>
    <w:p>
      <w:pPr>
        <w:spacing w:after="0" w:line="107"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 xml:space="preserve">You can obtain any of the filings incorporated by reference in this prospectus through us or from the SEC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Our filings with the SEC, including our Annual Reports on</w:t>
      </w:r>
    </w:p>
    <w:p>
      <w:pPr>
        <w:ind w:left="460" w:right="759"/>
        <w:spacing w:after="0" w:line="252" w:lineRule="auto"/>
        <w:rPr>
          <w:sz w:val="20"/>
          <w:szCs w:val="20"/>
          <w:color w:val="auto"/>
        </w:rPr>
      </w:pPr>
      <w:r>
        <w:rPr>
          <w:rFonts w:ascii="Times New Roman" w:cs="Times New Roman" w:eastAsia="Times New Roman" w:hAnsi="Times New Roman"/>
          <w:sz w:val="18"/>
          <w:szCs w:val="18"/>
          <w:color w:val="auto"/>
        </w:rPr>
        <w:t>Form 20-F and Reports on Form 6-K and exhibits incorporated in and amendments to those reports, are also available free of charge on our website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us at the following address: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Karooooo Ltd.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 Kallang Junction #06-05/06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Singapore 339274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IR@karooooo.com</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281940</wp:posOffset>
            </wp:positionV>
            <wp:extent cx="514350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324485</wp:posOffset>
            </wp:positionV>
            <wp:extent cx="514350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762000</wp:posOffset>
            </wp:positionV>
            <wp:extent cx="2417445" cy="5918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417445" cy="59182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KAROOOOO LTD.</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6,000,000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431165</wp:posOffset>
            </wp:positionV>
            <wp:extent cx="514350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474345</wp:posOffset>
            </wp:positionV>
            <wp:extent cx="514350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748665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148" w:lineRule="exact"/>
        <w:rPr>
          <w:sz w:val="20"/>
          <w:szCs w:val="20"/>
          <w:color w:val="auto"/>
        </w:rPr>
      </w:pPr>
    </w:p>
    <w:p>
      <w:pPr>
        <w:ind w:left="460" w:right="499" w:firstLine="432"/>
        <w:spacing w:after="0" w:line="252"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p>
      <w:pPr>
        <w:spacing w:after="0" w:line="130" w:lineRule="exact"/>
        <w:rPr>
          <w:sz w:val="20"/>
          <w:szCs w:val="20"/>
          <w:color w:val="auto"/>
        </w:rPr>
      </w:pPr>
    </w:p>
    <w:p>
      <w:pPr>
        <w:ind w:left="460" w:right="599" w:firstLine="432"/>
        <w:spacing w:after="0" w:line="253" w:lineRule="auto"/>
        <w:rPr>
          <w:sz w:val="20"/>
          <w:szCs w:val="20"/>
          <w:color w:val="auto"/>
        </w:rPr>
      </w:pPr>
      <w:r>
        <w:rPr>
          <w:rFonts w:ascii="Times New Roman" w:cs="Times New Roman" w:eastAsia="Times New Roman" w:hAnsi="Times New Roman"/>
          <w:sz w:val="18"/>
          <w:szCs w:val="18"/>
          <w:color w:val="auto"/>
        </w:rPr>
        <w:t>Under Section 172 of the Singapore Companies Act, any provision exempting or indemnifying the officers of a company (including directors) against any liability that would otherwise attach to them in connection with any negligence, default, breach of duty or breach of trust in relation to the company is void. However, a company is not prohibited from: (a) as provided in Section 172A of the Singapore Companies Act, purchasing and maintaining for any such individual insurance against liability incurred by him or her in connection with any negligence, default, breach of duty or breach of trust in relation to the company; or (b) as provided in Section 172B of the Singapore Companies Act, indemnifying the individual against liability incurred by him or her to a person other than the company except when the indemnity is against any liability</w:t>
      </w:r>
    </w:p>
    <w:p>
      <w:pPr>
        <w:spacing w:after="0" w:line="1" w:lineRule="exact"/>
        <w:rPr>
          <w:sz w:val="20"/>
          <w:szCs w:val="20"/>
          <w:color w:val="auto"/>
        </w:rPr>
      </w:pPr>
    </w:p>
    <w:p>
      <w:pPr>
        <w:ind w:left="460" w:right="659" w:hanging="6"/>
        <w:spacing w:after="0" w:line="265" w:lineRule="auto"/>
        <w:tabs>
          <w:tab w:leader="none" w:pos="67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individual to pay a fine in criminal proceedings, (ii) of the individual to pay a penalty to a regulatory authority in respect of non-compliance with any requirements of a regulatory nature (howsoever arising),</w:t>
      </w:r>
    </w:p>
    <w:p>
      <w:pPr>
        <w:ind w:left="460" w:right="499" w:hanging="6"/>
        <w:spacing w:after="0" w:line="253" w:lineRule="auto"/>
        <w:tabs>
          <w:tab w:leader="none" w:pos="7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by the individual in defending criminal proceedings in which he or she is convicted, (iv) incurred by the individual in defending civil proceedings brought by the company or a related company in which judgment is given against him or her, or (v) incurred by the individual in connection with an application for relief under Section 76A(13) or Section 391 of the Singapore Companies Act in which the court refuses to grant him or her relief.</w:t>
      </w:r>
    </w:p>
    <w:p>
      <w:pPr>
        <w:spacing w:after="0" w:line="119"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our officers and directors. These indemnification agreements provide our officers and directors with indemnification to the maximum extent permitted by the Singapore Companies Act, save that the Company shall not provide any indemnity (to any extent) to a director or an officer against any liability attaching to him in connection with any negligence, default, breach of duty or breach of trust in relation to the Company save for the circumstances as permitted pursuant to Section 172A and Section 172B of the Singapore Companies Act.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documents are filed as part of this registration statement:</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tc>
      </w:tr>
      <w:tr>
        <w:trPr>
          <w:trHeight w:val="46"/>
        </w:trPr>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31"/>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80" w:type="dxa"/>
            <w:vAlign w:val="bottom"/>
            <w:gridSpan w:val="10"/>
          </w:tcPr>
          <w:p>
            <w:pPr>
              <w:ind w:left="1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Form</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47"/>
        </w:trPr>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57"/>
        </w:trPr>
        <w:tc>
          <w:tcPr>
            <w:tcW w:w="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5"/>
                <w:szCs w:val="15"/>
                <w:color w:val="auto"/>
              </w:rPr>
            </w:pPr>
          </w:p>
        </w:tc>
        <w:tc>
          <w:tcPr>
            <w:tcW w:w="3320" w:type="dxa"/>
            <w:vAlign w:val="bottom"/>
            <w:gridSpan w:val="12"/>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Constitution of Karooooo Ltd.</w:t>
              </w:r>
            </w:hyperlink>
          </w:p>
        </w:tc>
        <w:tc>
          <w:tcPr>
            <w:tcW w:w="6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5"/>
              </w:rPr>
              <w:t>F-1</w:t>
            </w:r>
          </w:p>
        </w:tc>
        <w:tc>
          <w:tcPr>
            <w:tcW w:w="860" w:type="dxa"/>
            <w:vAlign w:val="bottom"/>
          </w:tcPr>
          <w:p>
            <w:pPr>
              <w:jc w:val="right"/>
              <w:ind w:right="175"/>
              <w:spacing w:after="0" w:line="176" w:lineRule="exact"/>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5"/>
                <w:szCs w:val="15"/>
                <w:color w:val="auto"/>
              </w:rPr>
            </w:pPr>
          </w:p>
        </w:tc>
        <w:tc>
          <w:tcPr>
            <w:tcW w:w="800" w:type="dxa"/>
            <w:vAlign w:val="bottom"/>
          </w:tcPr>
          <w:p>
            <w:pPr>
              <w:jc w:val="right"/>
              <w:ind w:right="195"/>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February 26, 2021</w:t>
            </w:r>
          </w:p>
        </w:tc>
      </w:tr>
      <w:tr>
        <w:trPr>
          <w:trHeight w:val="237"/>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top w:val="single" w:sz="8" w:color="0000EE"/>
            </w:tcBorders>
          </w:tcPr>
          <w:p>
            <w:pPr>
              <w:spacing w:after="0"/>
              <w:rPr>
                <w:sz w:val="20"/>
                <w:szCs w:val="20"/>
                <w:color w:val="auto"/>
              </w:rPr>
            </w:pPr>
          </w:p>
        </w:tc>
        <w:tc>
          <w:tcPr>
            <w:tcW w:w="116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253635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0"/>
        </w:trPr>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5"/>
                <w:szCs w:val="15"/>
                <w:color w:val="auto"/>
              </w:rPr>
            </w:pPr>
          </w:p>
        </w:tc>
        <w:tc>
          <w:tcPr>
            <w:tcW w:w="33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Allen &amp; Gledhill LLP</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0000EE"/>
            </w:tcBorders>
            <w:shd w:val="clear" w:color="auto" w:fill="CCEEFF"/>
          </w:tcPr>
          <w:p>
            <w:pPr>
              <w:spacing w:after="0"/>
              <w:rPr>
                <w:sz w:val="7"/>
                <w:szCs w:val="7"/>
                <w:color w:val="auto"/>
              </w:rPr>
            </w:pPr>
          </w:p>
        </w:tc>
        <w:tc>
          <w:tcPr>
            <w:tcW w:w="116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380" w:type="dxa"/>
            <w:vAlign w:val="bottom"/>
            <w:tcBorders>
              <w:top w:val="single" w:sz="8" w:color="CCEEFF"/>
            </w:tcBorders>
            <w:shd w:val="clear" w:color="auto" w:fill="CCEEFF"/>
          </w:tcPr>
          <w:p>
            <w:pPr>
              <w:spacing w:after="0"/>
              <w:rPr>
                <w:sz w:val="7"/>
                <w:szCs w:val="7"/>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5"/>
                <w:szCs w:val="15"/>
                <w:color w:val="auto"/>
              </w:rPr>
            </w:pPr>
          </w:p>
        </w:tc>
        <w:tc>
          <w:tcPr>
            <w:tcW w:w="324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w w:val="98"/>
              </w:rPr>
              <w:t>Consent of Ernst &amp; Young LLP, independent</w:t>
            </w:r>
          </w:p>
        </w:tc>
        <w:tc>
          <w:tcPr>
            <w:tcW w:w="8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registered public accounting firm</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5"/>
                <w:szCs w:val="15"/>
                <w:color w:val="auto"/>
              </w:rPr>
            </w:pPr>
          </w:p>
        </w:tc>
        <w:tc>
          <w:tcPr>
            <w:tcW w:w="33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KPMG LLP, independent</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registered public accounting firm</w:t>
            </w:r>
          </w:p>
        </w:tc>
        <w:tc>
          <w:tcPr>
            <w:tcW w:w="660" w:type="dxa"/>
            <w:vAlign w:val="bottom"/>
            <w:tcBorders>
              <w:top w:val="single" w:sz="8" w:color="CCEEFF"/>
            </w:tcBorders>
            <w:gridSpan w:val="5"/>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5"/>
                <w:szCs w:val="15"/>
                <w:color w:val="auto"/>
              </w:rPr>
            </w:pPr>
          </w:p>
        </w:tc>
        <w:tc>
          <w:tcPr>
            <w:tcW w:w="33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Consent of Allen &amp; Gledhill LLP (included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in Exhibit 5.1)</w:t>
            </w:r>
          </w:p>
        </w:tc>
        <w:tc>
          <w:tcPr>
            <w:tcW w:w="1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8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Powers of attorney (included on signature</w:t>
            </w:r>
          </w:p>
        </w:tc>
        <w:tc>
          <w:tcPr>
            <w:tcW w:w="300" w:type="dxa"/>
            <w:vAlign w:val="bottom"/>
            <w:tcBorders>
              <w:bottom w:val="single" w:sz="8" w:color="CCEEFF"/>
            </w:tcBorders>
            <w:gridSpan w:val="4"/>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32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page to the Registration Statement)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r>
    </w:tbl>
    <w:p>
      <w:pPr>
        <w:ind w:left="1380" w:hanging="926"/>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959" w:hanging="426"/>
        <w:spacing w:after="0" w:line="298" w:lineRule="auto"/>
        <w:tabs>
          <w:tab w:leader="none" w:pos="85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if necessary, by amendment or as an exhibit to a document to be incorporated by reference into this registration statement.</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undersigned hereby undertakes:</w:t>
      </w:r>
    </w:p>
    <w:p>
      <w:pPr>
        <w:spacing w:after="0" w:line="158" w:lineRule="exact"/>
        <w:rPr>
          <w:sz w:val="20"/>
          <w:szCs w:val="20"/>
          <w:color w:val="auto"/>
        </w:rPr>
      </w:pPr>
    </w:p>
    <w:p>
      <w:pPr>
        <w:ind w:left="1320" w:right="479" w:hanging="434"/>
        <w:spacing w:after="0" w:line="282" w:lineRule="auto"/>
        <w:tabs>
          <w:tab w:leader="none" w:pos="13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80" w:lineRule="exact"/>
        <w:rPr>
          <w:rFonts w:ascii="Times New Roman" w:cs="Times New Roman" w:eastAsia="Times New Roman" w:hAnsi="Times New Roman"/>
          <w:sz w:val="18"/>
          <w:szCs w:val="18"/>
          <w:color w:val="auto"/>
        </w:rPr>
      </w:pPr>
    </w:p>
    <w:p>
      <w:pPr>
        <w:ind w:left="1760" w:hanging="442"/>
        <w:spacing w:after="0"/>
        <w:tabs>
          <w:tab w:leader="none" w:pos="1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57" w:lineRule="exact"/>
        <w:rPr>
          <w:rFonts w:ascii="Times New Roman" w:cs="Times New Roman" w:eastAsia="Times New Roman" w:hAnsi="Times New Roman"/>
          <w:sz w:val="18"/>
          <w:szCs w:val="18"/>
          <w:color w:val="auto"/>
        </w:rPr>
      </w:pPr>
    </w:p>
    <w:p>
      <w:pPr>
        <w:ind w:left="1760" w:right="459" w:hanging="442"/>
        <w:spacing w:after="0" w:line="253" w:lineRule="auto"/>
        <w:tabs>
          <w:tab w:leader="none" w:pos="176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124" w:lineRule="exact"/>
        <w:rPr>
          <w:rFonts w:ascii="Times New Roman" w:cs="Times New Roman" w:eastAsia="Times New Roman" w:hAnsi="Times New Roman"/>
          <w:sz w:val="18"/>
          <w:szCs w:val="18"/>
          <w:color w:val="auto"/>
        </w:rPr>
      </w:pPr>
    </w:p>
    <w:p>
      <w:pPr>
        <w:ind w:left="1760" w:right="839" w:hanging="442"/>
        <w:spacing w:after="0" w:line="266" w:lineRule="auto"/>
        <w:tabs>
          <w:tab w:leader="none" w:pos="176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5" w:lineRule="exact"/>
        <w:rPr>
          <w:sz w:val="20"/>
          <w:szCs w:val="20"/>
          <w:color w:val="auto"/>
        </w:rPr>
      </w:pPr>
    </w:p>
    <w:p>
      <w:pPr>
        <w:ind w:left="1320" w:right="519"/>
        <w:spacing w:after="0" w:line="257" w:lineRule="auto"/>
        <w:rPr>
          <w:sz w:val="20"/>
          <w:szCs w:val="20"/>
          <w:color w:val="auto"/>
        </w:rPr>
      </w:pPr>
      <w:r>
        <w:rPr>
          <w:rFonts w:ascii="Times New Roman" w:cs="Times New Roman" w:eastAsia="Times New Roman" w:hAnsi="Times New Roman"/>
          <w:sz w:val="18"/>
          <w:szCs w:val="18"/>
          <w:color w:val="auto"/>
        </w:rPr>
        <w:t>provided, however, that paragraphs (a)(1), (a)(2) and (a)(3) of this section do not apply if the information required to be included in a post-effective amendment by those paragraphs is contained in reports filed with or furnished to the SEC by the registrant pursuant to Section 13 or</w:t>
      </w:r>
    </w:p>
    <w:p>
      <w:pPr>
        <w:spacing w:after="0" w:line="1" w:lineRule="exact"/>
        <w:rPr>
          <w:sz w:val="20"/>
          <w:szCs w:val="20"/>
          <w:color w:val="auto"/>
        </w:rPr>
      </w:pPr>
    </w:p>
    <w:p>
      <w:pPr>
        <w:jc w:val="both"/>
        <w:ind w:left="1320" w:right="659"/>
        <w:spacing w:after="0" w:line="255" w:lineRule="auto"/>
        <w:rPr>
          <w:sz w:val="20"/>
          <w:szCs w:val="20"/>
          <w:color w:val="auto"/>
        </w:rPr>
      </w:pPr>
      <w:r>
        <w:rPr>
          <w:rFonts w:ascii="Times New Roman" w:cs="Times New Roman" w:eastAsia="Times New Roman" w:hAnsi="Times New Roman"/>
          <w:sz w:val="18"/>
          <w:szCs w:val="18"/>
          <w:color w:val="auto"/>
        </w:rPr>
        <w:t>Section 15(d) of the Exchange Act that are incorporated by reference in the registration statement, or is contained in a form of prospectus filed pursuant to Rule 424(b) that is part of the registration statement.</w:t>
      </w:r>
    </w:p>
    <w:p>
      <w:pPr>
        <w:spacing w:after="0" w:line="118" w:lineRule="exact"/>
        <w:rPr>
          <w:sz w:val="20"/>
          <w:szCs w:val="20"/>
          <w:color w:val="auto"/>
        </w:rPr>
      </w:pPr>
    </w:p>
    <w:p>
      <w:pPr>
        <w:ind w:left="1320" w:right="759" w:hanging="434"/>
        <w:spacing w:after="0" w:line="261" w:lineRule="auto"/>
        <w:tabs>
          <w:tab w:leader="none" w:pos="13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819" w:hanging="434"/>
        <w:spacing w:after="0" w:line="282" w:lineRule="auto"/>
        <w:tabs>
          <w:tab w:leader="none" w:pos="13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1320" w:right="659" w:hanging="434"/>
        <w:spacing w:after="0" w:line="254" w:lineRule="auto"/>
        <w:tabs>
          <w:tab w:leader="none" w:pos="12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w:t>
      </w:r>
    </w:p>
    <w:p>
      <w:pPr>
        <w:spacing w:after="0" w:line="3" w:lineRule="exact"/>
        <w:rPr>
          <w:rFonts w:ascii="Times New Roman" w:cs="Times New Roman" w:eastAsia="Times New Roman" w:hAnsi="Times New Roman"/>
          <w:sz w:val="18"/>
          <w:szCs w:val="18"/>
          <w:color w:val="auto"/>
        </w:rPr>
      </w:pPr>
    </w:p>
    <w:p>
      <w:pPr>
        <w:ind w:left="1320" w:right="5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Exchange Act that are incorporated by reference in the Form F-3;</w:t>
      </w:r>
    </w:p>
    <w:p>
      <w:pPr>
        <w:spacing w:after="0" w:line="12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44" w:lineRule="exact"/>
        <w:rPr>
          <w:sz w:val="20"/>
          <w:szCs w:val="20"/>
          <w:color w:val="auto"/>
        </w:rPr>
      </w:pPr>
    </w:p>
    <w:p>
      <w:pPr>
        <w:ind w:left="1760" w:right="499" w:hanging="442"/>
        <w:spacing w:after="0" w:line="266" w:lineRule="auto"/>
        <w:tabs>
          <w:tab w:leader="none" w:pos="171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ind w:left="1760" w:right="479" w:hanging="442"/>
        <w:spacing w:after="0" w:line="252" w:lineRule="auto"/>
        <w:tabs>
          <w:tab w:leader="none" w:pos="171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125" w:lineRule="exact"/>
        <w:rPr>
          <w:rFonts w:ascii="Times New Roman" w:cs="Times New Roman" w:eastAsia="Times New Roman" w:hAnsi="Times New Roman"/>
          <w:sz w:val="18"/>
          <w:szCs w:val="18"/>
          <w:color w:val="auto"/>
        </w:rPr>
      </w:pPr>
    </w:p>
    <w:p>
      <w:pPr>
        <w:ind w:left="1320" w:right="459" w:hanging="434"/>
        <w:spacing w:after="0" w:line="255" w:lineRule="auto"/>
        <w:tabs>
          <w:tab w:leader="none" w:pos="12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7" w:lineRule="exact"/>
        <w:rPr>
          <w:rFonts w:ascii="Times New Roman" w:cs="Times New Roman" w:eastAsia="Times New Roman" w:hAnsi="Times New Roman"/>
          <w:sz w:val="18"/>
          <w:szCs w:val="18"/>
          <w:color w:val="auto"/>
        </w:rPr>
      </w:pPr>
    </w:p>
    <w:p>
      <w:pPr>
        <w:ind w:left="1760" w:right="579" w:hanging="442"/>
        <w:spacing w:after="0" w:line="282" w:lineRule="auto"/>
        <w:tabs>
          <w:tab w:leader="none" w:pos="171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1760" w:right="499" w:hanging="442"/>
        <w:spacing w:after="0" w:line="282" w:lineRule="auto"/>
        <w:tabs>
          <w:tab w:leader="none" w:pos="171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ind w:left="1760" w:right="639" w:hanging="442"/>
        <w:spacing w:after="0" w:line="266" w:lineRule="auto"/>
        <w:tabs>
          <w:tab w:leader="none" w:pos="171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8"/>
          <w:szCs w:val="18"/>
          <w:color w:val="auto"/>
        </w:rPr>
      </w:pPr>
    </w:p>
    <w:p>
      <w:pPr>
        <w:ind w:left="1760" w:right="559" w:hanging="442"/>
        <w:spacing w:after="0" w:line="282" w:lineRule="auto"/>
        <w:tabs>
          <w:tab w:leader="none" w:pos="171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The undersigned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0"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left="460" w:right="819" w:firstLine="432"/>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“Securities Act”), the registrant certifies that it has reasonable grounds to believe that it meets all of the requirements for filing on Form F-3 and has duly caused this registration statement to be signed on its behalf by the undersigned, thereunto duly authorized, in Singapore, on July 11, 2024.</w:t>
      </w:r>
    </w:p>
    <w:p>
      <w:pPr>
        <w:spacing w:after="0" w:line="15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Karooooo Ltd.</w:t>
      </w:r>
    </w:p>
    <w:p>
      <w:pPr>
        <w:spacing w:after="0" w:line="212"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Isaias (Zak) Jose Calisto</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-127635</wp:posOffset>
            </wp:positionV>
            <wp:extent cx="23056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52"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Isaias (Zak) Jose Calisto, Chief Executive Officer and Hoe Shin Goy, Chief Financial Officer and each of them, individually,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any and all amendments to this registration statement, including post-effective amendments and registrations filed pursuant to Rule 462 under the Securities Act,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may lawfully do or cause to be done by virtue hereof.</w:t>
      </w:r>
    </w:p>
    <w:p>
      <w:pPr>
        <w:spacing w:after="0" w:line="122" w:lineRule="exact"/>
        <w:rPr>
          <w:sz w:val="20"/>
          <w:szCs w:val="20"/>
          <w:color w:val="auto"/>
        </w:rPr>
      </w:pPr>
    </w:p>
    <w:p>
      <w:pPr>
        <w:ind w:left="460" w:right="91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on July 11, 2024 in the capacities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160" w:type="dxa"/>
            <w:vAlign w:val="bottom"/>
          </w:tcPr>
          <w:p>
            <w:pPr>
              <w:ind w:left="8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7"/>
        </w:trPr>
        <w:tc>
          <w:tcPr>
            <w:tcW w:w="2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Isaias (Zak) Jose Calisto</w:t>
            </w:r>
          </w:p>
        </w:tc>
        <w:tc>
          <w:tcPr>
            <w:tcW w:w="10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11, 2024</w:t>
            </w:r>
          </w:p>
        </w:tc>
        <w:tc>
          <w:tcPr>
            <w:tcW w:w="0" w:type="dxa"/>
            <w:vAlign w:val="bottom"/>
          </w:tcPr>
          <w:p>
            <w:pPr>
              <w:spacing w:after="0"/>
              <w:rPr>
                <w:sz w:val="1"/>
                <w:szCs w:val="1"/>
                <w:color w:val="auto"/>
              </w:rPr>
            </w:pPr>
          </w:p>
        </w:tc>
      </w:tr>
      <w:tr>
        <w:trPr>
          <w:trHeight w:val="40"/>
        </w:trPr>
        <w:tc>
          <w:tcPr>
            <w:tcW w:w="2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Isaias (Zak) Jose Calisto</w:t>
            </w:r>
          </w:p>
        </w:tc>
        <w:tc>
          <w:tcPr>
            <w:tcW w:w="100" w:type="dxa"/>
            <w:vAlign w:val="bottom"/>
          </w:tcPr>
          <w:p>
            <w:pPr>
              <w:spacing w:after="0"/>
              <w:rPr>
                <w:sz w:val="19"/>
                <w:szCs w:val="19"/>
                <w:color w:val="auto"/>
              </w:rPr>
            </w:pPr>
          </w:p>
        </w:tc>
        <w:tc>
          <w:tcPr>
            <w:tcW w:w="446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Hoe Shin Goy</w:t>
            </w:r>
          </w:p>
        </w:tc>
        <w:tc>
          <w:tcPr>
            <w:tcW w:w="100" w:type="dxa"/>
            <w:vAlign w:val="bottom"/>
          </w:tcPr>
          <w:p>
            <w:pPr>
              <w:spacing w:after="0"/>
              <w:rPr>
                <w:sz w:val="24"/>
                <w:szCs w:val="24"/>
                <w:color w:val="auto"/>
              </w:rPr>
            </w:pPr>
          </w:p>
        </w:tc>
        <w:tc>
          <w:tcPr>
            <w:tcW w:w="4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 and 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11, 2024</w:t>
            </w:r>
          </w:p>
        </w:tc>
        <w:tc>
          <w:tcPr>
            <w:tcW w:w="0" w:type="dxa"/>
            <w:vAlign w:val="bottom"/>
          </w:tcPr>
          <w:p>
            <w:pPr>
              <w:spacing w:after="0"/>
              <w:rPr>
                <w:sz w:val="1"/>
                <w:szCs w:val="1"/>
                <w:color w:val="auto"/>
              </w:rPr>
            </w:pPr>
          </w:p>
        </w:tc>
      </w:tr>
      <w:tr>
        <w:trPr>
          <w:trHeight w:val="40"/>
        </w:trPr>
        <w:tc>
          <w:tcPr>
            <w:tcW w:w="2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Hoe Shin Goy</w:t>
            </w:r>
          </w:p>
        </w:tc>
        <w:tc>
          <w:tcPr>
            <w:tcW w:w="100" w:type="dxa"/>
            <w:vAlign w:val="bottom"/>
          </w:tcPr>
          <w:p>
            <w:pPr>
              <w:spacing w:after="0"/>
              <w:rPr>
                <w:sz w:val="19"/>
                <w:szCs w:val="19"/>
                <w:color w:val="auto"/>
              </w:rPr>
            </w:pPr>
          </w:p>
        </w:tc>
        <w:tc>
          <w:tcPr>
            <w:tcW w:w="446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Siew Koon Lim</w:t>
            </w:r>
          </w:p>
        </w:tc>
        <w:tc>
          <w:tcPr>
            <w:tcW w:w="10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11, 2024</w:t>
            </w:r>
          </w:p>
        </w:tc>
        <w:tc>
          <w:tcPr>
            <w:tcW w:w="0" w:type="dxa"/>
            <w:vAlign w:val="bottom"/>
          </w:tcPr>
          <w:p>
            <w:pPr>
              <w:spacing w:after="0"/>
              <w:rPr>
                <w:sz w:val="1"/>
                <w:szCs w:val="1"/>
                <w:color w:val="auto"/>
              </w:rPr>
            </w:pPr>
          </w:p>
        </w:tc>
      </w:tr>
      <w:tr>
        <w:trPr>
          <w:trHeight w:val="40"/>
        </w:trPr>
        <w:tc>
          <w:tcPr>
            <w:tcW w:w="2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Siew Koon Lim</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Andrew Leong</w:t>
            </w:r>
          </w:p>
        </w:tc>
        <w:tc>
          <w:tcPr>
            <w:tcW w:w="10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11, 2024</w:t>
            </w:r>
          </w:p>
        </w:tc>
        <w:tc>
          <w:tcPr>
            <w:tcW w:w="0" w:type="dxa"/>
            <w:vAlign w:val="bottom"/>
          </w:tcPr>
          <w:p>
            <w:pPr>
              <w:spacing w:after="0"/>
              <w:rPr>
                <w:sz w:val="1"/>
                <w:szCs w:val="1"/>
                <w:color w:val="auto"/>
              </w:rPr>
            </w:pPr>
          </w:p>
        </w:tc>
      </w:tr>
      <w:tr>
        <w:trPr>
          <w:trHeight w:val="40"/>
        </w:trPr>
        <w:tc>
          <w:tcPr>
            <w:tcW w:w="2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Leong</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Kim White</w:t>
            </w:r>
          </w:p>
        </w:tc>
        <w:tc>
          <w:tcPr>
            <w:tcW w:w="100" w:type="dxa"/>
            <w:vAlign w:val="bottom"/>
          </w:tcPr>
          <w:p>
            <w:pPr>
              <w:spacing w:after="0"/>
              <w:rPr>
                <w:sz w:val="24"/>
                <w:szCs w:val="24"/>
                <w:color w:val="auto"/>
              </w:rPr>
            </w:pP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11, 2024</w:t>
            </w:r>
          </w:p>
        </w:tc>
        <w:tc>
          <w:tcPr>
            <w:tcW w:w="0" w:type="dxa"/>
            <w:vAlign w:val="bottom"/>
          </w:tcPr>
          <w:p>
            <w:pPr>
              <w:spacing w:after="0"/>
              <w:rPr>
                <w:sz w:val="1"/>
                <w:szCs w:val="1"/>
                <w:color w:val="auto"/>
              </w:rPr>
            </w:pPr>
          </w:p>
        </w:tc>
      </w:tr>
      <w:tr>
        <w:trPr>
          <w:trHeight w:val="40"/>
        </w:trPr>
        <w:tc>
          <w:tcPr>
            <w:tcW w:w="2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Kim White</w:t>
            </w: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2"/>
          </w:tcPr>
          <w:p>
            <w:pPr>
              <w:ind w:left="1640"/>
              <w:spacing w:after="0"/>
              <w:rPr>
                <w:sz w:val="20"/>
                <w:szCs w:val="20"/>
                <w:color w:val="auto"/>
              </w:rPr>
            </w:pPr>
            <w:r>
              <w:rPr>
                <w:rFonts w:ascii="Times New Roman" w:cs="Times New Roman" w:eastAsia="Times New Roman" w:hAnsi="Times New Roman"/>
                <w:sz w:val="18"/>
                <w:szCs w:val="18"/>
                <w:color w:val="auto"/>
              </w:rPr>
              <w:t>II-5</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148" w:lineRule="exact"/>
        <w:rPr>
          <w:sz w:val="20"/>
          <w:szCs w:val="20"/>
          <w:color w:val="auto"/>
        </w:rPr>
      </w:pPr>
    </w:p>
    <w:p>
      <w:pPr>
        <w:jc w:val="both"/>
        <w:ind w:left="460" w:right="939" w:firstLine="432"/>
        <w:spacing w:after="0" w:line="266"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Cogency Global Inc., the duly authorized representative in the United States of Karooooo Ltd., has signed this Registration Statement on Form F-3 on July 11, 2024.</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185" w:lineRule="exact"/>
        <w:rPr>
          <w:sz w:val="20"/>
          <w:szCs w:val="20"/>
          <w:color w:val="auto"/>
        </w:rPr>
      </w:pPr>
    </w:p>
    <w:p>
      <w:pPr>
        <w:ind w:left="4520"/>
        <w:spacing w:after="0"/>
        <w:tabs>
          <w:tab w:leader="none" w:pos="4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51435</wp:posOffset>
            </wp:positionV>
            <wp:extent cx="23056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151130</wp:posOffset>
            </wp:positionV>
            <wp:extent cx="194627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9462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 Bernie Lee</w:t>
            </w:r>
          </w:p>
        </w:tc>
        <w:tc>
          <w:tcPr>
            <w:tcW w:w="32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DID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+65 9822 3300</w:t>
            </w:r>
          </w:p>
        </w:tc>
      </w:t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bernie.lee@agasia.law</w:t>
            </w:r>
          </w:p>
        </w:tc>
        <w:tc>
          <w:tcPr>
            <w:tcW w:w="32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Fax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+65 6327 3800</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Our reference</w:t>
            </w:r>
          </w:p>
        </w:tc>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BLEE/1024006868</w:t>
            </w:r>
          </w:p>
        </w:tc>
        <w:tc>
          <w:tcPr>
            <w:tcW w:w="436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11 July 2024</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Your reference</w:t>
            </w:r>
          </w:p>
        </w:tc>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Harbourfront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#14-07 Keppel Bay Tower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098632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Karooooo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LTD. (THE “COMPANY”) – REGISTRATION STATEMENT ON FORM F-3 OF THE COMPANY</w:t>
      </w:r>
    </w:p>
    <w:p>
      <w:pPr>
        <w:spacing w:after="0" w:line="229" w:lineRule="exact"/>
        <w:rPr>
          <w:sz w:val="20"/>
          <w:szCs w:val="20"/>
          <w:color w:val="auto"/>
        </w:rPr>
      </w:pPr>
    </w:p>
    <w:p>
      <w:pPr>
        <w:ind w:left="660" w:right="40" w:hanging="652"/>
        <w:spacing w:after="0" w:line="255"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acted as Singapore legal counsel to the Company in connection with the Offering (as defined below) and we refer to the Registration Statement on Form F-3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in connection with the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relation to the offer, resale, transfer or otherwise disposal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of up to 6,000,000 ordinary shares in the capital of the Company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by the selling shareholder identified in the Registration Statement (the “</w:t>
      </w:r>
      <w:r>
        <w:rPr>
          <w:rFonts w:ascii="Times New Roman" w:cs="Times New Roman" w:eastAsia="Times New Roman" w:hAnsi="Times New Roman"/>
          <w:sz w:val="18"/>
          <w:szCs w:val="18"/>
          <w:b w:val="1"/>
          <w:bCs w:val="1"/>
          <w:color w:val="auto"/>
        </w:rPr>
        <w:t>Selling Shareholder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Selling Shareholder Shares</w:t>
      </w:r>
      <w:r>
        <w:rPr>
          <w:rFonts w:ascii="Times New Roman" w:cs="Times New Roman" w:eastAsia="Times New Roman" w:hAnsi="Times New Roman"/>
          <w:sz w:val="18"/>
          <w:szCs w:val="18"/>
          <w:color w:val="auto"/>
        </w:rPr>
        <w:t>”). The Selling Shareholder Shares comprise Shares issued and existing as at the date of this opinion. We have taken instructions solely from the Company. This opinion is being rendered solely to the Company in connection with the filing of the Registration Statement.</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rendering this opinion, we have examined: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Statement;</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Constitution of the Company (the “</w:t>
      </w:r>
      <w:r>
        <w:rPr>
          <w:rFonts w:ascii="Times New Roman" w:cs="Times New Roman" w:eastAsia="Times New Roman" w:hAnsi="Times New Roman"/>
          <w:sz w:val="18"/>
          <w:szCs w:val="18"/>
          <w:b w:val="1"/>
          <w:bCs w:val="1"/>
          <w:color w:val="auto"/>
        </w:rPr>
        <w:t>Constitution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Confirming Incorporation of Company dated 21 May 2018 issued by the Accounting and Corporate Regulatory Authority of Singapore (“</w:t>
      </w:r>
      <w:r>
        <w:rPr>
          <w:rFonts w:ascii="Times New Roman" w:cs="Times New Roman" w:eastAsia="Times New Roman" w:hAnsi="Times New Roman"/>
          <w:sz w:val="18"/>
          <w:szCs w:val="18"/>
          <w:b w:val="1"/>
          <w:bCs w:val="1"/>
          <w:color w:val="auto"/>
        </w:rPr>
        <w:t>ACRA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2018 Certificate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Allen &amp; Gledhill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Marina Boulevard #28-00 Singapore 018989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+65 6890 7188 | Fax: +65 6327 3800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allenandgledhill.com</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Allen &amp; Gledhill LLP (UEN/Registration No. T07LL0925F) is registered in Singapore under the Limited Liability Partnerships Act 2005 with limited liability. A list of the Partners and their professional qualifications may be inspected at the address specified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ind w:left="1292" w:hanging="644"/>
        <w:spacing w:after="0"/>
        <w:tabs>
          <w:tab w:leader="none" w:pos="12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Confirming Incorporation of Company dated 13 November 2020 issued by ACRA (the “</w:t>
      </w:r>
      <w:r>
        <w:rPr>
          <w:rFonts w:ascii="Times New Roman" w:cs="Times New Roman" w:eastAsia="Times New Roman" w:hAnsi="Times New Roman"/>
          <w:sz w:val="18"/>
          <w:szCs w:val="18"/>
          <w:b w:val="1"/>
          <w:bCs w:val="1"/>
          <w:color w:val="auto"/>
        </w:rPr>
        <w:t>2020 Certificate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92" w:right="140" w:hanging="644"/>
        <w:spacing w:after="0" w:line="282" w:lineRule="auto"/>
        <w:tabs>
          <w:tab w:leader="none" w:pos="12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Confirming Incorporation of Company dated 22 February 2021 issued by ACRA confirming that the Company is a public company limited by shares (together with the 2018 Certificate and the 2020 Certificate, the “</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92" w:right="220" w:hanging="644"/>
        <w:spacing w:after="0" w:line="282" w:lineRule="auto"/>
        <w:tabs>
          <w:tab w:leader="none" w:pos="12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resolutions in writing of the board of directors of the Company dated 19 May 2018, 18 July 2019, 18 November 2020, 26 February 2021, 22 March 2021, 6 April 2021, 15 April 2021 and 16 April 2021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92" w:right="100" w:hanging="644"/>
        <w:spacing w:after="0" w:line="282" w:lineRule="auto"/>
        <w:tabs>
          <w:tab w:leader="none" w:pos="12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resolutions in writing or, as the case may be, minutes of meeting of the shareholders of the Company dated 4 July 2019, 18 November 2020 and 22 March 2021 (together with the Board Resolutions,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we have considered necessary or desirable in order that we may render this opinion.</w:t>
      </w:r>
    </w:p>
    <w:p>
      <w:pPr>
        <w:spacing w:after="0" w:line="225" w:lineRule="exact"/>
        <w:rPr>
          <w:rFonts w:ascii="Times New Roman" w:cs="Times New Roman" w:eastAsia="Times New Roman" w:hAnsi="Times New Roman"/>
          <w:sz w:val="18"/>
          <w:szCs w:val="18"/>
          <w:color w:val="auto"/>
        </w:rPr>
      </w:pPr>
    </w:p>
    <w:p>
      <w:pPr>
        <w:ind w:left="652" w:right="720" w:hanging="652"/>
        <w:spacing w:after="0" w:line="282" w:lineRule="auto"/>
        <w:tabs>
          <w:tab w:leader="none" w:pos="6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expressly provided in paragraph 5 of this opinion, we express no opinion whatsoever with respect to any agreement or document described in paragraph 2 of this opinion.</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correctness of all facts stated in all documents submitted to us;</w:t>
      </w:r>
    </w:p>
    <w:p>
      <w:pPr>
        <w:spacing w:after="0" w:line="225"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(including electronic signatures) and seals on all documents and the completeness, and the conformity to original documents, of all copies submitted to us;</w:t>
      </w:r>
    </w:p>
    <w:p>
      <w:pPr>
        <w:spacing w:after="0" w:line="161"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copies of each of the documents (including the Resolutions) submitted to us for examination are true, complete and up-to-date copies and have not been modified, supplemented or superseded;</w:t>
      </w:r>
    </w:p>
    <w:p>
      <w:pPr>
        <w:spacing w:after="0" w:line="161" w:lineRule="exact"/>
        <w:rPr>
          <w:rFonts w:ascii="Times New Roman" w:cs="Times New Roman" w:eastAsia="Times New Roman" w:hAnsi="Times New Roman"/>
          <w:sz w:val="18"/>
          <w:szCs w:val="18"/>
          <w:color w:val="auto"/>
        </w:rPr>
      </w:pPr>
    </w:p>
    <w:p>
      <w:pPr>
        <w:ind w:left="1292" w:right="340" w:hanging="644"/>
        <w:spacing w:after="0" w:line="282" w:lineRule="auto"/>
        <w:tabs>
          <w:tab w:leader="none" w:pos="12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Resolutions have not been rescinded or modified and they remain in full force and effect and that no other resolution or other action has been taken which may affect the validity of the Resolutions;</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copies of each of the Constitution and the Certificates submitted to us for examination are true, complete and up-to-date copies;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was solvent at the relevant time of issuance of any of the Selling Shareholder Shares;</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full and valid consideration has been furnished for the issuance of the Selling Shareholder Shares;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0" w:right="359" w:bottom="1440" w:gutter="0" w:footer="0" w:header="0"/>
        </w:sectPr>
      </w:pPr>
    </w:p>
    <w:bookmarkStart w:id="52" w:name="page53"/>
    <w:bookmarkEnd w:id="52"/>
    <w:p>
      <w:pPr>
        <w:ind w:left="1300" w:hanging="644"/>
        <w:spacing w:after="0" w:line="258"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9,410,712 Shares allotted and issued by the Company to Cede &amp; Co. on 16 April 2021 were allotted and issued pursuant to and in connection with the subscription of Shares by minority shareholders of Cartrack Holdings Limited (“</w:t>
      </w:r>
      <w:r>
        <w:rPr>
          <w:rFonts w:ascii="Times New Roman" w:cs="Times New Roman" w:eastAsia="Times New Roman" w:hAnsi="Times New Roman"/>
          <w:sz w:val="18"/>
          <w:szCs w:val="18"/>
          <w:b w:val="1"/>
          <w:bCs w:val="1"/>
          <w:color w:val="auto"/>
        </w:rPr>
        <w:t>Cartrack</w:t>
      </w:r>
      <w:r>
        <w:rPr>
          <w:rFonts w:ascii="Times New Roman" w:cs="Times New Roman" w:eastAsia="Times New Roman" w:hAnsi="Times New Roman"/>
          <w:sz w:val="18"/>
          <w:szCs w:val="18"/>
          <w:color w:val="auto"/>
        </w:rPr>
        <w:t>”) who elect to use all or a portion of the cash consideration received from the Company in connection with the acquisition by the Company for cash of the outstanding ordinary shares of Cartrack held by the minority shareholders of Cartrack as referred to under the resolutions in writing of the shareholders of the Company dated 22 March 2021;</w:t>
      </w:r>
    </w:p>
    <w:p>
      <w:pPr>
        <w:spacing w:after="0" w:line="183" w:lineRule="exact"/>
        <w:rPr>
          <w:rFonts w:ascii="Times New Roman" w:cs="Times New Roman" w:eastAsia="Times New Roman" w:hAnsi="Times New Roman"/>
          <w:sz w:val="18"/>
          <w:szCs w:val="18"/>
          <w:color w:val="auto"/>
        </w:rPr>
      </w:pPr>
    </w:p>
    <w:p>
      <w:pPr>
        <w:ind w:left="1300" w:right="580" w:hanging="644"/>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Selling Shareholder Shares were allotted and issued by the Company pursuant to the resolutions in writing of the board of directors of the Company dated 19 May 2018 and the resolutions in writing or, as the case may be, minutes of meetings of the shareholders of the Company dated 4 July 2019, 18 November 2020 and 22 March 2021;</w:t>
      </w:r>
    </w:p>
    <w:p>
      <w:pPr>
        <w:spacing w:after="0" w:line="171" w:lineRule="exact"/>
        <w:rPr>
          <w:rFonts w:ascii="Times New Roman" w:cs="Times New Roman" w:eastAsia="Times New Roman" w:hAnsi="Times New Roman"/>
          <w:sz w:val="18"/>
          <w:szCs w:val="18"/>
          <w:color w:val="auto"/>
        </w:rPr>
      </w:pPr>
    </w:p>
    <w:p>
      <w:pPr>
        <w:ind w:left="1300" w:right="120" w:hanging="644"/>
        <w:spacing w:after="0" w:line="26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that the information disclosed by the electronic searches made on 11 July 2024 (the “</w:t>
      </w:r>
      <w:r>
        <w:rPr>
          <w:rFonts w:ascii="Times New Roman" w:cs="Times New Roman" w:eastAsia="Times New Roman" w:hAnsi="Times New Roman"/>
          <w:sz w:val="18"/>
          <w:szCs w:val="18"/>
          <w:b w:val="1"/>
          <w:bCs w:val="1"/>
          <w:color w:val="auto"/>
        </w:rPr>
        <w:t>ACRA Searches</w:t>
      </w:r>
      <w:r>
        <w:rPr>
          <w:rFonts w:ascii="Times New Roman" w:cs="Times New Roman" w:eastAsia="Times New Roman" w:hAnsi="Times New Roman"/>
          <w:sz w:val="18"/>
          <w:szCs w:val="18"/>
          <w:color w:val="auto"/>
        </w:rPr>
        <w:t>”) of the electronic records of the ACRA against the Company is true and complete, (ii) that such information has not since then been materially altered, and (iii) that the ACRA Searches did not fail to disclose any material information which has been delivered for filing but did not appear on the public file at the time of the ACRA Searches; and</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submitted to us in draft form, it will be executed in the form of that draft.</w:t>
      </w:r>
    </w:p>
    <w:p>
      <w:pPr>
        <w:spacing w:after="0" w:line="225" w:lineRule="exact"/>
        <w:rPr>
          <w:rFonts w:ascii="Times New Roman" w:cs="Times New Roman" w:eastAsia="Times New Roman" w:hAnsi="Times New Roman"/>
          <w:sz w:val="18"/>
          <w:szCs w:val="18"/>
          <w:color w:val="auto"/>
        </w:rPr>
      </w:pPr>
    </w:p>
    <w:p>
      <w:pPr>
        <w:ind w:left="660" w:hanging="652"/>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and subject to the foregoing, and subject to any matters not disclosed to us, we are of the opinion that the Selling Shareholder Shares which have been issued as at the date of this opinion have been duly authorised by the Company and, assuming that such Selling Shareholder Shares were issued and when delivered by the Company against payment of the full consideration payable for such Selling Shareholder Shares, are validly issued, fully paid and non-assessable.</w:t>
      </w:r>
    </w:p>
    <w:p>
      <w:pPr>
        <w:spacing w:after="0" w:line="179"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opinion, we have assumed that the term “non-assessable” in relation to the Selling Shareholder Shares offered means under Singapore law that holders of such shares, having fully paid up all amounts due on such shares as to the issue price thereon, are under no further personal liability to contribute to the assets or liabilities of the Company in their capacities purely as holders of such shares.</w:t>
      </w:r>
    </w:p>
    <w:p>
      <w:pPr>
        <w:spacing w:after="0" w:line="175" w:lineRule="exact"/>
        <w:rPr>
          <w:rFonts w:ascii="Times New Roman" w:cs="Times New Roman" w:eastAsia="Times New Roman" w:hAnsi="Times New Roman"/>
          <w:sz w:val="18"/>
          <w:szCs w:val="18"/>
          <w:color w:val="auto"/>
        </w:rPr>
      </w:pPr>
    </w:p>
    <w:p>
      <w:pPr>
        <w:ind w:left="660" w:hanging="652"/>
        <w:spacing w:after="0" w:line="258"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relates only to the laws of general application of the Republic of Singapore as published at the date hereof and as currently applied by the courts of the Republic of Singapore, and is given on the basis that it will be governed by and construed in accordance with the laws of the Republic of Singapore. We have made no investigation of, and do not express or imply any views on, the laws of any country other than the Republic of Singapore. In respect of the Registration Statement, we have assumed due compliance with all matters concerning the laws of all other jurisdictions other than the Republic of Singapore.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6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ourselves out as only having legal expertise and our statements in this letter are made only to the extent that a law firm practising Singapore law in the Republic of Singapore, having our role in connection with the Offering, would reasonably be expected to have become aware of relevant facts and/or to have identified the implications of those facts.</w:t>
      </w:r>
    </w:p>
    <w:p>
      <w:pPr>
        <w:spacing w:after="0" w:line="175" w:lineRule="exact"/>
        <w:rPr>
          <w:rFonts w:ascii="Times New Roman" w:cs="Times New Roman" w:eastAsia="Times New Roman" w:hAnsi="Times New Roman"/>
          <w:sz w:val="18"/>
          <w:szCs w:val="18"/>
          <w:color w:val="auto"/>
        </w:rPr>
      </w:pPr>
    </w:p>
    <w:p>
      <w:pPr>
        <w:ind w:left="660" w:right="120" w:hanging="652"/>
        <w:spacing w:after="0" w:line="254"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 is strictly limited to the matters stated herein and is not to be read as extending by implication to any other matter in connection with the Offering or otherwise including, but without limitation, any other document signed in connection with the Offering. Subject to the foregoing, we consent to the use of this opinion as an exhibit to the Registration Statement and further consent to all references to us, if any, in the Registration Statement and any amendments or supplements thereto. In giving such consent, we do not hereby admit that we are within the category of persons whose consent is required under Section 7 of the Securities Act or the rules or regulations promulgated thereunder. Further, save for the use of this opinion as an exhibit to the Registration Statement, this opinion is not to be circulated to, or relied upon by, any other person (other than persons entitled to rely on it pursuant to applicable federal securities laws in the United States, if applicable) or quoted or referred to in any public document or filed with any governmental body or agency without our prior written consent.</w:t>
      </w:r>
    </w:p>
    <w:p>
      <w:pPr>
        <w:spacing w:after="0" w:line="191" w:lineRule="exact"/>
        <w:rPr>
          <w:rFonts w:ascii="Times New Roman" w:cs="Times New Roman" w:eastAsia="Times New Roman" w:hAnsi="Times New Roman"/>
          <w:sz w:val="18"/>
          <w:szCs w:val="18"/>
          <w:color w:val="auto"/>
        </w:rPr>
      </w:pPr>
    </w:p>
    <w:p>
      <w:pPr>
        <w:ind w:left="660" w:right="98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given on the basis of the laws of the Republic of Singapore in force as at the date of this opinion and we undertake no responsibility to notify you of any change in the laws of the Republic of Singapore after the date of this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Allen &amp; Gledhill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Allen &amp; Gledhill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consent to the reference to our firm under the caption “Experts” in the Registration Statement (Form F-3) and related Prospectus of Karooooo Ltd for the offer to resell, transfer or otherwise dispose of up to 6,000,000 ordinary shares by the selling shareholder and to the incorporation by reference therein of our report dated June 13, 2024, with respect to the consolidated financial statements of Karooooo Ltd. included in its Annual Report (Form 20-F) for the year ended February 29, 2024, filed with the Securities and Exchange Commission.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11, 2024</w:t>
      </w:r>
    </w:p>
    <w:p>
      <w:pPr>
        <w:sectPr>
          <w:pgSz w:w="11900" w:h="16838" w:orient="portrait"/>
          <w:cols w:equalWidth="0" w:num="1">
            <w:col w:w="11240"/>
          </w:cols>
          <w:pgMar w:left="320" w:top="108"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June 09, 2022, with respect to the consolidated financial statements of Karooooo Ltd. and its subsidiaries, incorporated herein by reference and to the reference to our firm under the heading “Experts” in the prospectus.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2024</w:t>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Filing Fee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Connection</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Fee</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Proposed</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Carry</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with</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Maximum</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Carry</w:t>
            </w: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Carry</w:t>
            </w: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Unsold</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Security</w:t>
            </w:r>
          </w:p>
        </w:tc>
        <w:tc>
          <w:tcPr>
            <w:tcW w:w="9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Calculation</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10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Amount of</w:t>
            </w:r>
          </w:p>
        </w:tc>
        <w:tc>
          <w:tcPr>
            <w:tcW w:w="7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Security</w:t>
            </w:r>
          </w:p>
        </w:tc>
        <w:tc>
          <w:tcPr>
            <w:tcW w:w="900" w:type="dxa"/>
            <w:vAlign w:val="bottom"/>
            <w:gridSpan w:val="2"/>
            <w:vMerge w:val="continue"/>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or Carry</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Aggregate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Initial</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to be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8"/>
              </w:rPr>
              <w:t>Class</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Price Per</w:t>
            </w: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Fee Rate</w:t>
            </w:r>
          </w:p>
        </w:tc>
        <w:tc>
          <w:tcPr>
            <w:tcW w:w="80" w:type="dxa"/>
            <w:vAlign w:val="bottom"/>
            <w:vMerge w:val="restart"/>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Registration</w:t>
            </w: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Form</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File</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Effective</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9"/>
              </w:rPr>
              <w:t>Carried</w:t>
            </w: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4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4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Rule</w:t>
            </w:r>
          </w:p>
        </w:tc>
        <w:tc>
          <w:tcPr>
            <w:tcW w:w="40" w:type="dxa"/>
            <w:vAlign w:val="bottom"/>
          </w:tcPr>
          <w:p>
            <w:pPr>
              <w:spacing w:after="0"/>
              <w:rPr>
                <w:sz w:val="15"/>
                <w:szCs w:val="15"/>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Registered</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Unit</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Price</w:t>
            </w:r>
          </w:p>
        </w:tc>
        <w:tc>
          <w:tcPr>
            <w:tcW w:w="18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Fee</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Forward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4"/>
                <w:szCs w:val="14"/>
                <w:color w:val="auto"/>
              </w:rPr>
              <w:t>Newly Registered Securities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3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Fees to be Paid</w:t>
            </w:r>
          </w:p>
        </w:tc>
        <w:tc>
          <w:tcPr>
            <w:tcW w:w="66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90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Ordinary</w:t>
            </w:r>
          </w:p>
        </w:tc>
        <w:tc>
          <w:tcPr>
            <w:tcW w:w="960" w:type="dxa"/>
            <w:vAlign w:val="bottom"/>
            <w:gridSpan w:val="2"/>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Rule 457(c)</w:t>
            </w:r>
          </w:p>
        </w:tc>
        <w:tc>
          <w:tcPr>
            <w:tcW w:w="8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6,000,000</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32.12</w:t>
            </w:r>
            <w:r>
              <w:rPr>
                <w:rFonts w:ascii="Times New Roman" w:cs="Times New Roman" w:eastAsia="Times New Roman" w:hAnsi="Times New Roman"/>
                <w:sz w:val="23"/>
                <w:szCs w:val="23"/>
                <w:color w:val="auto"/>
                <w:vertAlign w:val="superscript"/>
              </w:rPr>
              <w:t>(2)</w:t>
            </w:r>
          </w:p>
        </w:tc>
        <w:tc>
          <w:tcPr>
            <w:tcW w:w="10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$ 192,720,000</w:t>
            </w:r>
            <w:r>
              <w:rPr>
                <w:rFonts w:ascii="Times New Roman" w:cs="Times New Roman" w:eastAsia="Times New Roman" w:hAnsi="Times New Roman"/>
                <w:sz w:val="23"/>
                <w:szCs w:val="23"/>
                <w:color w:val="auto"/>
                <w:w w:val="99"/>
                <w:vertAlign w:val="superscript"/>
              </w:rPr>
              <w:t>(2)</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0.00014760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28,445.48</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Fees Previously Paid</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N/A</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N/A</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gridSpan w:val="4"/>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Carry Forward Securities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Carry Forward</w:t>
            </w:r>
          </w:p>
        </w:tc>
        <w:tc>
          <w:tcPr>
            <w:tcW w:w="6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N/A</w:t>
            </w:r>
          </w:p>
        </w:tc>
        <w:tc>
          <w:tcPr>
            <w:tcW w:w="9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N/A</w:t>
            </w:r>
          </w:p>
        </w:tc>
        <w:tc>
          <w:tcPr>
            <w:tcW w:w="88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N/A</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ind w:left="420"/>
              <w:spacing w:after="0" w:line="126" w:lineRule="exact"/>
              <w:rPr>
                <w:sz w:val="20"/>
                <w:szCs w:val="20"/>
                <w:color w:val="auto"/>
              </w:rPr>
            </w:pPr>
            <w:r>
              <w:rPr>
                <w:rFonts w:ascii="Times New Roman" w:cs="Times New Roman" w:eastAsia="Times New Roman" w:hAnsi="Times New Roman"/>
                <w:sz w:val="14"/>
                <w:szCs w:val="14"/>
                <w:color w:val="auto"/>
              </w:rPr>
              <w:t>N/A</w:t>
            </w:r>
          </w:p>
        </w:tc>
        <w:tc>
          <w:tcPr>
            <w:tcW w:w="74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N/A</w:t>
            </w:r>
          </w:p>
        </w:tc>
        <w:tc>
          <w:tcPr>
            <w:tcW w:w="74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4"/>
                <w:szCs w:val="14"/>
                <w:color w:val="auto"/>
              </w:rPr>
              <w:t>N/A</w:t>
            </w:r>
          </w:p>
        </w:tc>
        <w:tc>
          <w:tcPr>
            <w:tcW w:w="740" w:type="dxa"/>
            <w:vAlign w:val="bottom"/>
            <w:gridSpan w:val="2"/>
          </w:tcPr>
          <w:p>
            <w:pPr>
              <w:ind w:left="460"/>
              <w:spacing w:after="0" w:line="126"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5"/>
        </w:trPr>
        <w:tc>
          <w:tcPr>
            <w:tcW w:w="1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60" w:type="dxa"/>
            <w:vAlign w:val="bottom"/>
            <w:gridSpan w:val="4"/>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Total Offering Amounts</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$ 192,720,000</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28,445.48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60" w:type="dxa"/>
            <w:vAlign w:val="bottom"/>
            <w:gridSpan w:val="4"/>
          </w:tcPr>
          <w:p>
            <w:pPr>
              <w:jc w:val="center"/>
              <w:ind w:left="8"/>
              <w:spacing w:after="0"/>
              <w:rPr>
                <w:sz w:val="20"/>
                <w:szCs w:val="20"/>
                <w:color w:val="auto"/>
              </w:rPr>
            </w:pPr>
            <w:r>
              <w:rPr>
                <w:rFonts w:ascii="Times New Roman" w:cs="Times New Roman" w:eastAsia="Times New Roman" w:hAnsi="Times New Roman"/>
                <w:sz w:val="14"/>
                <w:szCs w:val="14"/>
                <w:color w:val="auto"/>
              </w:rPr>
              <w:t>Total Fees Previously Paid</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60" w:type="dxa"/>
            <w:vAlign w:val="bottom"/>
            <w:gridSpan w:val="4"/>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Total Fee Offsets</w:t>
            </w: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30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60" w:type="dxa"/>
            <w:vAlign w:val="bottom"/>
            <w:tcBorders>
              <w:top w:val="single" w:sz="8" w:color="CCEEFF"/>
            </w:tcBorders>
            <w:gridSpan w:val="4"/>
          </w:tcPr>
          <w:p>
            <w:pPr>
              <w:jc w:val="center"/>
              <w:ind w:left="8"/>
              <w:spacing w:after="0"/>
              <w:rPr>
                <w:sz w:val="20"/>
                <w:szCs w:val="20"/>
                <w:color w:val="auto"/>
              </w:rPr>
            </w:pPr>
            <w:r>
              <w:rPr>
                <w:rFonts w:ascii="Times New Roman" w:cs="Times New Roman" w:eastAsia="Times New Roman" w:hAnsi="Times New Roman"/>
                <w:sz w:val="14"/>
                <w:szCs w:val="14"/>
                <w:color w:val="auto"/>
              </w:rPr>
              <w:t>Net Fee Due</w:t>
            </w:r>
          </w:p>
        </w:tc>
        <w:tc>
          <w:tcPr>
            <w:tcW w:w="7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28,445.48</w:t>
            </w:r>
          </w:p>
        </w:tc>
        <w:tc>
          <w:tcPr>
            <w:tcW w:w="8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Registrant is also registering hereunder an indeterminate number of ordinary shares that may be issued in connection with anti-dilution provisions or stock splits, stock dividends or similar transactions.</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89" w:lineRule="auto"/>
        <w:tabs>
          <w:tab w:leader="none" w:pos="3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computing the amount of the registration fee pursuant to Rule 457(c) under the Securities Act of 1933, as amended. The maximum price per share and maximum aggregate offering price are based on the average of the high and low sale prices of the ordinary shares as reported on the Nasdaq Capital Market on July 9, 2024, which date is within five business days prior to filing this registration statement.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lowerRoman"/>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lowerRoman"/>
      <w:start w:val="1"/>
    </w:lvl>
  </w:abstractNum>
  <w:abstractNum w:abstractNumId="12">
    <w:nsid w:val="71F32454"/>
    <w:multiLevelType w:val="hybridMultilevel"/>
    <w:lvl w:ilvl="0">
      <w:lvlJc w:val="left"/>
      <w:lvlText w:val="(%1)"/>
      <w:numFmt w:val="lowerRoman"/>
      <w:start w:val="3"/>
    </w:lvl>
  </w:abstractNum>
  <w:abstractNum w:abstractNumId="13">
    <w:nsid w:val="2CA88611"/>
    <w:multiLevelType w:val="hybridMultilevel"/>
    <w:lvl w:ilvl="0">
      <w:lvlJc w:val="left"/>
      <w:lvlText w:val="(%1)"/>
      <w:numFmt w:val="lowerRoman"/>
      <w:start w:val="3"/>
    </w:lvl>
  </w:abstractNum>
  <w:abstractNum w:abstractNumId="14">
    <w:nsid w:val="836C40E"/>
    <w:multiLevelType w:val="hybridMultilevel"/>
    <w:lvl w:ilvl="0">
      <w:lvlJc w:val="left"/>
      <w:lvlText w:val="(%1)"/>
      <w:numFmt w:val="lowerLetter"/>
      <w:start w:val="2"/>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lowerLetter"/>
      <w:start w:val="2"/>
    </w:lvl>
  </w:abstractNum>
  <w:abstractNum w:abstractNumId="17">
    <w:nsid w:val="8138641"/>
    <w:multiLevelType w:val="hybridMultilevel"/>
    <w:lvl w:ilvl="0">
      <w:lvlJc w:val="left"/>
      <w:lvlText w:val="(%1)"/>
      <w:numFmt w:val="lowerRoman"/>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lowerRoman"/>
      <w:start w:val="1"/>
    </w:lvl>
  </w:abstractNum>
  <w:abstractNum w:abstractNumId="27">
    <w:nsid w:val="5577F8E1"/>
    <w:multiLevelType w:val="hybridMultilevel"/>
    <w:lvl w:ilvl="0">
      <w:lvlJc w:val="left"/>
      <w:lvlText w:val="(%1)"/>
      <w:numFmt w:val="lowerRoman"/>
      <w:start w:val="3"/>
    </w:lvl>
  </w:abstractNum>
  <w:abstractNum w:abstractNumId="28">
    <w:nsid w:val="440BADFC"/>
    <w:multiLevelType w:val="hybridMultilevel"/>
    <w:lvl w:ilvl="0">
      <w:lvlJc w:val="left"/>
      <w:lvlText w:val="%1"/>
      <w:numFmt w:val="decimal"/>
      <w:start w:val="107"/>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lowerLetter"/>
      <w:start w:val="1"/>
    </w:lvl>
    <w:lvl w:ilvl="1">
      <w:lvlJc w:val="left"/>
      <w:lvlText w:val="(%2)"/>
      <w:numFmt w:val="decimal"/>
      <w:start w:val="1"/>
    </w:lvl>
  </w:abstractNum>
  <w:abstractNum w:abstractNumId="31">
    <w:nsid w:val="77465F01"/>
    <w:multiLevelType w:val="hybridMultilevel"/>
    <w:lvl w:ilvl="0">
      <w:lvlJc w:val="left"/>
      <w:lvlText w:val="(%1)"/>
      <w:numFmt w:val="lowerLetter"/>
      <w:start w:val="2"/>
    </w:lvl>
  </w:abstractNum>
  <w:abstractNum w:abstractNumId="32">
    <w:nsid w:val="7724C67E"/>
    <w:multiLevelType w:val="hybridMultilevel"/>
    <w:lvl w:ilvl="0">
      <w:lvlJc w:val="left"/>
      <w:lvlText w:val="(%1)"/>
      <w:numFmt w:val="lowerLetter"/>
      <w:start w:val="3"/>
    </w:lvl>
  </w:abstractNum>
  <w:abstractNum w:abstractNumId="33">
    <w:nsid w:val="5C482A97"/>
    <w:multiLevelType w:val="hybridMultilevel"/>
    <w:lvl w:ilvl="0">
      <w:lvlJc w:val="left"/>
      <w:lvlText w:val="%1"/>
      <w:numFmt w:val="lowerLetter"/>
      <w:start w:val="1"/>
    </w:lvl>
    <w:lvl w:ilvl="1">
      <w:lvlJc w:val="left"/>
      <w:lvlText w:val="(%2)"/>
      <w:numFmt w:val="decimal"/>
      <w:start w:val="1"/>
    </w:lvl>
  </w:abstractNum>
  <w:abstractNum w:abstractNumId="34">
    <w:nsid w:val="2463B9EA"/>
    <w:multiLevelType w:val="hybridMultilevel"/>
    <w:lvl w:ilvl="0">
      <w:lvlJc w:val="left"/>
      <w:lvlText w:val="(%1)"/>
      <w:numFmt w:val="lowerLetter"/>
      <w:start w:val="6"/>
    </w:lvl>
    <w:lvl w:ilvl="1">
      <w:lvlJc w:val="left"/>
      <w:lvlText w:val="(%2)"/>
      <w:numFmt w:val="decimal"/>
      <w:start w:val="1"/>
    </w:lvl>
  </w:abstractNum>
  <w:abstractNum w:abstractNumId="35">
    <w:nsid w:val="5E884ADC"/>
    <w:multiLevelType w:val="hybridMultilevel"/>
    <w:lvl w:ilvl="0">
      <w:lvlJc w:val="left"/>
      <w:lvlText w:val="%1."/>
      <w:numFmt w:val="decimal"/>
      <w:start w:val="1"/>
    </w:lvl>
    <w:lvl w:ilvl="1">
      <w:lvlJc w:val="left"/>
      <w:lvlText w:val="(%2)"/>
      <w:numFmt w:val="lowerLetter"/>
      <w:start w:val="1"/>
    </w:lvl>
  </w:abstractNum>
  <w:abstractNum w:abstractNumId="36">
    <w:nsid w:val="51EAD36B"/>
    <w:multiLevelType w:val="hybridMultilevel"/>
    <w:lvl w:ilvl="0">
      <w:lvlJc w:val="left"/>
      <w:lvlText w:val="%1"/>
      <w:numFmt w:val="decimal"/>
      <w:start w:val="1"/>
    </w:lvl>
    <w:lvl w:ilvl="1">
      <w:lvlJc w:val="left"/>
      <w:lvlText w:val="(%2)"/>
      <w:numFmt w:val="lowerLetter"/>
      <w:start w:val="4"/>
    </w:lvl>
  </w:abstractNum>
  <w:abstractNum w:abstractNumId="37">
    <w:nsid w:val="2D517796"/>
    <w:multiLevelType w:val="hybridMultilevel"/>
    <w:lvl w:ilvl="0">
      <w:lvlJc w:val="left"/>
      <w:lvlText w:val="%1."/>
      <w:numFmt w:val="decimal"/>
      <w:start w:val="3"/>
    </w:lvl>
    <w:lvl w:ilvl="1">
      <w:lvlJc w:val="left"/>
      <w:lvlText w:val="(%2)"/>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8"/>
    </w:lvl>
  </w:abstractNum>
  <w:abstractNum w:abstractNumId="39">
    <w:nsid w:val="153EA438"/>
    <w:multiLevelType w:val="hybridMultilevel"/>
    <w:lvl w:ilvl="0">
      <w:lvlJc w:val="left"/>
      <w:lvlText w:val="%1."/>
      <w:numFmt w:val="decimal"/>
      <w:start w:val="5"/>
    </w:lvl>
    <w:lvl w:ilvl="1">
      <w:lvlJc w:val="left"/>
      <w:lvlText w:val="%2"/>
      <w:numFmt w:val="lowerLetter"/>
      <w:start w:val="1"/>
    </w:lvl>
  </w:abstractNum>
  <w:abstractNum w:abstractNumId="40">
    <w:nsid w:val="3855585C"/>
    <w:multiLevelType w:val="hybridMultilevel"/>
    <w:lvl w:ilvl="0">
      <w:lvlJc w:val="left"/>
      <w:lvlText w:val="%1."/>
      <w:numFmt w:val="decimal"/>
      <w:start w:val="8"/>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jpe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76" Type="http://schemas.openxmlformats.org/officeDocument/2006/relationships/hyperlink" Target="http://www.sec.gov/Archives/edgar/data/1828102/000121390024052510/ea0207672-20f_karooooo.htm" TargetMode="External"/><Relationship Id="rId85" Type="http://schemas.openxmlformats.org/officeDocument/2006/relationships/hyperlink" Target="http://www.sec.gov/Archives/edgar/data/1828102/000110465921029334/tm2034233d6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2024-07-11T15:49:50Z</dcterms:created>
  <dcterms:modified xsi:type="dcterms:W3CDTF">2024-07-11T15:49:50Z</dcterms:modified>
</cp:coreProperties>
</file>