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Marais Juan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Karooooo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KARO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 PENHURST AVENUE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BEDFORDVIEW</w:t>
            </w: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2007</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Sales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3,250,793</w:t>
            </w:r>
          </w:p>
        </w:tc>
        <w:tc>
          <w:tcPr>
            <w:tcW w:w="880" w:type="dxa"/>
            <w:vAlign w:val="bottom"/>
          </w:tcPr>
          <w:p>
            <w:pPr>
              <w:spacing w:after="0"/>
              <w:rPr>
                <w:sz w:val="22"/>
                <w:szCs w:val="2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00" w:type="dxa"/>
            <w:vAlign w:val="bottom"/>
          </w:tcPr>
          <w:p>
            <w:pPr>
              <w:spacing w:after="0"/>
              <w:rPr>
                <w:sz w:val="22"/>
                <w:szCs w:val="22"/>
                <w:color w:val="auto"/>
              </w:rPr>
            </w:pPr>
          </w:p>
        </w:tc>
        <w:tc>
          <w:tcPr>
            <w:tcW w:w="3180" w:type="dxa"/>
            <w:vAlign w:val="bottom"/>
            <w:gridSpan w:val="6"/>
          </w:tcPr>
          <w:p>
            <w:pPr>
              <w:ind w:left="400"/>
              <w:spacing w:after="0"/>
              <w:rPr>
                <w:sz w:val="20"/>
                <w:szCs w:val="20"/>
                <w:color w:val="auto"/>
              </w:rPr>
            </w:pPr>
            <w:r>
              <w:rPr>
                <w:rFonts w:ascii="Times New Roman" w:cs="Times New Roman" w:eastAsia="Times New Roman" w:hAnsi="Times New Roman"/>
                <w:sz w:val="20"/>
                <w:szCs w:val="20"/>
                <w:color w:val="0000FF"/>
              </w:rPr>
              <w:t>One Spire (Pty) Ltd</w:t>
            </w: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240" w:type="dxa"/>
            <w:vAlign w:val="bottom"/>
            <w:tcBorders>
              <w:bottom w:val="single" w:sz="8" w:color="2C2C2C"/>
            </w:tcBorders>
            <w:gridSpan w:val="2"/>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7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Juan Marais</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03/18/2026</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Anname de Villiers, Hoe Shin Goy as the undersigned’s true and lawful attorneys-in-fact to:</w:t>
      </w:r>
    </w:p>
    <w:p>
      <w:pPr>
        <w:spacing w:after="0" w:line="180" w:lineRule="exact"/>
        <w:rPr>
          <w:sz w:val="20"/>
          <w:szCs w:val="20"/>
          <w:color w:val="auto"/>
        </w:rPr>
      </w:pPr>
    </w:p>
    <w:p>
      <w:pPr>
        <w:jc w:val="both"/>
        <w:ind w:left="72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theundersigned, directly or indirectly including through a delegated entity, account administrator orother designated filing agent, to submit and file information and documents via the SEC’s ElectronicData Gathering and Retrieval (“EDGAR”) system or successor EDGAR Next, including identificationcodes, verification codes, passwords and password management codes, and any related annualcertifications or confirmations, and to act as the undersigned’s agent for such purposes;</w:t>
      </w:r>
    </w:p>
    <w:p>
      <w:pPr>
        <w:spacing w:after="0" w:line="204"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personpursuant to Section 16 of the Securities Exchange Act of 1934, as amended (the “Exchange Act”),and the rules thereunder of Karooooo Ltd. (the “Company”), Forms 3, 4 and 5, including anyamendments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accountadministrator or other designated filing agent, for and on behalf of the undersigned which may benecessary or desirable to complete and execute any such Form 3, 4 or 5, complete and executeany amendment or amendments thereto, and timely file such form with the United States Securitiesand Exchange Commission (the “SEC”) and any applicable stock exchange or similar authority;</w:t>
      </w:r>
    </w:p>
    <w:p>
      <w:pPr>
        <w:spacing w:after="0" w:line="200"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theundersigned one or more Forms 144, or any amendments thereto, relating to any sales orders(including in connection with the exercise of options to purchase the Company’s common stock(“common stock”), orally or electronically, to sell shares of common stock to the public from time totime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opinionof any of such attorneys-in-fact, may be of benefit to, in the best interest of, or legally required by,the undersigned, it being understood that the documents executed by any of such attorneys-in-facton behalf of the undersigned pursuant to this Power of Attorney shall be in such form and shallcontain such terms and conditions as any of such attorneys-in-fact may approve in the discretion ofany of such attorneys-in-fact; and</w:t>
      </w:r>
    </w:p>
    <w:p>
      <w:pPr>
        <w:spacing w:after="0" w:line="204" w:lineRule="exact"/>
        <w:rPr>
          <w:rFonts w:ascii="Times New Roman" w:cs="Times New Roman" w:eastAsia="Times New Roman" w:hAnsi="Times New Roman"/>
          <w:sz w:val="20"/>
          <w:szCs w:val="20"/>
          <w:color w:val="auto"/>
        </w:rPr>
      </w:pPr>
    </w:p>
    <w:p>
      <w:pPr>
        <w:jc w:val="both"/>
        <w:ind w:left="720" w:hanging="360"/>
        <w:spacing w:after="0" w:line="25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appointing,removing and replacing account administrators, account users, technical administrators anddelegated entities; (ii) maintaining the security of the undersigned’s EDGAR account, includingmodification of access codes; (iii) maintaining, modifying and certifying the accuracy of informationon the undersigned’s EDGAR account dashboard; (iv) acting as the EDGAR point of contact withrespect to the undersigned’s EDGAR account; and (v) performing any other actions contemplatedby Rule 10 of Regulation S-T with respect to account administrators.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ceases to be affiliated with the Company and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March 1, 2026.</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Juan Marais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6350</wp:posOffset>
            </wp:positionV>
            <wp:extent cx="23539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539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58039" TargetMode="External"/><Relationship Id="rId11" Type="http://schemas.openxmlformats.org/officeDocument/2006/relationships/hyperlink" Target="http://www.sec.gov/cgi-bin/browse-edgar?action=getcompany&amp;CIK=0001828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2026-03-18T11:52:53Z</dcterms:created>
  <dcterms:modified xsi:type="dcterms:W3CDTF">2026-03-18T11:52:53Z</dcterms:modified>
</cp:coreProperties>
</file>