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October,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4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15, 2024 - Karooooo Ltd. Announces Second Quarter and Half-Year 2025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440" w:type="dxa"/>
            <w:vAlign w:val="bottom"/>
            <w:tcBorders>
              <w:top w:val="single" w:sz="8" w:color="0000EE"/>
              <w:bottom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156845</wp:posOffset>
            </wp:positionV>
            <wp:extent cx="113157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0" w:hanging="152"/>
        <w:spacing w:after="0"/>
        <w:tabs>
          <w:tab w:leader="none" w:pos="360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Subscribers Increased 17% Y/Y to 2.14 Million</w:t>
      </w:r>
    </w:p>
    <w:p>
      <w:pPr>
        <w:spacing w:after="0" w:line="252" w:lineRule="exact"/>
        <w:rPr>
          <w:rFonts w:ascii="Times New Roman" w:cs="Times New Roman" w:eastAsia="Times New Roman" w:hAnsi="Times New Roman"/>
          <w:sz w:val="18"/>
          <w:szCs w:val="18"/>
          <w:color w:val="auto"/>
        </w:rPr>
      </w:pPr>
    </w:p>
    <w:p>
      <w:pPr>
        <w:ind w:left="3020" w:hanging="158"/>
        <w:spacing w:after="0"/>
        <w:tabs>
          <w:tab w:leader="none" w:pos="30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Net Subscriber Additions Increased 18% Y/Y to a Record 89,168</w:t>
      </w:r>
    </w:p>
    <w:p>
      <w:pPr>
        <w:spacing w:after="0" w:line="252" w:lineRule="exact"/>
        <w:rPr>
          <w:rFonts w:ascii="Times New Roman" w:cs="Times New Roman" w:eastAsia="Times New Roman" w:hAnsi="Times New Roman"/>
          <w:sz w:val="18"/>
          <w:szCs w:val="18"/>
          <w:color w:val="auto"/>
        </w:rPr>
      </w:pPr>
    </w:p>
    <w:p>
      <w:pPr>
        <w:ind w:left="2760" w:hanging="156"/>
        <w:spacing w:after="0"/>
        <w:tabs>
          <w:tab w:leader="none" w:pos="2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Adjusted Earnings Per Share increased 31% Y/Y to a Record ZAR7.35</w:t>
      </w:r>
    </w:p>
    <w:p>
      <w:pPr>
        <w:spacing w:after="0" w:line="252" w:lineRule="exact"/>
        <w:rPr>
          <w:rFonts w:ascii="Times New Roman" w:cs="Times New Roman" w:eastAsia="Times New Roman" w:hAnsi="Times New Roman"/>
          <w:sz w:val="18"/>
          <w:szCs w:val="18"/>
          <w:color w:val="auto"/>
        </w:rPr>
      </w:pPr>
    </w:p>
    <w:p>
      <w:pPr>
        <w:ind w:left="2560" w:hanging="146"/>
        <w:spacing w:after="0"/>
        <w:tabs>
          <w:tab w:leader="none" w:pos="2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FY25 Outlook for Subscribers and Cartrack Subscription Revenue at Midpoint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(October 15, 2024) - Karooooo Limited (“Karooooo”) reported strong results and a positive outlook in second quarter (“Q2 2025”) and Half-Year (“HY 2025”) ended August, 31 2024. Karooooo owns 100% of Cartrack and 74.8% of Karooooo Logistics, (collectively, “the group”).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Adjusted Earnings Per Share increased 31% Y/Y to ZAR7.35 for Q2 2025, driven by healthy subscription revenue growth and higher gross margins.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delivered another strong quarter of profitable growth in the second quarter,” said Zak Calisto, Group CEO of Karooooo. “Importantly, we recently completed the move to our newly built central office in South Africa, which positions us to support higher organic growth in the region. In addition, we started to increase our investment in sales and marketing in Southeast Asia to capitalize on the compelling growth opportunity for the group in the region. Despite increased capital allocation to growth in Southeast Asia, we remain committed to a disciplined approach to growth as evidenced by our continued strong unit economics.”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Q2 2024,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subscribers up 17% to 2,136,610 at August 31, 2024 (Q2 2024: 1,832,708)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up 18% to 89,168 (Q2 2024: 75,256)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15% to ZAR986 million (Q2 2024: ZAR860 million)</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Subscription revenue increased 22% to USD</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color w:val="auto"/>
        </w:rPr>
        <w:t xml:space="preserve"> 55 million (a non-IFRS measure).</w:t>
      </w:r>
    </w:p>
    <w:p>
      <w:pPr>
        <w:spacing w:after="0" w:line="77" w:lineRule="exact"/>
        <w:rPr>
          <w:rFonts w:ascii="Times New Roman" w:cs="Times New Roman" w:eastAsia="Times New Roman" w:hAnsi="Times New Roman"/>
          <w:sz w:val="36"/>
          <w:szCs w:val="36"/>
          <w:color w:val="auto"/>
          <w:vertAlign w:val="superscript"/>
        </w:rPr>
      </w:pPr>
    </w:p>
    <w:p>
      <w:pPr>
        <w:ind w:left="340" w:hanging="324"/>
        <w:spacing w:after="0" w:line="213"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at August 31, 2024 have been translated to U.S. dollars using an exchange rate of ZAR 17.7910 to U.S.$1.00 (August 31, 2023: ZAR 18.9061), as set forth in the H.10 statistical release of the Board of Governors of the Federal Reserve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August 31,</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0"/>
              </w:rPr>
              <w:t>Cartrack</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Karooooo Logistics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4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00" w:type="dxa"/>
            <w:vAlign w:val="bottom"/>
          </w:tcPr>
          <w:p>
            <w:pPr>
              <w:spacing w:after="0"/>
              <w:rPr>
                <w:sz w:val="10"/>
                <w:szCs w:val="10"/>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0"/>
                <w:szCs w:val="10"/>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Pr>
          <w:p>
            <w:pPr>
              <w:spacing w:after="0"/>
              <w:rPr>
                <w:sz w:val="10"/>
                <w:szCs w:val="10"/>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89"/>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Subscription revenue</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983,453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857,655</w:t>
            </w: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2,532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2,676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985,985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860,331</w:t>
            </w:r>
          </w:p>
        </w:tc>
        <w:tc>
          <w:tcPr>
            <w:tcW w:w="8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189"/>
        </w:trPr>
        <w:tc>
          <w:tcPr>
            <w:tcW w:w="17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1</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22,356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25,943</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22,356</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25,943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1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Vehicle sales</w:t>
            </w:r>
            <w:r>
              <w:rPr>
                <w:rFonts w:ascii="Times New Roman" w:cs="Times New Roman" w:eastAsia="Times New Roman" w:hAnsi="Times New Roman"/>
                <w:sz w:val="21"/>
                <w:szCs w:val="21"/>
                <w:color w:val="auto"/>
                <w:vertAlign w:val="superscript"/>
              </w:rPr>
              <w:t>2</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84,673</w:t>
            </w:r>
          </w:p>
        </w:tc>
        <w:tc>
          <w:tcPr>
            <w:tcW w:w="7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84,673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2"/>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98,380</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69,266</w:t>
            </w:r>
          </w:p>
        </w:tc>
        <w:tc>
          <w:tcPr>
            <w:tcW w:w="7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98,380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69,266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7"/>
        </w:trPr>
        <w:tc>
          <w:tcPr>
            <w:tcW w:w="1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line="20" w:lineRule="exact"/>
              <w:rPr>
                <w:sz w:val="1"/>
                <w:szCs w:val="1"/>
                <w:color w:val="auto"/>
              </w:rPr>
            </w:pPr>
          </w:p>
        </w:tc>
      </w:tr>
      <w:tr>
        <w:trPr>
          <w:trHeight w:val="183"/>
        </w:trPr>
        <w:tc>
          <w:tcPr>
            <w:tcW w:w="178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1,005,809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883,598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200" w:type="dxa"/>
            <w:vAlign w:val="bottom"/>
            <w:vMerge w:val="continue"/>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84,673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100,912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71,942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22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1,106,721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1,040,213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(258,521)</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(253,189)</w:t>
            </w:r>
          </w:p>
        </w:tc>
        <w:tc>
          <w:tcPr>
            <w:tcW w:w="200" w:type="dxa"/>
            <w:vAlign w:val="bottom"/>
          </w:tcPr>
          <w:p>
            <w:pPr>
              <w:spacing w:after="0"/>
              <w:rPr>
                <w:sz w:val="12"/>
                <w:szCs w:val="12"/>
                <w:color w:val="auto"/>
              </w:rPr>
            </w:pPr>
          </w:p>
        </w:tc>
        <w:tc>
          <w:tcPr>
            <w:tcW w:w="7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(78,175)</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vMerge w:val="continue"/>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(69,532)</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(48,312)</w:t>
            </w:r>
          </w:p>
        </w:tc>
        <w:tc>
          <w:tcPr>
            <w:tcW w:w="20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(328,053)</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(379,676)</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747,288</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630,409</w:t>
            </w:r>
          </w:p>
        </w:tc>
        <w:tc>
          <w:tcPr>
            <w:tcW w:w="7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6,498</w:t>
            </w:r>
          </w:p>
        </w:tc>
        <w:tc>
          <w:tcPr>
            <w:tcW w:w="7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31,380</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23,630</w:t>
            </w: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778,668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660,537</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1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 Margin</w:t>
            </w: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Profit/(loss)</w:t>
            </w:r>
          </w:p>
        </w:tc>
        <w:tc>
          <w:tcPr>
            <w:tcW w:w="8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293,061</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252,455</w:t>
            </w:r>
          </w:p>
        </w:tc>
        <w:tc>
          <w:tcPr>
            <w:tcW w:w="7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(12,896)</w:t>
            </w:r>
          </w:p>
        </w:tc>
        <w:tc>
          <w:tcPr>
            <w:tcW w:w="7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9,137</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7,627</w:t>
            </w: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302,198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247,186</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1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Profit Margin</w:t>
            </w: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(a non-</w:t>
            </w:r>
          </w:p>
        </w:tc>
        <w:tc>
          <w:tcPr>
            <w:tcW w:w="8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452,512</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416,952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(11,792)</w:t>
            </w:r>
          </w:p>
        </w:tc>
        <w:tc>
          <w:tcPr>
            <w:tcW w:w="7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9,991</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8,104</w:t>
            </w:r>
          </w:p>
        </w:tc>
        <w:tc>
          <w:tcPr>
            <w:tcW w:w="7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462,503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413,264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0" w:type="dxa"/>
            <w:vAlign w:val="bottom"/>
          </w:tcPr>
          <w:p>
            <w:pPr>
              <w:spacing w:after="0"/>
              <w:rPr>
                <w:sz w:val="1"/>
                <w:szCs w:val="1"/>
                <w:color w:val="auto"/>
              </w:rPr>
            </w:pPr>
          </w:p>
        </w:tc>
      </w:tr>
      <w:tr>
        <w:trPr>
          <w:trHeight w:val="173"/>
        </w:trPr>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IFRS measure)</w:t>
            </w: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Margin</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42%</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 non-IFRS measure)</w:t>
            </w: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large enterprise customers opting for a non-bundled contracts. Cartrack remains focused on bundled sales.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from Q1 2025, Carzuka has been fully integrated to support Cartrack operations, with the final on-hand vehicle sold off in this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grew subscription revenue by 15% to ZAR986 million (Q2 2024 : ZAR860 million) in Q2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grew revenue by 14% to ZAR1,006 million (Q2 2024: ZAR884 million) and subscription revenue by 15% to a record ZAR983 million in Q2 2025 (Q2 2024: ZAR858 million). Subscription revenue equated to 98% of total revenue. Cartrack achieved net subscriber additions in the quarter, building on its solid track record of growing at scale.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Logistics grew revenue by 40% to ZAR101 million (Q2 2024: ZAR72 million). Karooooo Logistics focuses on delivery-as-a-service (“DaaS”) for our large enterprise customers wishing to scale and digitalise their e-commerce operations without investing unnecessarily in additional assets by connecting them into an elastic fleet of third party delivery drivers.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3"/>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 August 31,</w:t>
            </w:r>
          </w:p>
        </w:tc>
      </w:tr>
      <w:tr>
        <w:trPr>
          <w:trHeight w:val="19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6"/>
                <w:szCs w:val="16"/>
                <w:color w:val="auto"/>
              </w:rPr>
            </w:pPr>
          </w:p>
        </w:tc>
      </w:tr>
      <w:tr>
        <w:trPr>
          <w:trHeight w:val="24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49"/>
        </w:trPr>
        <w:tc>
          <w:tcPr>
            <w:tcW w:w="7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480,754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458,510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382,891</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15% to ZAR481 million (Q2 2024: ZAR418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ZAR459 million, was attributable to Cartrack (Q2 2024: ZAR383 million). This comprised investment in territorial expansion and growth.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to invest prudently in scaling Karooooo Logistics, equating to ZAR22 million (Q2 2024: ZAR16 million) of total operating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sales and marketing operating expenses increased 33% to ZAR157 million (Q2 2024: ZAR118 million). This strategic investment in customer acquisition positions us well for continued growth. Our ratio of lifetime value (LTV) of customer relationships to customer acquisition costs (CAC) remains at over 9 times.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general and administration operating expenses increased 18% to ZAR220 million (Q2 2024: ZAR187 million). This planned increase reflects management’s commitment to building strong infrastructure that supports our growth plans. While demonstrating our ability to contain costs, we plan to prudently continue to increase these costs to support our planned customer acquisition strategy.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decreased 2% to ZAR51 million (Q2 2024: ZAR52 million). We remain focused on driving substantial benefit from our R&amp;D capital allocation. The decrease is as a result of the strengthening ZAR.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prudently provided for expected credit losses of ZAR30 million (Q2 2024: ZAR26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expenses as a proportion of subscription revenue aligns with Karooooo’s long-term financial goals, and reflects our investment in growth.</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increased to 16% (Q2 2024: 14%)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remained at 22% (Q2 2024: 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decreased at 5% (Q2 2024: 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grew by 22% to ZAR302 million (Q2 2024: ZAR247 million) and earnings per share by 22% to ZAR6.85 (Q2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ZAR5.61).</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adjusting Karooooo’s earnings per share for the secondary public offering in July 2024, Adjusted EPS (a non-IFRS measure) grew by 31% to ZAR7.35 (Q2 2024: ZAR5.61).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delivered record operating profit of ZAR293 million, up 16% (Q2 2024: ZAR252 million). The gross profit margin expanded to 74% (Q2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and the operating profit margin remains at 29% (Q2 2024: 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operating profit grew by 20% to ZAR9 million (Q2 2024: ZAR8 million) as it continues to scale. The gross profit margin was 31% (Q2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33%) with a healthy operating profit margin of 9% (Q2 2024: 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grew by 12% to ZAR463 million (Q2 2024: ZAR413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grew by 9% to ZAR453 million (Q2 2024: ZAR417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Adjusted EBITDA grew by 23% to ZAR10 million (Q2 2024: ZAR8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Half-Year 2025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HY 2024,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2,136,610 Cartrack subscribers at August 31, 2024, up by 17% (HY 2024: 1,832,708)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of 165 078, up by 43% (HY 2024: 115,631)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15% to ZAR1,950 million (HY 2024: ZAR1,697 million)</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Subscription revenue increased 22% to USD</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color w:val="auto"/>
        </w:rPr>
        <w:t xml:space="preserve"> 110 million (a non-IFRS measure).</w:t>
      </w:r>
    </w:p>
    <w:p>
      <w:pPr>
        <w:spacing w:after="0" w:line="77" w:lineRule="exact"/>
        <w:rPr>
          <w:rFonts w:ascii="Times New Roman" w:cs="Times New Roman" w:eastAsia="Times New Roman" w:hAnsi="Times New Roman"/>
          <w:sz w:val="36"/>
          <w:szCs w:val="36"/>
          <w:color w:val="auto"/>
          <w:vertAlign w:val="superscript"/>
        </w:rPr>
      </w:pPr>
    </w:p>
    <w:p>
      <w:pPr>
        <w:ind w:left="340" w:hanging="324"/>
        <w:spacing w:after="0" w:line="213"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at August 31, 2024 have been translated to U.S. dollars using an exchange rate of ZAR 17.7910 to U.S.$1.00 (August 31, 2023: ZAR 18.9061), as set forth in the H.10 statistical release of the Board of Governors of the Federal Reserve System.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Half-Year 2025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August 31,</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Cartrack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7"/>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Karooooo Logistics</w:t>
            </w:r>
          </w:p>
        </w:tc>
        <w:tc>
          <w:tcPr>
            <w:tcW w:w="230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4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29"/>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Pr>
          <w:p>
            <w:pPr>
              <w:spacing w:after="0"/>
              <w:rPr>
                <w:sz w:val="10"/>
                <w:szCs w:val="10"/>
                <w:color w:val="auto"/>
              </w:rPr>
            </w:pPr>
          </w:p>
        </w:tc>
        <w:tc>
          <w:tcPr>
            <w:tcW w:w="5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Subscription revenue</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1,943,056</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1,691,887</w:t>
            </w:r>
          </w:p>
        </w:tc>
        <w:tc>
          <w:tcPr>
            <w:tcW w:w="760" w:type="dxa"/>
            <w:vAlign w:val="bottom"/>
            <w:gridSpan w:val="2"/>
            <w:shd w:val="clear" w:color="auto" w:fill="CCEEFF"/>
          </w:tcPr>
          <w:p>
            <w:pPr>
              <w:jc w:val="right"/>
              <w:ind w:right="28"/>
              <w:spacing w:after="0" w:line="216"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5"/>
                <w:szCs w:val="25"/>
                <w:color w:val="auto"/>
                <w:vertAlign w:val="subscript"/>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6,697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4,841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1,949,753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1,696,728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41,728</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45,140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41,728</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45,140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166,236</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166,236</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2"/>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194,966</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128,896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194,966</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128,896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7"/>
        </w:trPr>
        <w:tc>
          <w:tcPr>
            <w:tcW w:w="1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6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83"/>
        </w:trPr>
        <w:tc>
          <w:tcPr>
            <w:tcW w:w="18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1,986,883</w:t>
            </w:r>
          </w:p>
        </w:tc>
        <w:tc>
          <w:tcPr>
            <w:tcW w:w="18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1,737,027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vMerge w:val="continue"/>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166,236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201,663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133,737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vMerge w:val="continue"/>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2,188,546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2,037,000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880" w:type="dxa"/>
            <w:vAlign w:val="bottom"/>
            <w:gridSpan w:val="2"/>
            <w:vMerge w:val="continue"/>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(526,581)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(506,154)</w:t>
            </w:r>
          </w:p>
        </w:tc>
        <w:tc>
          <w:tcPr>
            <w:tcW w:w="180" w:type="dxa"/>
            <w:vAlign w:val="bottom"/>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(152,620)</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(91,150)</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(662,469)</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(749,924)</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1,460,302</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1,230,873</w:t>
            </w:r>
          </w:p>
        </w:tc>
        <w:tc>
          <w:tcPr>
            <w:tcW w:w="7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13,616</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65,775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42,587</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1,526,077</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1,287,076</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1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 Margin</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Profit/(loss)</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580,248</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484,356</w:t>
            </w:r>
          </w:p>
        </w:tc>
        <w:tc>
          <w:tcPr>
            <w:tcW w:w="7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(24,952)</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21,697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12,156</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601,945</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471,560</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1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Profit Margin</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(a non-</w:t>
            </w:r>
          </w:p>
        </w:tc>
        <w:tc>
          <w:tcPr>
            <w:tcW w:w="8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905,845</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809,042</w:t>
            </w:r>
          </w:p>
        </w:tc>
        <w:tc>
          <w:tcPr>
            <w:tcW w:w="7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23,395</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13,096</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929,240</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799,388</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IFRS measure)</w:t>
            </w:r>
          </w:p>
        </w:tc>
        <w:tc>
          <w:tcPr>
            <w:tcW w:w="820" w:type="dxa"/>
            <w:vAlign w:val="bottom"/>
            <w:tcBorders>
              <w:right w:val="single" w:sz="8" w:color="CCEEFF"/>
            </w:tcBorders>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Margin (a</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non-IFRS measure)</w:t>
            </w: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284" w:lineRule="auto"/>
        <w:tabs>
          <w:tab w:leader="none" w:pos="3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grew revenue by 7% to ZAR2,189 million (HY 2024: ZAR2,037 million) and subscription revenue by 15% to ZAR1,950 million in HY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 2024: ZAR1,697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grew revenue by 14% to ZAR1,987 million (HY 2024: ZAR1,737 million) and subscription revenue by 15% to a record of ZAR1,943 million in HY 2025 (HY 2024: ZAR1,692 million). Subscription revenue equated to 98% of total revenue (HY 2024: 97%). Cartrack continues to build on its strong track record of growing at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planned, Karooooo Logistics continued to scale and bolster Karooooo’s revenue growth.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Logistics (trading as Picup in South Africa) generated record revenue of ZAR202 million in HY 2025 (HY 2024: ZAR134 million), growth of 51%.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3"/>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6"/>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 August 31,</w:t>
            </w:r>
          </w:p>
        </w:tc>
      </w:tr>
      <w:tr>
        <w:trPr>
          <w:trHeight w:val="19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6"/>
                <w:szCs w:val="16"/>
                <w:color w:val="auto"/>
              </w:rPr>
            </w:pPr>
          </w:p>
        </w:tc>
      </w:tr>
      <w:tr>
        <w:trPr>
          <w:trHeight w:val="24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50"/>
        </w:trPr>
        <w:tc>
          <w:tcPr>
            <w:tcW w:w="7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930,098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886,019</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753,770</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38,568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44,079</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13% to ZAR930 million in HY 2025 (HY 2024: ZAR823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ZAR886 million, was attributable to Cartrack (HY 2024: ZAR754 million), comprising prudent investment in infrastructure and headcount for territorial expansion. We continued to invest in brand building and infrastructure for Karooooo Logistics amounting to ZAR44 million, of the group’s total operating expenses (HY 2024: ZAR30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sales and marketing expenses increased 27% to ZAR296 million in HY 2025 (HY 2024: ZAR233 million). We expect to see future benefit in customer acquisition from this investment in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operating expenses were 16% higher at ZAR423 million (HY 2024: ZAR365 million). This reflects our investment in infrastructure to meet our growth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were 8% higher at ZAR106 million (HY 2024: ZAR98 million). Our planned investment in improving, enriching and expanding our Operations Cloud and internal management systems is focused on enhancing our value proposition to our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ZAR60 million (HY 2024: ZAR57 million), with expected credit losses for the period at 3% of revenue (HY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3.3%).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grew operating profit by 28% to a record of ZAR602 million (HY 2024: ZAR472 million) and earnings per share by 31% to ZAR14.02 (HY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ZAR10.70).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adjusting Karooooo’s earnings per share for the secondary public offering in July 2024, Adjusted EPS (a non-IFRS measure) grew by 36% to ZAR14.52 (HY 2024: ZAR10.70).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grew operating profit by 20% to a record of ZAR580 million (HY 2024: ZAR484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grew operating profit by 78% to a record of ZAR22 million (HY 2024: ZAR12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by 16% to ZAR929 million (HY 2024: ZAR799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by 12% to ZAR906 million (HY 2024: ZAR809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Adjusted EBITDA (a non-IFRS measure) increased by 79% to ZAR23 million (HY 2024: ZAR13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Karooooo is strongly positioned for growth. We operate in a growing and largely underpenetrated market, with strong demand from customers needing to be competitive and digitalise their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proven, robust and consistently profitable business model, underpinned by a strong balance sheet and healthy cash position, gives us multiple levers for expansion. We expect our continuous investment in our AI products, platform and customer experience to generate robust results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confident that our track record of success, specifically our ability to generate healthy cash flows, is sustainable.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be a leading Operations Cloud service provider.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Cartrack’s revenue making up the majority of group revenue, the guidance below relates primarily to 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our results, we revised our guidance for FY 2025 to:</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number of subscribers expected to be between 2,300,000 and 2,400,000, previously 2,200,000 and 2,400,000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expected to be between ZAR3,950 million and ZAR4,150 million, previously ZAR3,900 million and ZAR4,150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expected to be between 27% and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Adjusted Earnings Per Share expected to be between ZAR27.50 and ZAR31.00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strategic approach to capital allocation supports Karooooo’s strong growth at scale, profitability and high cash-generation. Given our balanced capital structure and strong cash generation, we have ample runway to accelerate our customer acquisition strategy while remaining profitable.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August 31, 2024, Karooooo’s property, plant and equipment had increased by ZAR218 million to ZAR2,251 million (February 29, 2024: ZAR2,033 million). This was primarily due to an increase of ZAR138 million in in-vehicle capitalized telematic devices, an increase of ZAR15 million in telematic devices available for future sales and an investment of ZAR49 million in building the South African central office. We have now occupied the South African central office and do not expect significant capital allocation to the building going forward.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property, plant and equipment of uninstalled telematic devices for future sales was ZAR361 million (February 29, 2024: ZAR346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line with business growth and currency fluctuations, trade and other payables increased to ZAR499 million (February 29, 2024: ZAR446 million). Trade and other receivables and prepayments decreased to ZAR521 million (February 29, 2024: ZAR985 million). At February 29, 2024, fixed deposits placed with banks amounting to ZAR486 million, which matured in June and July 2024, were included in other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 collection days remain within our historical norms at 27 days (February 29, 2024: 29 days).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group’s cash management policy, overseen by our capital allocation committee, Karooooo’s excess cash reserves are held in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allocating ZAR49 million to the new South African central office and paying a dividend of USD33.4 million in HY 2025, Karooooo reported a net cash and cash equivalents balance of ZAR674 million at August 31, 2024 (February 29, 2024: ZAR436 million). At February 29, 2024, the net cash and cash equivalents balance did not include bank fixed deposits maturing after 3 months amounting to ZAR486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August 31, 2024, the group had bank facilities for growth initiatives and other general corporate purposes of ZAR300 million with Capitec Bank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generated cash from operating activities of ZAR394 million for the quarter ended August 31, 2024 (August 31, 2023 ZAR304 million). After allocating ZAR12 million (August 31, 2023: ZAR 54 million) to the South African central office building, the group generated Free Cash Flow (a non-IFRS measure) of ZAR166 million for the quarter ended August 31, 2024 (August 31, 2023: ZAR 68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Free Cash Flow (a non-IFRS measure) generated is in keeping with our planned capital allocation for future growth.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August 31, 2024, Karooooo had 30,893,300 ordinary shares issued and outstanding, and paid-up share capital of USD505,956,659 plus SGD1,000.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other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ZAR12 million of capital reserve on the balance sheet relates to the cancellation of Karooooo’s treasury shares and ZAR11.4 million of capital reserve relates to the repurchase and cancellation of 279 ordinary shares of Karooooo Logistics, which represent 6.29% of Karooooo Logistics’s issued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16% to 1,616,071 at August 31, 2024 (August 31, 2023: 1,393,353), with subscription revenue growth of 15%.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economic environment in South Africa is improving and we are confident that our move to our newly built central office in September 2024 positions us to support strong organic growth as it will allow us to expand our customer base and increase subscription sales to existing customers in the region.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Middle East and United States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21% to 251,076 at August 31, 2024 (August 31, 2023: 206,946). This translates to 18% growth in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second largest contributor to group revenue, Southeast Asia continues to present the most compelling growth opportunity for the group in the medium to long term. In September 2024, we started a strong, yet prudent, drive to increase Sales and marketing in Southeast Asia.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17% to 181,383 at August 31, 2024 (August 31, 2023: 155,671). This translates to 16% growth in subscription revenue.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building a leading mobility and connected-vehicle platform to give our customers easier access to valuable insights. Demonstrating Karooooo’s standing as a platform of choice, leading OEMs have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 In addition, we are experiencing encouraging demand for our proprietary compliance technology in the region as customers seek to be compliant with new legislation.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15% to 88,080 at August 31, 2024 (August 31, 2023: 76,738). This translates to 4% growth in subscription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region remains a positive cash generator and is strategic to Karooooo’s South African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of investment in achieving growth at scale, and endeavors to avoid swings in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 Bribery and Whistleblowing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management will host a Zoom webinar on Tuesday, October 15, 2024 at 08:00 a.m. Eastern Time (02:00 p.m. South African time; 08:00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https://us02web.zoom.us/j/82027776209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820 2777 6209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a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2,175,000 connected vehicles and equipment on the Cartrack cloud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0" w:right="339" w:bottom="112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900" w:space="720"/>
            <w:col w:w="7620"/>
          </w:cols>
          <w:pgMar w:left="320" w:top="900" w:right="339" w:bottom="112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2900" w:space="720"/>
            <w:col w:w="7620"/>
          </w:cols>
          <w:pgMar w:left="320" w:top="900" w:right="339" w:bottom="112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1,106,721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1,040,213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2,188,546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2,037,000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(328,053)</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(379,676)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(662,469)</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(749,924)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778,668</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1,526,077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4,284</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7,267</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(480,754)</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(418,290)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(930,098)</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(822,783)</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(156,898)</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(127,890)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(297,146)</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(252,595)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(239,418)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(208,759)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(460,912)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(407,022)</w:t>
            </w: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(54,109)</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(111,718)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(105,686)</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(30,329)</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(60,322)</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(57,480)</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302,198</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247,186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601,945</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471,560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(15,470)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13,708</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24,921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(11,826)</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(17,460)</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288,610</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253,491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593,936</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486,569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(72,844)</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(75,277)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(152,887)</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215,766</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178,214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441,049</w:t>
            </w:r>
          </w:p>
        </w:tc>
        <w:tc>
          <w:tcPr>
            <w:tcW w:w="3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340,161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211,543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433,127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331,159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4,223</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9,002</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215,766</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178,214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441,049</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340,161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2,250,984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2,032,794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1,789,501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425,142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374,521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76,309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83,123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215,737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227,380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28,200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15,278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21,376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7"/>
        </w:trPr>
        <w:tc>
          <w:tcPr>
            <w:tcW w:w="73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Deferred tax assets</w:t>
            </w:r>
            <w:r>
              <w:rPr>
                <w:rFonts w:ascii="Times New Roman" w:cs="Times New Roman" w:eastAsia="Times New Roman" w:hAnsi="Times New Roman"/>
                <w:sz w:val="29"/>
                <w:szCs w:val="29"/>
                <w:color w:val="auto"/>
                <w:vertAlign w:val="superscript"/>
              </w:rPr>
              <w:t>6</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103,706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81,903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55,534</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3,115,356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2,846,752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2,524,589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110,146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521,327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985,398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706,815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459,527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651,115</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1,241,941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4,357,297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4,306,973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3,775,818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7,131,059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7,142,853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(23,816)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Capital reserve</w:t>
            </w:r>
            <w:r>
              <w:rPr>
                <w:rFonts w:ascii="Times New Roman" w:cs="Times New Roman" w:eastAsia="Times New Roman" w:hAnsi="Times New Roman"/>
                <w:sz w:val="29"/>
                <w:szCs w:val="29"/>
                <w:color w:val="auto"/>
                <w:vertAlign w:val="superscript"/>
              </w:rPr>
              <w:t>1,3</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(3,609,451)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(3,582,568)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(3,582,568)</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232,853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330,812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1,624,191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1,803,482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1,396,449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2,669,416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42,714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41,764</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2,712,130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2,566,538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258,894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138,113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123,468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121,302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115,843</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68,051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69,840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54,301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588,526</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364,072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323,739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31,879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498,677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446,284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66,251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63,055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330,221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325,848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32,491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95,286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73,375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59,304</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1,056,641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940,439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885,541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1,645,167</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1,304,511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4,357,297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4,306,973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3,775,818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69" w:gutter="0" w:footer="0" w:header="0"/>
        </w:sectPr>
      </w:pPr>
    </w:p>
    <w:bookmarkStart w:id="14" w:name="page15"/>
    <w:bookmarkEnd w:id="14"/>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79"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capital reserves are ZAR12 million relating to the cancellation of Karooooo’s treasury shares and ZAR11.4 million of capital reserve relating to the repurchase and cancellation of Karooooo Logistics’s ordinary shares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property, plant and equipment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r>
      <w:tr>
        <w:trPr>
          <w:trHeight w:val="245"/>
        </w:trPr>
        <w:tc>
          <w:tcPr>
            <w:tcW w:w="73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telematics devices – Work in progress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236,429</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130,511</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155,515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telematic devices – Uninstalled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124,894</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215,539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181,183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 devices – Installed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1,170,478</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1,032,250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936,858</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of South African Central Office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315,768</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266,870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163,237</w:t>
            </w:r>
          </w:p>
        </w:tc>
      </w:tr>
    </w:tbl>
    <w:p>
      <w:pPr>
        <w:spacing w:after="0" w:line="177" w:lineRule="exact"/>
        <w:rPr>
          <w:sz w:val="20"/>
          <w:szCs w:val="20"/>
          <w:color w:val="auto"/>
        </w:rPr>
      </w:pPr>
    </w:p>
    <w:p>
      <w:pPr>
        <w:jc w:val="both"/>
        <w:ind w:left="340" w:hanging="332"/>
        <w:spacing w:after="0" w:line="267" w:lineRule="auto"/>
        <w:tabs>
          <w:tab w:leader="none" w:pos="3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June 2024, The Standard Bank of South Africa Limited extended a loan of ZAR 250 million to Purple Rain Properties No. 444 Proprietary Limited (the owner of the regional South Africa central office under constructions) at the South Africa Prime Interest Rate less 1.5%. The loan will mature on 21 December 2025 and these funds were used to settle an inter company loan from Cartrack Pty Ltd.</w:t>
      </w:r>
    </w:p>
    <w:p>
      <w:pPr>
        <w:spacing w:after="0" w:line="173"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movement in deferred tax assets reflects the recognition past tax losses by now-profitable entities and temporary differences between tax and accounting profits within group entities.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7" w:lineRule="exact"/>
        <w:rPr>
          <w:sz w:val="20"/>
          <w:szCs w:val="20"/>
          <w:color w:val="auto"/>
        </w:rPr>
      </w:pPr>
    </w:p>
    <w:p>
      <w:pPr>
        <w:ind w:right="1960"/>
        <w:spacing w:after="0" w:line="276" w:lineRule="auto"/>
        <w:rPr>
          <w:sz w:val="20"/>
          <w:szCs w:val="20"/>
          <w:color w:val="auto"/>
        </w:rPr>
      </w:pPr>
      <w:r>
        <w:rPr>
          <w:rFonts w:ascii="Times New Roman" w:cs="Times New Roman" w:eastAsia="Times New Roman" w:hAnsi="Times New Roman"/>
          <w:sz w:val="17"/>
          <w:szCs w:val="17"/>
          <w:color w:val="auto"/>
        </w:rPr>
        <w:t>Net cash flows utilized by investing activities Net cash flows utilized by financing activities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movements for the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at the end of the period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394,129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303,867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1,230,362</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644,079</w:t>
            </w:r>
          </w:p>
        </w:tc>
        <w:tc>
          <w:tcPr>
            <w:tcW w:w="40" w:type="dxa"/>
            <w:vAlign w:val="bottom"/>
          </w:tcPr>
          <w:p>
            <w:pPr>
              <w:spacing w:after="0"/>
              <w:rPr>
                <w:sz w:val="18"/>
                <w:szCs w:val="18"/>
                <w:color w:val="auto"/>
              </w:rPr>
            </w:pPr>
          </w:p>
        </w:tc>
      </w:tr>
      <w:tr>
        <w:trPr>
          <w:trHeight w:val="216"/>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(241,118)</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(245,615)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(520,477)</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(442,929)</w:t>
            </w:r>
          </w:p>
        </w:tc>
      </w:tr>
      <w:tr>
        <w:trPr>
          <w:trHeight w:val="255"/>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(388,720)</w:t>
            </w:r>
          </w:p>
        </w:tc>
        <w:tc>
          <w:tcPr>
            <w:tcW w:w="32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(517,968)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(426,818)</w:t>
            </w:r>
          </w:p>
        </w:tc>
        <w:tc>
          <w:tcPr>
            <w:tcW w:w="3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(536,297)</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(235,709)</w:t>
            </w: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(459,716)</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520"/>
              <w:spacing w:after="0" w:line="198" w:lineRule="exact"/>
              <w:rPr>
                <w:sz w:val="20"/>
                <w:szCs w:val="20"/>
                <w:color w:val="auto"/>
              </w:rPr>
            </w:pPr>
            <w:r>
              <w:rPr>
                <w:rFonts w:ascii="Times New Roman" w:cs="Times New Roman" w:eastAsia="Times New Roman" w:hAnsi="Times New Roman"/>
                <w:sz w:val="18"/>
                <w:szCs w:val="18"/>
                <w:color w:val="auto"/>
                <w:w w:val="95"/>
              </w:rPr>
              <w:t>283,067</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(335,147)</w:t>
            </w:r>
          </w:p>
        </w:tc>
        <w:tc>
          <w:tcPr>
            <w:tcW w:w="4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949,558</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1,137,444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436,165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965,750</w:t>
            </w:r>
          </w:p>
        </w:tc>
        <w:tc>
          <w:tcPr>
            <w:tcW w:w="40" w:type="dxa"/>
            <w:vAlign w:val="bottom"/>
          </w:tcPr>
          <w:p>
            <w:pPr>
              <w:spacing w:after="0"/>
              <w:rPr>
                <w:sz w:val="18"/>
                <w:szCs w:val="18"/>
                <w:color w:val="auto"/>
              </w:rPr>
            </w:pPr>
          </w:p>
        </w:tc>
      </w:tr>
      <w:tr>
        <w:trPr>
          <w:trHeight w:val="248"/>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(39,525)</w:t>
            </w:r>
          </w:p>
        </w:tc>
        <w:tc>
          <w:tcPr>
            <w:tcW w:w="3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(44,908)</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40" w:type="dxa"/>
            <w:vAlign w:val="bottom"/>
          </w:tcPr>
          <w:p>
            <w:pPr>
              <w:spacing w:after="0"/>
              <w:rPr>
                <w:sz w:val="21"/>
                <w:szCs w:val="2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674,324</w:t>
            </w:r>
          </w:p>
        </w:tc>
        <w:tc>
          <w:tcPr>
            <w:tcW w:w="3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651,115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674,324</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651,115</w:t>
            </w:r>
          </w:p>
        </w:tc>
        <w:tc>
          <w:tcPr>
            <w:tcW w:w="4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-1071245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-796290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900" w:right="379" w:bottom="1440" w:gutter="0" w:footer="0" w:header="0"/>
          <w:type w:val="continuous"/>
        </w:sect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394,129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1,230,362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644,079</w:t>
            </w:r>
          </w:p>
        </w:tc>
        <w:tc>
          <w:tcPr>
            <w:tcW w:w="0" w:type="dxa"/>
            <w:vAlign w:val="bottom"/>
          </w:tcPr>
          <w:p>
            <w:pPr>
              <w:spacing w:after="0"/>
              <w:rPr>
                <w:sz w:val="1"/>
                <w:szCs w:val="1"/>
                <w:color w:val="auto"/>
              </w:rPr>
            </w:pPr>
          </w:p>
        </w:tc>
      </w:tr>
      <w:tr>
        <w:trPr>
          <w:trHeight w:val="270"/>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purchase of property, plant and equipment</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(228,587)</w:t>
            </w:r>
          </w:p>
        </w:tc>
        <w:tc>
          <w:tcPr>
            <w:tcW w:w="32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(236,354)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(495,858)</w:t>
            </w:r>
          </w:p>
        </w:tc>
        <w:tc>
          <w:tcPr>
            <w:tcW w:w="34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(418,833)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165,542</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734,504</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225,246</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quarter ended August 31, 2024, included in the purchase of property, plant and equipment are development cost of ZAR 12 million (August 31, 2023: ZAR 54 million) for the new South African Central Office in Rosebank, Johannesburg.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215,766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178,214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441,049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340,161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72,844</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75,277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152,887</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146,408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(9,287)</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11,826</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17,460</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15,470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15,470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160,305</w:t>
            </w:r>
          </w:p>
        </w:tc>
        <w:tc>
          <w:tcPr>
            <w:tcW w:w="3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166,078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327,295</w:t>
            </w:r>
          </w:p>
        </w:tc>
        <w:tc>
          <w:tcPr>
            <w:tcW w:w="3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327,828</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462,503</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413,264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929,240</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799,388</w:t>
            </w: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00" w:type="dxa"/>
            <w:vAlign w:val="bottom"/>
          </w:tcPr>
          <w:p>
            <w:pPr>
              <w:spacing w:after="0"/>
              <w:rPr>
                <w:sz w:val="21"/>
                <w:szCs w:val="21"/>
                <w:color w:val="auto"/>
              </w:rPr>
            </w:pPr>
          </w:p>
        </w:tc>
        <w:tc>
          <w:tcPr>
            <w:tcW w:w="19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Pr>
          <w:p>
            <w:pPr>
              <w:spacing w:after="0"/>
              <w:rPr>
                <w:sz w:val="21"/>
                <w:szCs w:val="21"/>
                <w:color w:val="auto"/>
              </w:rPr>
            </w:pPr>
          </w:p>
        </w:tc>
        <w:tc>
          <w:tcPr>
            <w:tcW w:w="16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r>
      <w:tr>
        <w:trPr>
          <w:trHeight w:val="237"/>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00" w:type="dxa"/>
            <w:vAlign w:val="bottom"/>
          </w:tcPr>
          <w:p>
            <w:pPr>
              <w:spacing w:after="0"/>
              <w:rPr>
                <w:sz w:val="18"/>
                <w:szCs w:val="18"/>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66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80" w:right="180" w:hanging="161"/>
        <w:spacing w:after="0" w:line="249" w:lineRule="auto"/>
        <w:rPr>
          <w:sz w:val="20"/>
          <w:szCs w:val="20"/>
          <w:color w:val="auto"/>
        </w:rPr>
      </w:pPr>
      <w:r>
        <w:rPr>
          <w:rFonts w:ascii="Times New Roman" w:cs="Times New Roman" w:eastAsia="Times New Roman" w:hAnsi="Times New Roman"/>
          <w:sz w:val="18"/>
          <w:szCs w:val="18"/>
          <w:b w:val="1"/>
          <w:bCs w:val="1"/>
          <w:color w:val="auto"/>
        </w:rPr>
        <w:t>Reconciliation between basic earnings and adjusted earnings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attributable to ordinary shareholders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7"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 which the per share figures have been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basic and diluted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211,543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173,678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433,127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331,159</w:t>
            </w:r>
          </w:p>
        </w:tc>
      </w:tr>
      <w:tr>
        <w:trPr>
          <w:trHeight w:val="44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15,470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227,013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173,678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448,597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331,159</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48"/>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30,951</w:t>
            </w:r>
          </w:p>
        </w:tc>
      </w:tr>
      <w:tr>
        <w:trPr>
          <w:trHeight w:val="432"/>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473"/>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bl>
    <w:p>
      <w:pPr>
        <w:spacing w:after="0" w:line="195" w:lineRule="exact"/>
        <w:rPr>
          <w:sz w:val="20"/>
          <w:szCs w:val="20"/>
          <w:color w:val="auto"/>
        </w:rPr>
      </w:pPr>
    </w:p>
    <w:p>
      <w:pPr>
        <w:sectPr>
          <w:pgSz w:w="11900" w:h="16838" w:orient="portrait"/>
          <w:cols w:equalWidth="0" w:num="2">
            <w:col w:w="5840" w:space="140"/>
            <w:col w:w="5260"/>
          </w:cols>
          <w:pgMar w:left="320" w:top="900" w:right="339" w:bottom="1440" w:gutter="0" w:footer="0" w:header="0"/>
          <w:type w:val="continuous"/>
        </w:sectPr>
      </w:pPr>
    </w:p>
    <w:p>
      <w:pPr>
        <w:ind w:left="340" w:hanging="332"/>
        <w:spacing w:after="0" w:line="284" w:lineRule="auto"/>
        <w:tabs>
          <w:tab w:leader="none" w:pos="3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earnings per share, (a non-IFRS measure) is defined as, earnings per share defined by IFRS excluding the impact of non-recurring operational expenses relating to offering costs.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 Basic or diluted HEPS is calculated using profit attributable to shareholders adjusted for (gain)/loss on disposal of property, plant and equipment divided by the weighted average number of ordinary shares in issue. 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left="2660" w:right="2660"/>
        <w:spacing w:after="0" w:line="255" w:lineRule="auto"/>
        <w:rPr>
          <w:sz w:val="20"/>
          <w:szCs w:val="20"/>
          <w:color w:val="auto"/>
        </w:rPr>
      </w:pPr>
      <w:r>
        <w:rPr>
          <w:rFonts w:ascii="Times New Roman" w:cs="Times New Roman" w:eastAsia="Times New Roman" w:hAnsi="Times New Roman"/>
          <w:sz w:val="18"/>
          <w:szCs w:val="18"/>
          <w:b w:val="1"/>
          <w:bCs w:val="1"/>
          <w:color w:val="auto"/>
        </w:rPr>
        <w:t>RECONCILIATION OF BASIC AND DILUTED EARNINGS PER SHARE TO HEADLINE EARNINGS PER SHARE (A NON-IFRS MEASURE) (UNAUDITED)</w:t>
      </w:r>
    </w:p>
    <w:p>
      <w:pPr>
        <w:spacing w:after="0" w:line="182"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00" w:type="dxa"/>
            <w:vAlign w:val="bottom"/>
          </w:tcPr>
          <w:p>
            <w:pPr>
              <w:spacing w:after="0"/>
              <w:rPr>
                <w:sz w:val="21"/>
                <w:szCs w:val="21"/>
                <w:color w:val="auto"/>
              </w:rPr>
            </w:pPr>
          </w:p>
        </w:tc>
        <w:tc>
          <w:tcPr>
            <w:tcW w:w="19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Pr>
          <w:p>
            <w:pPr>
              <w:spacing w:after="0"/>
              <w:rPr>
                <w:sz w:val="21"/>
                <w:szCs w:val="21"/>
                <w:color w:val="auto"/>
              </w:rPr>
            </w:pPr>
          </w:p>
        </w:tc>
        <w:tc>
          <w:tcPr>
            <w:tcW w:w="16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r>
      <w:tr>
        <w:trPr>
          <w:trHeight w:val="237"/>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00" w:type="dxa"/>
            <w:vAlign w:val="bottom"/>
          </w:tcPr>
          <w:p>
            <w:pPr>
              <w:spacing w:after="0"/>
              <w:rPr>
                <w:sz w:val="18"/>
                <w:szCs w:val="18"/>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66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00"/>
          </w:cols>
          <w:pgMar w:left="320" w:top="900" w:right="379" w:bottom="1440" w:gutter="0" w:footer="0" w:header="0"/>
        </w:sectPr>
      </w:pPr>
    </w:p>
    <w:p>
      <w:pPr>
        <w:ind w:left="180" w:right="60" w:hanging="161"/>
        <w:spacing w:after="0" w:line="249" w:lineRule="auto"/>
        <w:rPr>
          <w:sz w:val="20"/>
          <w:szCs w:val="20"/>
          <w:color w:val="auto"/>
        </w:rPr>
      </w:pPr>
      <w:r>
        <w:rPr>
          <w:rFonts w:ascii="Times New Roman" w:cs="Times New Roman" w:eastAsia="Times New Roman" w:hAnsi="Times New Roman"/>
          <w:sz w:val="18"/>
          <w:szCs w:val="18"/>
          <w:b w:val="1"/>
          <w:bCs w:val="1"/>
          <w:color w:val="auto"/>
        </w:rPr>
        <w:t>Reconciliation between basic earnings to headline earnings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(Gain)/loss on disposal of property, plant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 on loss/ (gain) on disposal of property, plant and equipment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Headline earnings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180" w:hanging="161"/>
        <w:spacing w:after="0" w:line="261" w:lineRule="auto"/>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 which the per share figures have been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headline earnings per share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211,543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173,678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433,127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331,159</w:t>
            </w:r>
          </w:p>
        </w:tc>
        <w:tc>
          <w:tcPr>
            <w:tcW w:w="40" w:type="dxa"/>
            <w:vAlign w:val="bottom"/>
          </w:tcPr>
          <w:p>
            <w:pPr>
              <w:spacing w:after="0"/>
              <w:rPr>
                <w:sz w:val="20"/>
                <w:szCs w:val="20"/>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14"/>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r>
      <w:tr>
        <w:trPr>
          <w:trHeight w:val="248"/>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211,541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432,800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331,610</w:t>
            </w:r>
          </w:p>
        </w:tc>
        <w:tc>
          <w:tcPr>
            <w:tcW w:w="4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30,896</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30,951</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Pr>
          <w:p>
            <w:pPr>
              <w:spacing w:after="0"/>
              <w:rPr>
                <w:sz w:val="20"/>
                <w:szCs w:val="20"/>
                <w:color w:val="auto"/>
              </w:rPr>
            </w:pPr>
          </w:p>
        </w:tc>
      </w:tr>
      <w:tr>
        <w:trPr>
          <w:trHeight w:val="432"/>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10.71</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580" w:space="400"/>
            <w:col w:w="5220"/>
          </w:cols>
          <w:pgMar w:left="320" w:top="900" w:right="379" w:bottom="1440" w:gutter="0" w:footer="0" w:header="0"/>
          <w:type w:val="continuous"/>
        </w:sect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and Half Year Ended August 31,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and half year ended August 31, 2023, as applicable using the average of the monthly exchange rates applicable to that period. The measurement has been performed for each of the group’s operating currencies.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August 31,</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985,985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860,331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993,897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860,331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August 31,</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1,106,721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1,040,213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1,114,845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1,040,213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 August 31,</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1,949,753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1,696,728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1,958,429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1,696,728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 August 31,</w:t>
            </w: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2,188,546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2,197,443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non-recurring operational expenses relating to offering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Delivery-as-a-service Revenue (DaaS)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DaaS Revenue (a non-IFRS) measure) is defined as the annualized business to business (B2B) delivery-as-a-service revenue during the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40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operating margin for a period of 12-months sum to greater than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60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adjusted EBITDA margin for the period of 12 months sum to greater than 60.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actual results to vary from projected results include, but are not limited to:</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We disclaim any duty to update and do not intend to update any forward-looking statements, all of which are expressly qualified by the statements in this section, to reflect events or circumstances after the date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2024-10-15T05:32:20Z</dcterms:created>
  <dcterms:modified xsi:type="dcterms:W3CDTF">2024-10-15T05:32:20Z</dcterms:modified>
</cp:coreProperties>
</file>