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May,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 Harbourfront Avenue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60"/>
        <w:spacing w:after="0" w:line="207" w:lineRule="exact"/>
        <w:tabs>
          <w:tab w:leader="none" w:pos="5200" w:val="left"/>
          <w:tab w:leader="none" w:pos="5860" w:val="left"/>
          <w:tab w:leader="none" w:pos="68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0000EE"/>
                <w:w w:val="99"/>
              </w:rPr>
              <w:t>Press release, dated May 8, 2023 - Karooooo Ltd. Announces Fourth Quarter and Full Year 2023 Unaudited Financial Results</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060" w:type="dxa"/>
            <w:vAlign w:val="bottom"/>
            <w:tcBorders>
              <w:top w:val="single" w:sz="8" w:color="0000EE"/>
              <w:bottom w:val="single" w:sz="8" w:color="auto"/>
            </w:tcBorders>
          </w:tcPr>
          <w:p>
            <w:pPr>
              <w:jc w:val="right"/>
              <w:ind w:right="4550"/>
              <w:spacing w:after="0"/>
              <w:rPr>
                <w:sz w:val="20"/>
                <w:szCs w:val="20"/>
                <w:color w:val="auto"/>
              </w:rPr>
            </w:pPr>
            <w:r>
              <w:rPr>
                <w:rFonts w:ascii="Arial" w:cs="Arial" w:eastAsia="Arial" w:hAnsi="Arial"/>
                <w:sz w:val="18"/>
                <w:szCs w:val="18"/>
                <w:color w:val="auto"/>
              </w:rPr>
              <w:t>2</w:t>
            </w: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154305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SINGAPORE (May 8, 2023) - Karooooo Limited (“Karooooo”) reported robust results for the fourth quarter (“Q4 2023”), ended February 28, 2023.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Karooooo owns 100% of Cartrack, 100% of Carzuka and 70.1% of Karooooo Logistics</w:t>
      </w:r>
      <w:r>
        <w:rPr>
          <w:rFonts w:ascii="Arial" w:cs="Arial" w:eastAsia="Arial" w:hAnsi="Arial"/>
          <w:sz w:val="29"/>
          <w:szCs w:val="29"/>
          <w:color w:val="auto"/>
          <w:vertAlign w:val="superscript"/>
        </w:rPr>
        <w:t>1</w:t>
      </w:r>
      <w:r>
        <w:rPr>
          <w:rFonts w:ascii="Arial" w:cs="Arial" w:eastAsia="Arial" w:hAnsi="Arial"/>
          <w:sz w:val="18"/>
          <w:szCs w:val="18"/>
          <w:color w:val="auto"/>
        </w:rPr>
        <w:t>, (collectively, “the group”).</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robust results extend the group’s track record of growth at scale, profitability and cash generation to over a decade. Achieved in varying macro-economic environments, the group’s success is thanks to an entrepreneurial, innovative, agile and customer-centric culture. This allows us to build strong relationships and provide for the unique needs of diverse customers, as they digitalize their operations for competitive advantage in dynamic and challenging operating environments.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proven and profitable business model, compelling competitive differentiators and strong financial position give us multiple levers for expansion. We remain confident that our track record of success, specifically our ability to continue generating healthy cash flows, is sustainable.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 Q4 2023 and for the full year (“FY 2023”), Karooooo’s total revenue grew 24% to ZAR916 million (Q4 2022: ZAR742 million) and 28% to ZAR3,507</w:t>
      </w:r>
    </w:p>
    <w:p>
      <w:pPr>
        <w:spacing w:after="0" w:line="235" w:lineRule="auto"/>
        <w:rPr>
          <w:sz w:val="20"/>
          <w:szCs w:val="20"/>
          <w:color w:val="auto"/>
        </w:rPr>
      </w:pPr>
      <w:r>
        <w:rPr>
          <w:rFonts w:ascii="Arial" w:cs="Arial" w:eastAsia="Arial" w:hAnsi="Arial"/>
          <w:sz w:val="16"/>
          <w:szCs w:val="16"/>
          <w:color w:val="auto"/>
        </w:rPr>
        <w:t>million (FY 2022: ZAR2,746 million), respectively.</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Subscription revenue grew 18% in Q4 2023 to ZAR794 million (Q4 2022: ZAR671 million) and 17%</w:t>
      </w:r>
    </w:p>
    <w:p>
      <w:pPr>
        <w:spacing w:after="0"/>
        <w:rPr>
          <w:sz w:val="20"/>
          <w:szCs w:val="20"/>
          <w:color w:val="auto"/>
        </w:rPr>
      </w:pPr>
      <w:r>
        <w:rPr>
          <w:rFonts w:ascii="Arial" w:cs="Arial" w:eastAsia="Arial" w:hAnsi="Arial"/>
          <w:sz w:val="18"/>
          <w:szCs w:val="18"/>
          <w:color w:val="auto"/>
        </w:rPr>
        <w:t>to ZAR3,010 million (FY 2022: ZAR2,568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Our prudent and strategic investment in growth benefitted earnings per share, up 51% to ZAR4.70 for Q4 2023 (Q4 2022: ZAR3.11) and up 27%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ZAR19.29 for FY 2023 (FY 2022: ZAR15.24).</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Record free cash flow bolstered our strong and unleveraged balance sheet. Free cash flow for FY 2023 rose 44% to ZAR547 million (FY 2022: ZAR379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 Net cash and cash equivalents at the end of February 2023 were 35% higher at ZAR966 million (Q4 2022: ZAR718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strong cash generation drove up net cash and cash equivalents and supported cash outflows both to reward shareholders and invest for future growth. A dividend of USD18.6 million was paid in September 2022. A cash investment of ZAR50 million was made in working capital for Carzuka, and ZAR72 million to develop our South African central office in Rosebank, Johannesburg.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robust earnings, free cash flow generation, strong and unleveraged balance sheet will enable the group to pay shareholders a record cash dividend of USD 26.3 million (USD0.85 per share) in July 2023.</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group has significant opportunity to drive growth. The significant short- and long-term benefits our customers derive from our platform make them more competitive in their diverse industries, and we continue to enhance the power of our platform through innovative digital solutions.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Karooooo’s leading Operations Cloud powers the digital transformation of over 105,000 commercial customers, which represents impressive growth from over 88,000 customers a year ago. We have shown a high rate of successful implementation and 95% commercial customer retention across businesses of varying sizes in diverse geographical markets and industries, including logistics, field-service-maintenance, transport, finance, mining, agriculture, and emergency services.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unified, enterprise-grade platform digitalizes critical elements of our customers’ day-to-day operations, supporting effective controls and workflows. It brings together different users and workflows across business operations, eliminating inefficient processes and supporting better strategic decision-making and operational execution. It collects and contextualizes over 125 billion data points per month through system integrations, workforce tools and advanced telemetry, and video-based Internet of Things (“IoT”) devices. This turns complex analytics into business intelligence, empowering customers with meaningful insights and providing practical and easy-to-use tools that simplify day-to-day decision-making and deliver real business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Following the consolidation of platforms, Picup was re-named Karooooo Logistics.</w:t>
      </w:r>
    </w:p>
    <w:p>
      <w:pPr>
        <w:ind w:left="340" w:hanging="332"/>
        <w:spacing w:after="0" w:line="180"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Unless otherwise stated, percentage changes are as compared to the same period or date in the previous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Value benefits that create market demand for our offering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fuel, maintenance and all other fleet and mobility 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driver and in-field service worker productivity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efficiencies and controls in supply chain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driver and worksite security and safety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Leaner back-office teams (automated data entries and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Better customer service (accurate billing, high quality service delivery, quicker query response times etc.)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Robust risk management and regulatory compliance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Environmental, Social and Governance (“ESG”) management and reporting</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Assessing the Q4 2023 results, </w:t>
      </w:r>
      <w:r>
        <w:rPr>
          <w:rFonts w:ascii="Arial" w:cs="Arial" w:eastAsia="Arial" w:hAnsi="Arial"/>
          <w:sz w:val="17"/>
          <w:szCs w:val="17"/>
          <w:b w:val="1"/>
          <w:bCs w:val="1"/>
          <w:color w:val="auto"/>
        </w:rPr>
        <w:t>Zak Calisto, CEO and Founder</w:t>
      </w:r>
      <w:r>
        <w:rPr>
          <w:rFonts w:ascii="Arial" w:cs="Arial" w:eastAsia="Arial" w:hAnsi="Arial"/>
          <w:sz w:val="17"/>
          <w:szCs w:val="17"/>
          <w:color w:val="auto"/>
        </w:rPr>
        <w:t>, said: “The financial year has been more challenging than we expected. However, we met our expectations for Cartrack, despite the difficult operating conditions, achieving strong subscription revenue growth and robust margin expansion in both gross profit and operating profit. As we continue to drive growth at scale, the effectiveness of our platform in helping a large variety of customers to digitalize and optimize their operations will enable us to maintain minimal customer and industry concentration risk.”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2023 Financial Overview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(Comparisons are relative to Q4 2022,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1,717,077 Cartrack subscribers at February 28, 2023, up 13% (Q4 2022: 1,525,972)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Cartrack subscriber additions of 38,471, down 31% (Q4 2022: 55,587)</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faced challenging trading conditions in South Africa predominately due to unprecedented national power outages in Q4 2023. However, net subscriber additions (connected vehicles and equipment on our platform) in Q1 2024 are in line with our expectations, with demand coming from both small and large enterprises.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24% to ZAR916 million (Q4 2022: ZAR742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22%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revenue increased 18% to ZAR794 million (Q4 2022: ZAR671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revenue increased 16% on a constant currency basis (a non-IFRS measure)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2023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Financial Information and Business Metrics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Three Months Ended February 28,</w:t>
            </w: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Cartrack</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Carzuka</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6"/>
          </w:tcPr>
          <w:p>
            <w:pPr>
              <w:jc w:val="right"/>
              <w:ind w:right="568"/>
              <w:spacing w:after="0" w:line="189" w:lineRule="exact"/>
              <w:rPr>
                <w:sz w:val="20"/>
                <w:szCs w:val="20"/>
                <w:color w:val="auto"/>
              </w:rPr>
            </w:pPr>
            <w:r>
              <w:rPr>
                <w:rFonts w:ascii="Arial" w:cs="Arial" w:eastAsia="Arial" w:hAnsi="Arial"/>
                <w:sz w:val="13"/>
                <w:szCs w:val="13"/>
                <w:b w:val="1"/>
                <w:bCs w:val="1"/>
                <w:color w:val="auto"/>
              </w:rPr>
              <w:t>Karooooo Logistics</w:t>
            </w:r>
            <w:r>
              <w:rPr>
                <w:rFonts w:ascii="Arial" w:cs="Arial" w:eastAsia="Arial" w:hAnsi="Arial"/>
                <w:sz w:val="21"/>
                <w:szCs w:val="21"/>
                <w:b w:val="1"/>
                <w:bCs w:val="1"/>
                <w:color w:val="auto"/>
                <w:vertAlign w:val="superscript"/>
              </w:rPr>
              <w:t>1</w:t>
            </w:r>
          </w:p>
        </w:tc>
        <w:tc>
          <w:tcPr>
            <w:tcW w:w="2280" w:type="dxa"/>
            <w:vAlign w:val="bottom"/>
            <w:gridSpan w:val="6"/>
          </w:tcPr>
          <w:p>
            <w:pPr>
              <w:jc w:val="right"/>
              <w:ind w:right="428"/>
              <w:spacing w:after="0"/>
              <w:rPr>
                <w:sz w:val="20"/>
                <w:szCs w:val="20"/>
                <w:color w:val="auto"/>
              </w:rPr>
            </w:pPr>
            <w:r>
              <w:rPr>
                <w:rFonts w:ascii="Arial" w:cs="Arial" w:eastAsia="Arial" w:hAnsi="Arial"/>
                <w:sz w:val="14"/>
                <w:szCs w:val="14"/>
                <w:b w:val="1"/>
                <w:bCs w:val="1"/>
                <w:color w:val="auto"/>
              </w:rPr>
              <w:t>Karooooo Consolidated</w:t>
            </w:r>
          </w:p>
        </w:tc>
        <w:tc>
          <w:tcPr>
            <w:tcW w:w="0" w:type="dxa"/>
            <w:vAlign w:val="bottom"/>
          </w:tcPr>
          <w:p>
            <w:pPr>
              <w:spacing w:after="0"/>
              <w:rPr>
                <w:sz w:val="1"/>
                <w:szCs w:val="1"/>
                <w:color w:val="auto"/>
              </w:rPr>
            </w:pPr>
          </w:p>
        </w:tc>
      </w:tr>
      <w:tr>
        <w:trPr>
          <w:trHeight w:val="126"/>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Figures in Rand Thousands</w:t>
            </w:r>
          </w:p>
        </w:tc>
        <w:tc>
          <w:tcPr>
            <w:tcW w:w="60" w:type="dxa"/>
            <w:vAlign w:val="bottom"/>
            <w:vMerge w:val="restart"/>
          </w:tcPr>
          <w:p>
            <w:pPr>
              <w:spacing w:after="0"/>
              <w:rPr>
                <w:sz w:val="10"/>
                <w:szCs w:val="10"/>
                <w:color w:val="auto"/>
              </w:rPr>
            </w:pPr>
          </w:p>
        </w:tc>
        <w:tc>
          <w:tcPr>
            <w:tcW w:w="6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
              <w:spacing w:after="0" w:line="126" w:lineRule="exact"/>
              <w:rPr>
                <w:sz w:val="20"/>
                <w:szCs w:val="20"/>
                <w:color w:val="auto"/>
              </w:rPr>
            </w:pPr>
            <w:r>
              <w:rPr>
                <w:rFonts w:ascii="Arial" w:cs="Arial" w:eastAsia="Arial" w:hAnsi="Arial"/>
                <w:sz w:val="14"/>
                <w:szCs w:val="14"/>
                <w:b w:val="1"/>
                <w:bCs w:val="1"/>
                <w:color w:val="auto"/>
              </w:rPr>
              <w:t>Y-o-Y</w:t>
            </w:r>
          </w:p>
        </w:tc>
        <w:tc>
          <w:tcPr>
            <w:tcW w:w="22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
              <w:spacing w:after="0" w:line="126" w:lineRule="exact"/>
              <w:rPr>
                <w:sz w:val="20"/>
                <w:szCs w:val="20"/>
                <w:color w:val="auto"/>
              </w:rPr>
            </w:pPr>
            <w:r>
              <w:rPr>
                <w:rFonts w:ascii="Arial" w:cs="Arial" w:eastAsia="Arial" w:hAnsi="Arial"/>
                <w:sz w:val="14"/>
                <w:szCs w:val="14"/>
                <w:b w:val="1"/>
                <w:bCs w:val="1"/>
                <w:color w:val="auto"/>
              </w:rPr>
              <w:t>Y-o-Y</w:t>
            </w:r>
          </w:p>
        </w:tc>
        <w:tc>
          <w:tcPr>
            <w:tcW w:w="18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8"/>
              <w:spacing w:after="0" w:line="126" w:lineRule="exact"/>
              <w:rPr>
                <w:sz w:val="20"/>
                <w:szCs w:val="20"/>
                <w:color w:val="auto"/>
              </w:rPr>
            </w:pPr>
            <w:r>
              <w:rPr>
                <w:rFonts w:ascii="Arial" w:cs="Arial" w:eastAsia="Arial" w:hAnsi="Arial"/>
                <w:sz w:val="14"/>
                <w:szCs w:val="14"/>
                <w:b w:val="1"/>
                <w:bCs w:val="1"/>
                <w:color w:val="auto"/>
              </w:rPr>
              <w:t>Y-o-Y</w:t>
            </w:r>
          </w:p>
        </w:tc>
        <w:tc>
          <w:tcPr>
            <w:tcW w:w="18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
              <w:spacing w:after="0" w:line="126" w:lineRule="exact"/>
              <w:rPr>
                <w:sz w:val="20"/>
                <w:szCs w:val="20"/>
                <w:color w:val="auto"/>
              </w:rPr>
            </w:pPr>
            <w:r>
              <w:rPr>
                <w:rFonts w:ascii="Arial" w:cs="Arial" w:eastAsia="Arial" w:hAnsi="Arial"/>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Subscription revenue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6"/>
              </w:rPr>
              <w:t>792,707</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669,687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794,470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670,715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2060" w:type="dxa"/>
            <w:vAlign w:val="bottom"/>
            <w:gridSpan w:val="2"/>
          </w:tcPr>
          <w:p>
            <w:pPr>
              <w:spacing w:after="0" w:line="189" w:lineRule="exact"/>
              <w:rPr>
                <w:sz w:val="20"/>
                <w:szCs w:val="20"/>
                <w:color w:val="auto"/>
              </w:rPr>
            </w:pPr>
            <w:r>
              <w:rPr>
                <w:rFonts w:ascii="Arial" w:cs="Arial" w:eastAsia="Arial" w:hAnsi="Arial"/>
                <w:sz w:val="13"/>
                <w:szCs w:val="13"/>
                <w:color w:val="auto"/>
              </w:rPr>
              <w:t>Other revenue</w:t>
            </w:r>
            <w:r>
              <w:rPr>
                <w:rFonts w:ascii="Arial" w:cs="Arial" w:eastAsia="Arial" w:hAnsi="Arial"/>
                <w:sz w:val="21"/>
                <w:szCs w:val="21"/>
                <w:color w:val="auto"/>
                <w:vertAlign w:val="superscript"/>
              </w:rPr>
              <w:t>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3,649</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16,220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3,649</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16,220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Vehicle sales</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63,734</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32,163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63,734</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32,163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2060" w:type="dxa"/>
            <w:vAlign w:val="bottom"/>
            <w:gridSpan w:val="2"/>
          </w:tcPr>
          <w:p>
            <w:pPr>
              <w:spacing w:after="0"/>
              <w:rPr>
                <w:sz w:val="20"/>
                <w:szCs w:val="20"/>
                <w:color w:val="auto"/>
              </w:rPr>
            </w:pPr>
            <w:r>
              <w:rPr>
                <w:rFonts w:ascii="Arial" w:cs="Arial" w:eastAsia="Arial" w:hAnsi="Arial"/>
                <w:sz w:val="14"/>
                <w:szCs w:val="14"/>
                <w:color w:val="auto"/>
              </w:rPr>
              <w:t>Delivery service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54,502</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22,551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54,502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22,551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20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5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83"/>
        </w:trPr>
        <w:tc>
          <w:tcPr>
            <w:tcW w:w="2060" w:type="dxa"/>
            <w:vAlign w:val="bottom"/>
            <w:gridSpan w:val="2"/>
            <w:vMerge w:val="continue"/>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796,356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685,907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vMerge w:val="continue"/>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63,734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32,163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80" w:type="dxa"/>
            <w:vAlign w:val="bottom"/>
            <w:vMerge w:val="continue"/>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56,265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23,579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8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916,355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741,649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Cost of Sales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60" w:type="dxa"/>
            <w:vAlign w:val="bottom"/>
            <w:gridSpan w:val="2"/>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(227,971)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(237,343)</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(57,642)</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(28,536)</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(40,536)</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(17,419)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(326,149)</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(283,298)</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568,385</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448,564</w:t>
            </w:r>
          </w:p>
        </w:tc>
        <w:tc>
          <w:tcPr>
            <w:tcW w:w="7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6,092</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15,729</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6,160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590,206</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458,351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Gross Profit Margin</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Profit/(loss)</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247,615</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154,231</w:t>
            </w:r>
          </w:p>
        </w:tc>
        <w:tc>
          <w:tcPr>
            <w:tcW w:w="7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61%</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(12,646)</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(3,749)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2,196</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237,165</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148,601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Operating Profit Margin</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Adjusted EBITDA (a non-IFRS</w:t>
            </w: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measure)</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371,311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303,070</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(11,745)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2,636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362,202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297,556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6"/>
        </w:trPr>
        <w:tc>
          <w:tcPr>
            <w:tcW w:w="20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Adjusted EBITDA Margin (a</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non-IFRS measure)</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Karooooo acquired 70.1% of Picup in September 2021, subsequently re-named as Karooooo Logistics.</w:t>
      </w:r>
    </w:p>
    <w:p>
      <w:pPr>
        <w:spacing w:after="0" w:line="225"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 and Subscription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grew revenue by 24% to ZAR916 million, and subscription revenue by 18% to ZAR794 million in Q4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Cartrack generated revenue of ZAR796 million in Q4 2023 (Q4 2022: ZAR686 million). Subscription revenue of ZAR793 million (Q4 2022: ZAR670 million) equated to 99.5% of total revenue.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Carzuka generated revenue of ZAR64 million in Q4 2023 (Q4 2022: ZAR32 million), up 98%. This growth is welcome justification of our belief in the sustainability of its agile, data-enhanced and highly scalable business model. It is also a testament to Karooooo’s customer-centric innovation in solving unique mobility needs.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Logistics delivered significant revenue growth to ZAR56 million in Q4 2023 (Q4 2022: ZAR24 million), up 139%. Karooooo Logistics focuses on delivery-as-a-service (“DaaS”) through selected third-party crowd sourced drivers and logistics companies, and charges per delivery. The business model has been highly scalable and is delivering solid growth.</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enhancing the logistics capabilities of our customers, we are integrating Karooooo Logistics’ technology stack into the Cartrack platform. Cartrack’s customers will be able to manage their logistics capacity with ease, using Cartrack’s API architecture to augment their fleet capacity. The Karooooo Logistics stack will be offered to Cartrack customers on a subscription-based model and is expected to deliver a long-term revenue stream to the group.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3"/>
              </w:rPr>
              <w:t>February 28,</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Y-o-Y</w:t>
            </w:r>
          </w:p>
        </w:tc>
        <w:tc>
          <w:tcPr>
            <w:tcW w:w="140" w:type="dxa"/>
            <w:vAlign w:val="bottom"/>
          </w:tcPr>
          <w:p>
            <w:pPr>
              <w:spacing w:after="0"/>
              <w:rPr>
                <w:sz w:val="17"/>
                <w:szCs w:val="17"/>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354,860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309,774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 Cartrack</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322,501</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294,430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Carzuka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18,738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 Karooooo Logistics</w:t>
            </w:r>
          </w:p>
        </w:tc>
        <w:tc>
          <w:tcPr>
            <w:tcW w:w="1120" w:type="dxa"/>
            <w:vAlign w:val="bottom"/>
          </w:tcPr>
          <w:p>
            <w:pPr>
              <w:jc w:val="right"/>
              <w:spacing w:after="0"/>
              <w:rPr>
                <w:sz w:val="20"/>
                <w:szCs w:val="20"/>
                <w:color w:val="auto"/>
              </w:rPr>
            </w:pPr>
            <w:r>
              <w:rPr>
                <w:rFonts w:ascii="Arial" w:cs="Arial" w:eastAsia="Arial" w:hAnsi="Arial"/>
                <w:sz w:val="18"/>
                <w:szCs w:val="18"/>
                <w:color w:val="auto"/>
              </w:rPr>
              <w:t>13,621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Karooooo’s operating expenses increased 15% to ZAR355 million in Q4 2023 (Q4 2022: ZAR310 million).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ZAR323 million, was attributable to Cartrack (Q4 2022: ZAR294 million). This comprised prudent investment in sales headcount for territorial expansion and growth. We continue to invest cautiously in brand building and infrastructure to scale Carzuka and Karooooo Logistics, respectively incurring ZAR19 million and ZAR14 million of total operating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sales and marketing operating expenses increased 31% to ZAR100 million in Q4 2023 (Q4 2022: ZAR76 million). We believe this investment in customer acquisition positions us well for the long term.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general and administration operating expenses increased 8% to ZAR166 million in Q4 2023 (Q4 2022: ZAR154 million). This reflects our ability to contain spending and drive operational efficiencies and margin expansion.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R&amp;D operating expenses increased 7% to ZAR43 million in Q4 2023 (Q4 2022: ZAR40 million). We are focused on driving substantial benefit from our R&amp;D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 Cartrack provided for expected credit losses of ZAR14 million (Q4 2022: ZAR25 million).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trend in Cartrack’s expenses as a relative proportion of subscription revenue accords with Karooooo’s long-term financial goals, and reflects our investment in growth.</w:t>
      </w:r>
    </w:p>
    <w:p>
      <w:pPr>
        <w:spacing w:after="0" w:line="170" w:lineRule="exact"/>
        <w:rPr>
          <w:sz w:val="20"/>
          <w:szCs w:val="20"/>
          <w:color w:val="auto"/>
        </w:rPr>
      </w:pPr>
    </w:p>
    <w:p>
      <w:pPr>
        <w:ind w:left="660" w:right="4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expenses as a percentage of subscription revenue increased to 13% (Q4 2022: 11%)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administration expenses as a percentage of subscription revenue decreased to 21% (Q4 2022: 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R&amp;D expenses as a percentage of subscription revenue decreased to 5% (Q4 2022: 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Operating Profit and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Karooooo drove operating profit up by 60% to ZAR237 million in Q4 2023 (Q4 2022: ZAR149 million), and earnings per share up 51% to ZAR4.70 in Q4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(Q4 2022: ZAR3.11).</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Strong subscription revenue growth despite challenging operating conditions in South Africa, and our investment in growth saw Cartrack deliver operating profit of ZAR248 million, up 61%, in Q4 2023 (Q4 2022: ZAR154 million). Gross profit expanded to 71% (Q4 2022: 65%), with a healthy operating profit margin of 31% (Q4 2022: 22%). This was achieved despite Cartrack expensing a larger proportion of the Costs of Acquiring a Subscriber, up 1% to ZAR2,148 (Q4 2022: ZAR2,118). Of the total Costs of Acquiring a Subscriber, ZAR943 was expensed (Q4 2022: ZAR711) and the balance capitalized.</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Carzuka’s operating loss increased to ZAR13 million in Q4 2023 (Q4 2022: ZAR4 million operating loss), due to our investment in infrastructure and brand building. We continue to exercise caution and pragmatism as we invest to grow this business. We consider this an asset-light investment given the returns we expect once Carzuka exceedes ZAR300 million in quarterly revenues</w:t>
      </w:r>
      <w:r>
        <w:rPr>
          <w:rFonts w:ascii="Arial" w:cs="Arial" w:eastAsia="Arial" w:hAnsi="Arial"/>
          <w:sz w:val="18"/>
          <w:szCs w:val="18"/>
          <w:b w:val="1"/>
          <w:bCs w:val="1"/>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Karooooo Logistics delivered an operating profit of ZAR2 million in Q4 2023 (Q4 2022: ZAR2 million 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Karooooo’s Adjusted EBITDA (a non-IFRS measure) for the period increased 22% to ZAR362 million (Q4 2022: ZAR298 million).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Cartrack’s Adjusted EBITDA (a non-IFRS measure) for the period increased 23% to ZAR371 million (Q4 2022: ZAR303 million). Cartrack’s Adjusted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 margin (a non-IFRS measure) expanded to 47% (Q4 2022: 44%).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Carzuka’s Adjusted EBITDA (a non-IFRS measure) amounted to a loss of ZAR12 million (Q4 2022: ZAR4 million loss). Management is focused on organic growth with prudent and strategic capital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Karooooo Logistics’ Adjusted EBITDA (a non-IFRS measure) was ZAR3 million (Q4 2022: ZAR2 million Adjusted EBITDA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“Reconciliation of Profit for the Period to Adjusted EBITDA (a non-IFRS measure)” below for a reconciliation of Adjusted EBITDA to profit, its most directly comparable IFRS financial measure.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Full Year 2023 Financial Overview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(Comparisons are relative to FY 2022,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1,717,077 Cartrack subscribers at February 28, 2023, up 13% (FY 2022: 1,525,972)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Cartrack subscriber additions of 191,105, down 13% (FY 2022: 219,972)</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faced challenging trading conditions in South Africa in Q1 and Q4 2023. However, we are seeing strong net subscriber additions in Q1 2024, as businesses seek to digitally transform to become more efficient and competitive, and improve their compliance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increased 28% to ZAR3,507 million (FY 2022: ZAR2,746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increased 27%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Subscription revenue increased 17% to ZAR3,010 million (FY 2022: ZAR2,568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Subscription revenue increased 16% on a constant currency basis (a non-IFRS measure)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Financial Information and Business Metrics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6"/>
              </w:rPr>
              <w:t>Year Ended February 28,</w:t>
            </w: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Cartrack</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1"/>
              </w:rPr>
              <w:t>Carzuka</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20"/>
              <w:spacing w:after="0" w:line="189" w:lineRule="exact"/>
              <w:rPr>
                <w:sz w:val="20"/>
                <w:szCs w:val="20"/>
                <w:color w:val="auto"/>
              </w:rPr>
            </w:pPr>
            <w:r>
              <w:rPr>
                <w:rFonts w:ascii="Arial" w:cs="Arial" w:eastAsia="Arial" w:hAnsi="Arial"/>
                <w:sz w:val="13"/>
                <w:szCs w:val="13"/>
                <w:b w:val="1"/>
                <w:bCs w:val="1"/>
                <w:color w:val="auto"/>
              </w:rPr>
              <w:t>Karooooo Logistics</w:t>
            </w:r>
            <w:r>
              <w:rPr>
                <w:rFonts w:ascii="Arial" w:cs="Arial" w:eastAsia="Arial" w:hAnsi="Arial"/>
                <w:sz w:val="21"/>
                <w:szCs w:val="21"/>
                <w:b w:val="1"/>
                <w:bCs w:val="1"/>
                <w:color w:val="auto"/>
                <w:vertAlign w:val="superscript"/>
              </w:rPr>
              <w:t>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6"/>
          </w:tcPr>
          <w:p>
            <w:pPr>
              <w:jc w:val="right"/>
              <w:ind w:right="428"/>
              <w:spacing w:after="0"/>
              <w:rPr>
                <w:sz w:val="20"/>
                <w:szCs w:val="20"/>
                <w:color w:val="auto"/>
              </w:rPr>
            </w:pPr>
            <w:r>
              <w:rPr>
                <w:rFonts w:ascii="Arial" w:cs="Arial" w:eastAsia="Arial" w:hAnsi="Arial"/>
                <w:sz w:val="14"/>
                <w:szCs w:val="14"/>
                <w:b w:val="1"/>
                <w:bCs w:val="1"/>
                <w:color w:val="auto"/>
              </w:rPr>
              <w:t>Karooooo Consolidated</w:t>
            </w:r>
          </w:p>
        </w:tc>
        <w:tc>
          <w:tcPr>
            <w:tcW w:w="0" w:type="dxa"/>
            <w:vAlign w:val="bottom"/>
          </w:tcPr>
          <w:p>
            <w:pPr>
              <w:spacing w:after="0"/>
              <w:rPr>
                <w:sz w:val="1"/>
                <w:szCs w:val="1"/>
                <w:color w:val="auto"/>
              </w:rPr>
            </w:pPr>
          </w:p>
        </w:tc>
      </w:tr>
      <w:tr>
        <w:trPr>
          <w:trHeight w:val="126"/>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Figures in Rand Thousands</w:t>
            </w:r>
          </w:p>
        </w:tc>
        <w:tc>
          <w:tcPr>
            <w:tcW w:w="4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Y-o-Y</w:t>
            </w:r>
          </w:p>
        </w:tc>
        <w:tc>
          <w:tcPr>
            <w:tcW w:w="16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Y-o-Y</w:t>
            </w:r>
          </w:p>
        </w:tc>
        <w:tc>
          <w:tcPr>
            <w:tcW w:w="18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8"/>
              <w:spacing w:after="0" w:line="126" w:lineRule="exact"/>
              <w:rPr>
                <w:sz w:val="20"/>
                <w:szCs w:val="20"/>
                <w:color w:val="auto"/>
              </w:rPr>
            </w:pPr>
            <w:r>
              <w:rPr>
                <w:rFonts w:ascii="Arial" w:cs="Arial" w:eastAsia="Arial" w:hAnsi="Arial"/>
                <w:sz w:val="14"/>
                <w:szCs w:val="14"/>
                <w:b w:val="1"/>
                <w:bCs w:val="1"/>
                <w:color w:val="auto"/>
                <w:w w:val="92"/>
              </w:rPr>
              <w:t>Y-o-Y</w:t>
            </w:r>
          </w:p>
        </w:tc>
        <w:tc>
          <w:tcPr>
            <w:tcW w:w="18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
              <w:spacing w:after="0" w:line="126" w:lineRule="exact"/>
              <w:rPr>
                <w:sz w:val="20"/>
                <w:szCs w:val="20"/>
                <w:color w:val="auto"/>
              </w:rPr>
            </w:pPr>
            <w:r>
              <w:rPr>
                <w:rFonts w:ascii="Arial" w:cs="Arial" w:eastAsia="Arial" w:hAnsi="Arial"/>
                <w:sz w:val="14"/>
                <w:szCs w:val="14"/>
                <w:b w:val="1"/>
                <w:bCs w:val="1"/>
                <w:color w:val="auto"/>
              </w:rPr>
              <w:t>Y-o-Y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Subscription revenue</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3,003,931</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2,565,745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6,141</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w:t>
            </w: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3,010,072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2,568,165</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000" w:type="dxa"/>
            <w:vAlign w:val="bottom"/>
            <w:gridSpan w:val="2"/>
          </w:tcPr>
          <w:p>
            <w:pPr>
              <w:spacing w:after="0" w:line="189" w:lineRule="exact"/>
              <w:rPr>
                <w:sz w:val="20"/>
                <w:szCs w:val="20"/>
                <w:color w:val="auto"/>
              </w:rPr>
            </w:pPr>
            <w:r>
              <w:rPr>
                <w:rFonts w:ascii="Arial" w:cs="Arial" w:eastAsia="Arial" w:hAnsi="Arial"/>
                <w:sz w:val="13"/>
                <w:szCs w:val="13"/>
                <w:color w:val="auto"/>
              </w:rPr>
              <w:t>Other revenue</w:t>
            </w:r>
            <w:r>
              <w:rPr>
                <w:rFonts w:ascii="Arial" w:cs="Arial" w:eastAsia="Arial" w:hAnsi="Arial"/>
                <w:sz w:val="21"/>
                <w:szCs w:val="21"/>
                <w:color w:val="auto"/>
                <w:vertAlign w:val="superscript"/>
              </w:rPr>
              <w:t>2</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72,709</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71,055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72,709</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71,055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Vehicle sales</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250,845</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67,310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250,845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67,310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62"/>
        </w:trPr>
        <w:tc>
          <w:tcPr>
            <w:tcW w:w="2000" w:type="dxa"/>
            <w:vAlign w:val="bottom"/>
            <w:gridSpan w:val="2"/>
          </w:tcPr>
          <w:p>
            <w:pPr>
              <w:spacing w:after="0"/>
              <w:rPr>
                <w:sz w:val="20"/>
                <w:szCs w:val="20"/>
                <w:color w:val="auto"/>
              </w:rPr>
            </w:pPr>
            <w:r>
              <w:rPr>
                <w:rFonts w:ascii="Arial" w:cs="Arial" w:eastAsia="Arial" w:hAnsi="Arial"/>
                <w:sz w:val="14"/>
                <w:szCs w:val="14"/>
                <w:color w:val="auto"/>
              </w:rPr>
              <w:t>Delivery service</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173,441</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39,621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338%</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173,441</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39,621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7"/>
        </w:trPr>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Revenue</w:t>
            </w:r>
          </w:p>
        </w:tc>
        <w:tc>
          <w:tcPr>
            <w:tcW w:w="6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83"/>
        </w:trPr>
        <w:tc>
          <w:tcPr>
            <w:tcW w:w="2000" w:type="dxa"/>
            <w:vAlign w:val="bottom"/>
            <w:gridSpan w:val="2"/>
            <w:vMerge w:val="continue"/>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3,076,640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2,636,800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250,845</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67,310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8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179,582</w:t>
            </w: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42,041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80" w:type="dxa"/>
            <w:vAlign w:val="bottom"/>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3,507,067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2,746,151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Cost of Sales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(875,068)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(832,197)</w:t>
            </w:r>
          </w:p>
        </w:tc>
        <w:tc>
          <w:tcPr>
            <w:tcW w:w="1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(226,697)</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(59,213)</w:t>
            </w:r>
          </w:p>
        </w:tc>
        <w:tc>
          <w:tcPr>
            <w:tcW w:w="2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(132,907)</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(31,151)</w:t>
            </w:r>
          </w:p>
        </w:tc>
        <w:tc>
          <w:tcPr>
            <w:tcW w:w="3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2"/>
              </w:rPr>
              <w:t>(1,234,672)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(922,561)</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2,201,572</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1,804,603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8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24,148</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8,097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46,675</w:t>
            </w:r>
          </w:p>
        </w:tc>
        <w:tc>
          <w:tcPr>
            <w:tcW w:w="88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10,890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2,272,395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1,823,590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Gross Profit Margin</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Profit/(loss)</w:t>
            </w: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914,981</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715,336</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8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(37,813)</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(13,302)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4,747</w:t>
            </w:r>
          </w:p>
        </w:tc>
        <w:tc>
          <w:tcPr>
            <w:tcW w:w="8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(2,909)</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881,915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699,125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Operating Profit Margin</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Adjusted EBITDA (a non-</w:t>
            </w:r>
          </w:p>
        </w:tc>
        <w:tc>
          <w:tcPr>
            <w:tcW w:w="6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IFRS measure)</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1,456,217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1,227,798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(35,680)</w:t>
            </w: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(13,205)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6,307</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1,426,844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1,211,785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6"/>
        </w:trPr>
        <w:tc>
          <w:tcPr>
            <w:tcW w:w="20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Adjusted EBITDA Margin (a</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non-IFRS measure)</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Karooooo acquired 70.1% of Picup in September 2021, subsequently re-named as Karooooo Logistics.</w:t>
      </w:r>
    </w:p>
    <w:p>
      <w:pPr>
        <w:spacing w:after="0" w:line="225"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 and Subscription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Karooooo’s revenue rose by 28% to ZAR3,507 million and subscription revenue by 17% to ZAR3,010 million in FY 2023.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Cartrack grew revenue by 17% to ZAR3,077 million in FY 2023 (FY 2022: ZAR2,637 million), of which ZAR3,004 million was subscription revenue (FY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ZAR2,566 million). Subscription revenue increased 17% year-on-year, comprising 98% of total revenue for FY 2023 (FY 2022: 97%).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As planned, Carzuka and Karooooo Logistics continue to scale and bolster Karooooo’s revenue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Carzuka drove revenue up 273% to ZAR251 million in FY 2023 (FY 2022: ZAR67 million)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Karooooo Logistics (trading as Picup in South Africa) generated significant revenue growth of ZAR180 million in FY 2023 (FY 2022: ZAR42 million), up 327%.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4"/>
              </w:rPr>
              <w:t>Year Ended February 28,</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Y-o-Y</w:t>
            </w:r>
          </w:p>
        </w:tc>
        <w:tc>
          <w:tcPr>
            <w:tcW w:w="140" w:type="dxa"/>
            <w:vAlign w:val="bottom"/>
          </w:tcPr>
          <w:p>
            <w:pPr>
              <w:spacing w:after="0"/>
              <w:rPr>
                <w:sz w:val="17"/>
                <w:szCs w:val="17"/>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1,400,308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1,126,306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 Cartrack</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1,296,147</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1,091,090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Carzuka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61,961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21,399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 Karooooo Logistics</w:t>
            </w:r>
          </w:p>
        </w:tc>
        <w:tc>
          <w:tcPr>
            <w:tcW w:w="1120" w:type="dxa"/>
            <w:vAlign w:val="bottom"/>
          </w:tcPr>
          <w:p>
            <w:pPr>
              <w:jc w:val="right"/>
              <w:spacing w:after="0"/>
              <w:rPr>
                <w:sz w:val="20"/>
                <w:szCs w:val="20"/>
                <w:color w:val="auto"/>
              </w:rPr>
            </w:pPr>
            <w:r>
              <w:rPr>
                <w:rFonts w:ascii="Arial" w:cs="Arial" w:eastAsia="Arial" w:hAnsi="Arial"/>
                <w:sz w:val="18"/>
                <w:szCs w:val="18"/>
                <w:color w:val="auto"/>
              </w:rPr>
              <w:t>42,200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Karooooo’s operating expenses increased 24% to ZAR1,400 million in FY 2023 (FY 2022: ZAR1,126 million).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ZAR1,296 million, was attributable to Cartrack (FY 2022: ZAR1,091 million), comprising prudent investment in infrastructure and headcount for territorial expansion. We continue to invest in brand building and infrastructure in Carzuka and Karooooo Logistics, which incurred ZAR62 million and ZAR42 million, respectively, of the group’s total operating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sales and marketing expenses increased 23% to ZAR395 million in FY 2023 (FY 2022: ZAR322 million). We expect to see future benefit in customer acquisition from this investment in growth.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Cartrack’s general and administration operating expenses were 20% higher at ZAR646 million (FY 2022: ZAR540 million). This reflects our investment in infrastructure to meet our growth plans. General and administration operating expenses were predominantly impacted by ZAR12 million in foreign exchange losses as a result of volatile exchange rates and an increase of ZAR90 million in salaries.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Cartrack’s R&amp;D operating expenses were 18% higher at ZAR167 million (FY 2022: ZAR141 million). Our planned investment in improving, enriching and expanding our Operations Cloud and internal management systems is focused on enhancing our value proposition to our customers.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Cartrack provided for expected credit losses of ZAR87 million (FY 2022: ZAR88 million), with expected credit losses for the year at 2.8% of revenue (FY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and 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 grew operating profit by 26% to ZAR882 million (FY 2022: ZAR699 million) and earnings per share by 27% to ZAR19.29 in FY 2023 (FY 2022: ZAR15.24). The dividend paid from our subsidiaries bolstered the group’s retained earnings as a stand-alone entity but resulted in dividend withholding taxes of ZAR27 million, which negatively impacted earnings per share. A dividend of 85 U.S. cents per share will be paid to shareholders from retained earnings in July 2023.</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Cartrack delivered operating profit of ZAR915 million, up 28%, in FY 2023 (FY 2022: ZAR715 million). It expanded its gross profit margin to 72% (FY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 68%) and its operating profit margin to 30% (FY 2022: 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Carzuka’s operating loss was ZAR38 million in FY 2023 (FY 2022: ZAR13 million) 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Logistics delivered an operating profit of ZAR5 million in FY 2023 (FY 2022: ZAR3 million operating loss).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Karooooo’s Adjusted EBITDA (a non-IFRS measure) for the year increased 18% to ZAR1,427 million (FY 2022: ZAR1,212 million).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Cartrack’s Adjusted EBITDA (a non-IFRS measure) increased 19% to ZAR1,456 million (FY 2022: ZAR1,228 million). In line with Karooooo’s planned investment for future growth and management’s guidance for 2023, Cartrack’s year to date Adjusted EBITDA margin (a non-IFRS measure) is 47%.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our investment in expansion, Carzuka’s Adjusted EBITDA (a non-IFRS measure) amounted to a loss of ZAR36 million (FY 2022: ZAR13 million loss). Our focus here is on driving organic growth, with prudent and strategic capital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Karooooo Logistics’ Adjusted EBITDA (a non-IFRS measure) was ZAR6 million (FY 2022: ZAR3 million Adjusted EBITDA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“Reconciliation of Profit for the Period to Adjusted EBITDA (a non-IFRS measure)” below for a reconciliation of Adjusted EBITDA to profit, its most directly comparable IFRS financial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be a leading on-the-ground Operations Cloud service provider.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Karooooo is well positioned for growth. We operate in a growing and largely underpenetrated market, with strong demand from customers across diverse industries.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proven, robust and consistently profitable business model, underpinned by a strong balance sheet and healthy cash position, gives us multiple levers for expansion. We expect our investment in marketing and sales, and the realization of economies of scale across our business segments, to generate robust results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Cartrack’s revenue making up the majority of group revenue, and Carzuka and Karooooo Logistics being built for scale, the outlook below relates to Cartrack only.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in Q4 FY 2023 Cartrack expensed a larger proportion of the Costs of Acquiring a Subscriber. Of the total Costs of Acquiring a Subscriber, amounting to ZAR2,148, we capitalized 56%, versus ZAR2,118 in Q4 FY 2022 of which 66% was capitalized. While this has no impact on Free Cash Flow, it affects adjusted EBITDA. We expect to continue this trend and have therefore opted to provide operating profit guidance.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guidance for FY 2024 is: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subscribers between 1,900,000 and 2,100,000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Subscription revenue between ZAR3,400 million and ZAR3,600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Cartrack’s Operating Profit margin between 28% and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Balance Sheet, Liquidity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allocation approach supports Karooooo’s strong growth at scale, profitability and high cash-generation. Given our balanced capital structure and healthy operating profit margins, we have ample runway to accelerate our revenue growth while remaining profitable.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2023, the increase in Karooooo’s property, plant and equipment is primarily as a result of an increase in-vehicle capitalized telematic devices by ZAR105 million to ZAR876 million (February 28, 2022: ZAR771 million) and the development cost of ZAR72 million in the new South African central office in Rosebank, Johannesburg (February 28, 2022: ZAR4 million). Karooooo’s property, plant and equipment of uninstalled telematic devices for future sales was ZAR307 million (February 28, 2022: ZAR312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Overall, trade receivables increased in line with increased revenue, with debtor’s collection days improving to 31 days (February 28, 2022: 34 days).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group’s capital allocation committee has adopted a cash management policy whereby Karooooo’s excess cash reserves on hand will be held in US Dollars. This will be translated into ZAR for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at February 28, 2023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Karooooo reported a strong net cash and cash equivalents balance of ZAR966 million at February 28, 2023 (February 28, 2022: ZAR718 million).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February 28, 2023, the group had bank facilities for growth initiatives and other general corporate purposes of ZAR925 million with The Standard Bank of South Africa Limited and ZAR75 million with Capitec Bank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non-IFRS measure)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Karooooo generated record cash from operating activities of ZAR1,127 million for the year ended February 28, 2023 (February 2022: ZAR932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Similarly, the group generated record Free Cash Flow (a non-IFRS measure) of ZAR547 million for the period, compared to ZAR379 million a year before.</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result was achieved notwithstanding the group’s strategic investment in expansion, brand building and customer acquisition for long-term, sustainable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Capital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has 30,951,106 ordinary shares issued with paid-up share capital of USD505,956,659 plus SGD1,000.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ZAR3.6 billion negative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bought by Karooooo.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Geographical Overview for Cartrack for Fourth Quarter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number of subscribers in this region increased 11% to 1,314,902 by February 28, 2023 (February 28, 2022: 1,185,528). Subscription revenue growth remained robust at 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South African economy remains under significant strain predominately due to electricity outages. We are acutely focused on maintaining our strong unit economics despite higher distribution costs. Given that we seek to pass on additional benefits to our customers as we achieve economies of scale and our rich data pool gains value, we believe we will continue to see strong customer demand for our value proposition. The net subscriber additions we are seeing in Q1 FY 2024 give us confidence in this assertion.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the largest and fastest growing enterprise mobility SaaS provider on the African continent.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Asia Pacific, Middle East and United States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Cartrack’s number of subscribers in this region increased 28% to 185,147 by February 28, 2023 (February 28, 2022: 145,143). This translates to 40% growth in subscription revenue and 28% on a constant currency basis (a non-IFRS measure) in Q4 2023.</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Considering that Southeast Asian economies only began to open up towards the end of Q1 2023, we are pleased with the traction gained in this region. As the second largest contributor to group revenue, Southeast Asia presents the group’s most compelling growth opportunity in the medium to long term.</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scalable business model, internationally recognized brand and track record as a technology partner able to localize and adapt to specific market nuances, we believe our value proposition will continue finding favor in this region. As such, we believe this region should deliver sustainable income to the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group’s office in the United States yields key insights that contribute to Cartrack’s competitiveness.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Cartrack’s number of subscribers in this region increased 13% to 143,878 by February 28, 2023 (February 28, 2022: 127,336). This translates to 16% growth in subscription revenue and 12% on a constant currency basis (a non-IFRS measure) in Q4 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 is building the leading mobility and connected-vehicle platform to give our customers easier access to valuable insights. Demonstrating Karooooo’s standing as a platform of choice, in Q1 2024 leading OEMs, BMW and Mercedes-Benz,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Cartrack’s number of subscribers in this region increased 8% to 73,150 by February 28, 2023 (February 28, 2022: 67,965). This translates to 37% growth in subscription revenue and 23% on a constant currency basis (a non-IFRS measure) in Q4 2023. This year, we were able to recoup income from customers impacted by Covid-19 that were not billed for an extended period, which bolstered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region remains a positive cash generator and is strategic to Karooooo’s South African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Significant operational reorganization, which we began in FY 2022, gained traction during the year. This yielded encouraging customer additions.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subsequent to the end of the Fourth Quarter 2023</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2023, for strategic reasons, the group acquired 76% of Cartrack Swaziland (Proprietary) Limited, from its existing franchisees for a purchase consideration of ZAR 9.1 million. We expect earnings for Cartrack Swaziland (Proprietary) Limited to be over ZAR2 million for FY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Board recognizes the importance to the group of investment in achieving growth at scale, and endeavors to avoid swings in dividend profile.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Board may review and amend the dividend policy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Considering the strong earnings and free cash flow in FY 2023 and in accordance with the dividend policy set out above, an interim dividend of 85 U.S. cents per ordinary share, pertaining to the first quarter of Karooooo’s 2024 financial year, will be paid on July 3, 2023, to shareholders on record as at the close of business on June 23, 2023. Although Karooooo’s reporting currency is ZAR, its statutory filings in Singapore are reported in USD, as a result of which dividends are declared in USD. The details with respect to the dividends declared for holders of our ordinary shares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tcPr>
          <w:p>
            <w:pPr>
              <w:spacing w:after="0"/>
              <w:rPr>
                <w:sz w:val="22"/>
                <w:szCs w:val="22"/>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NASDAQ</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8"/>
              </w:rPr>
              <w:t>JSE</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Declaration date</w:t>
            </w:r>
          </w:p>
        </w:tc>
        <w:tc>
          <w:tcPr>
            <w:tcW w:w="3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Monday, May 8, 2023</w:t>
            </w:r>
          </w:p>
        </w:tc>
        <w:tc>
          <w:tcPr>
            <w:tcW w:w="1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Tuesday, May 9, 2023</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Finalization announcement, date of currency conversion and</w:t>
            </w:r>
          </w:p>
        </w:tc>
        <w:tc>
          <w:tcPr>
            <w:tcW w:w="3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Thursday, June 8, 2023</w:t>
            </w:r>
          </w:p>
        </w:tc>
        <w:tc>
          <w:tcPr>
            <w:tcW w:w="3140" w:type="dxa"/>
            <w:vAlign w:val="bottom"/>
          </w:tcPr>
          <w:p>
            <w:pPr>
              <w:jc w:val="center"/>
              <w:spacing w:after="0" w:line="201" w:lineRule="exact"/>
              <w:rPr>
                <w:sz w:val="20"/>
                <w:szCs w:val="20"/>
                <w:color w:val="auto"/>
              </w:rPr>
            </w:pPr>
            <w:r>
              <w:rPr>
                <w:rFonts w:ascii="Arial" w:cs="Arial" w:eastAsia="Arial" w:hAnsi="Arial"/>
                <w:sz w:val="18"/>
                <w:szCs w:val="18"/>
                <w:color w:val="auto"/>
                <w:w w:val="88"/>
              </w:rPr>
              <w:t>Friday, June 9, 2023</w:t>
            </w: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confirmation of record date</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Last date to trade cum dividend</w:t>
            </w:r>
          </w:p>
        </w:tc>
        <w:tc>
          <w:tcPr>
            <w:tcW w:w="3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Wednesday, June 21, 2023</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Tuesday, June 20, 2023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Shares commence trading Ex-dividend</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Thursday, June 22, 2023</w:t>
            </w:r>
          </w:p>
        </w:tc>
        <w:tc>
          <w:tcPr>
            <w:tcW w:w="3140" w:type="dxa"/>
            <w:vAlign w:val="bottom"/>
          </w:tcPr>
          <w:p>
            <w:pPr>
              <w:jc w:val="center"/>
              <w:spacing w:after="0"/>
              <w:rPr>
                <w:sz w:val="20"/>
                <w:szCs w:val="20"/>
                <w:color w:val="auto"/>
              </w:rPr>
            </w:pPr>
            <w:r>
              <w:rPr>
                <w:rFonts w:ascii="Arial" w:cs="Arial" w:eastAsia="Arial" w:hAnsi="Arial"/>
                <w:sz w:val="18"/>
                <w:szCs w:val="18"/>
                <w:color w:val="auto"/>
                <w:w w:val="86"/>
              </w:rPr>
              <w:t>Wednesday, June 21, 2023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Record date</w:t>
            </w:r>
          </w:p>
        </w:tc>
        <w:tc>
          <w:tcPr>
            <w:tcW w:w="3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Friday, June 23, 2023</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Friday, June 23, 2023</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Dividend payment date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Monday, July 3, 2023</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Monday, July 3, 2023</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registered on the South African section of the share register will not be allowed to dematerialize or rematerialize their shareholdings between Wednesday, June 21, 2023 and Friday, June 23, 2023, both dates inclusive, and transfers between the NASDAQ and South African register will not be permitted between Friday, June 9, 2023 and Friday June 23, 2023, both days inclusive.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tax considerations applicable to South African shareholders will be included in the currency conversion and confirmation of record date announcement which is expected to be published on Friday, June 9,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Corruption, bribery and whistleblowing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Karooooo management will host a Zoom webinar on </w:t>
      </w:r>
      <w:r>
        <w:rPr>
          <w:rFonts w:ascii="Arial" w:cs="Arial" w:eastAsia="Arial" w:hAnsi="Arial"/>
          <w:sz w:val="17"/>
          <w:szCs w:val="17"/>
          <w:b w:val="1"/>
          <w:bCs w:val="1"/>
          <w:color w:val="auto"/>
        </w:rPr>
        <w:t>Tuesday, May 09, 2023</w:t>
      </w:r>
      <w:r>
        <w:rPr>
          <w:rFonts w:ascii="Arial" w:cs="Arial" w:eastAsia="Arial" w:hAnsi="Arial"/>
          <w:sz w:val="17"/>
          <w:szCs w:val="17"/>
          <w:color w:val="auto"/>
        </w:rPr>
        <w:t xml:space="preserve"> at 08:00 a.m. Eastern Time (02:00 p.m. South African time; 08:00 p.m.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Singaporean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 are invited to join the Zoom at: https://us02web.zoom.us/j/81229974883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Webinar ID: </w:t>
      </w:r>
      <w:r>
        <w:rPr>
          <w:rFonts w:ascii="Arial" w:cs="Arial" w:eastAsia="Arial" w:hAnsi="Arial"/>
          <w:sz w:val="18"/>
          <w:szCs w:val="18"/>
          <w:b w:val="1"/>
          <w:bCs w:val="1"/>
          <w:color w:val="auto"/>
        </w:rPr>
        <w:t>812 2997 4883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(New York) Toll-free: +1 646 558 8656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will be available at www.karooooo.com approximately three hours after the conclusion of the live event.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to over 1,700,000 connected vehicles and equipment.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Carzuka, our vast and growing cloud-based data assets, data contextualization, and machine learning capabilities facilitate the buying and selling of vehicles at a fair price on an efficient platform. It also offers visibility on vehicle performance and health, customer de-fleeting and customer profiling to understand market demand and enhance lead generation. High-quality leads, robust buying parameters and adaptability to market movements support healthy stock turnover rates and increased demand.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Leveraging Cartrack’s technology, subscriber base, distribution network, digital marketing capabilities and ability to execute, Carzuka is expected to achieve strong growth at scale, providing buyers and sellers with a large volume and variety of affordable used vehicles.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integration of Karooooo Logistics’ technology stack into the Cartrack platform will enable our customers to manage and enhance their logistics capacity with ease. Cartrack customers will be able to augment their own fleet capacity using Cartrack’s API architecture for third-party courier and long-distance logistics, with crowd-sourced drivers doing last mile deliveries. This solution will be charged on a subscription-based model.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www.karooooo.com.</w:t>
      </w:r>
    </w:p>
    <w:p>
      <w:pPr>
        <w:sectPr>
          <w:pgSz w:w="11900" w:h="16838" w:orient="portrait"/>
          <w:cols w:equalWidth="0" w:num="1">
            <w:col w:w="11240"/>
          </w:cols>
          <w:pgMar w:left="320" w:top="908"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1880" w:space="720"/>
            <w:col w:w="8640"/>
          </w:cols>
          <w:pgMar w:left="320" w:top="908" w:right="339" w:bottom="1440" w:gutter="0" w:footer="0" w:header="0"/>
          <w:type w:val="continuous"/>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40" w:type="dxa"/>
            <w:vAlign w:val="bottom"/>
            <w:gridSpan w:val="3"/>
          </w:tcPr>
          <w:p>
            <w:pPr>
              <w:ind w:left="740"/>
              <w:spacing w:after="0"/>
              <w:rPr>
                <w:sz w:val="20"/>
                <w:szCs w:val="20"/>
                <w:color w:val="auto"/>
              </w:rPr>
            </w:pPr>
            <w:r>
              <w:rPr>
                <w:rFonts w:ascii="Arial" w:cs="Arial" w:eastAsia="Arial" w:hAnsi="Arial"/>
                <w:sz w:val="18"/>
                <w:szCs w:val="18"/>
                <w:b w:val="1"/>
                <w:bCs w:val="1"/>
                <w:color w:val="auto"/>
                <w:w w:val="88"/>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5"/>
          </w:tcPr>
          <w:p>
            <w:pPr>
              <w:ind w:left="100"/>
              <w:spacing w:after="0"/>
              <w:rPr>
                <w:sz w:val="20"/>
                <w:szCs w:val="20"/>
                <w:color w:val="auto"/>
              </w:rPr>
            </w:pPr>
            <w:r>
              <w:rPr>
                <w:rFonts w:ascii="Arial" w:cs="Arial" w:eastAsia="Arial" w:hAnsi="Arial"/>
                <w:sz w:val="18"/>
                <w:szCs w:val="18"/>
                <w:b w:val="1"/>
                <w:bCs w:val="1"/>
                <w:color w:val="auto"/>
              </w:rPr>
              <w:t>(Rand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916,355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741,649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3,507,067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2,746,151</w:t>
            </w: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(326,149)</w:t>
            </w:r>
          </w:p>
        </w:tc>
        <w:tc>
          <w:tcPr>
            <w:tcW w:w="3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(283,298)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(1,234,672)</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(922,561)</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590,206</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458,351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2,272,395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1,823,590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1,819</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9,828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49"/>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(354,860)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(309,774)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(1,400,308)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(1,126,306)</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Sales and marketing</w:t>
            </w:r>
          </w:p>
        </w:tc>
        <w:tc>
          <w:tcPr>
            <w:tcW w:w="4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(109,153)</w:t>
            </w: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(79,968)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(431,140)</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(333,259)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(186,173)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(162,258)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(704,603)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(555,327)</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(45,294)</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(42,912)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(177,024)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(149,238)</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Credit losses on financial assets</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(14,240)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(24,636)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(87,541)</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(88,482)</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profit</w:t>
            </w:r>
          </w:p>
        </w:tc>
        <w:tc>
          <w:tcPr>
            <w:tcW w:w="4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237,165</w:t>
            </w: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148,601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881,915</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699,125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(“IPO”) costs</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Finance income</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9,109</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2,227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23,255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36"/>
        </w:trPr>
        <w:tc>
          <w:tcPr>
            <w:tcW w:w="5500" w:type="dxa"/>
            <w:vAlign w:val="bottom"/>
          </w:tcPr>
          <w:p>
            <w:pPr>
              <w:spacing w:after="0"/>
              <w:rPr>
                <w:sz w:val="20"/>
                <w:szCs w:val="20"/>
                <w:color w:val="auto"/>
              </w:rPr>
            </w:pPr>
            <w:r>
              <w:rPr>
                <w:rFonts w:ascii="Arial" w:cs="Arial" w:eastAsia="Arial" w:hAnsi="Arial"/>
                <w:sz w:val="18"/>
                <w:szCs w:val="18"/>
                <w:color w:val="auto"/>
              </w:rPr>
              <w:t>Fair value changes to derivative assets</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(971)</w:t>
            </w:r>
          </w:p>
        </w:tc>
        <w:tc>
          <w:tcPr>
            <w:tcW w:w="3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(971)</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242,508</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146,657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894,104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Taxation</w:t>
            </w:r>
          </w:p>
        </w:tc>
        <w:tc>
          <w:tcPr>
            <w:tcW w:w="4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(92,607)</w:t>
            </w: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(49,441)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(285,298)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(205,476)</w:t>
            </w:r>
          </w:p>
        </w:tc>
        <w:tc>
          <w:tcPr>
            <w:tcW w:w="0" w:type="dxa"/>
            <w:vAlign w:val="bottom"/>
          </w:tcPr>
          <w:p>
            <w:pPr>
              <w:spacing w:after="0"/>
              <w:rPr>
                <w:sz w:val="1"/>
                <w:szCs w:val="1"/>
                <w:color w:val="auto"/>
              </w:rPr>
            </w:pPr>
          </w:p>
        </w:tc>
      </w:tr>
      <w:tr>
        <w:trPr>
          <w:trHeight w:val="27"/>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4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149,901</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608,806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476,607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Owners of the parent</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145,522</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96,329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597,153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449,953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4,379</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26,654</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5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149,901</w:t>
            </w: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97,216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608,806</w:t>
            </w: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476,607</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(ZAR)</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Earnings per share </w:t>
            </w:r>
            <w:r>
              <w:rPr>
                <w:rFonts w:ascii="Arial" w:cs="Arial" w:eastAsia="Arial" w:hAnsi="Arial"/>
                <w:sz w:val="18"/>
                <w:szCs w:val="18"/>
                <w:color w:val="auto"/>
              </w:rPr>
              <w:t>(a non-IFRS measure)</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0"/>
              </w:rPr>
              <w:t>Adjusted Basic and diluted earnings per share (ZAR) (a non-IFRS measure)</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4.70</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19.29</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641"/>
        </w:trPr>
        <w:tc>
          <w:tcPr>
            <w:tcW w:w="5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13</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TO ADJUSTED PROFIT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8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gridSpan w:val="5"/>
          </w:tcPr>
          <w:p>
            <w:pPr>
              <w:ind w:left="100"/>
              <w:spacing w:after="0"/>
              <w:rPr>
                <w:sz w:val="20"/>
                <w:szCs w:val="20"/>
                <w:color w:val="auto"/>
              </w:rPr>
            </w:pPr>
            <w:r>
              <w:rPr>
                <w:rFonts w:ascii="Arial" w:cs="Arial" w:eastAsia="Arial" w:hAnsi="Arial"/>
                <w:sz w:val="18"/>
                <w:szCs w:val="18"/>
                <w:b w:val="1"/>
                <w:bCs w:val="1"/>
                <w:color w:val="auto"/>
              </w:rPr>
              <w:t>(Rand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3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149,901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608,806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476,607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IPO costs</w:t>
            </w:r>
          </w:p>
        </w:tc>
        <w:tc>
          <w:tcPr>
            <w:tcW w:w="3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Capitalized commission assets written-off</w:t>
            </w:r>
          </w:p>
        </w:tc>
        <w:tc>
          <w:tcPr>
            <w:tcW w:w="17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 xml:space="preserve">Adjusted profit </w:t>
            </w:r>
            <w:r>
              <w:rPr>
                <w:rFonts w:ascii="Arial" w:cs="Arial" w:eastAsia="Arial" w:hAnsi="Arial"/>
                <w:sz w:val="18"/>
                <w:szCs w:val="18"/>
                <w:color w:val="auto"/>
              </w:rPr>
              <w:t>(a non-IFRS measure)</w:t>
            </w:r>
          </w:p>
        </w:tc>
        <w:tc>
          <w:tcPr>
            <w:tcW w:w="1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149,901</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112,517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608,806</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502,196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00" w:type="dxa"/>
            <w:vAlign w:val="bottom"/>
            <w:vMerge w:val="restart"/>
          </w:tcPr>
          <w:p>
            <w:pPr>
              <w:jc w:val="right"/>
              <w:ind w:right="170"/>
              <w:spacing w:after="0"/>
              <w:rPr>
                <w:sz w:val="20"/>
                <w:szCs w:val="20"/>
                <w:color w:val="auto"/>
              </w:rPr>
            </w:pPr>
            <w:r>
              <w:rPr>
                <w:rFonts w:ascii="Arial" w:cs="Arial" w:eastAsia="Arial" w:hAnsi="Arial"/>
                <w:sz w:val="18"/>
                <w:szCs w:val="18"/>
                <w:color w:val="auto"/>
              </w:rPr>
              <w:t>14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February 28,</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(Rand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1,591,814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1,390,659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287,054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231,537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85,642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77,031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212,481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186,384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Loans to related parties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other receivables and prepayments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24,715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financial asset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60,919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58,383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2,288,813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79,159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Trade and other receivables and prepayments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409,191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333,886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financial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15,305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965,790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731,748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1,462,767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1,115,126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3,751,580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3,089,601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7,142,853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7,142,853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Capital reserve</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(3,582,568)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(3,587,640)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Common control reserve</w:t>
            </w:r>
            <w:r>
              <w:rPr>
                <w:rFonts w:ascii="Arial" w:cs="Arial" w:eastAsia="Arial" w:hAnsi="Arial"/>
                <w:sz w:val="29"/>
                <w:szCs w:val="29"/>
                <w:color w:val="auto"/>
                <w:vertAlign w:val="superscript"/>
              </w:rPr>
              <w:t>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(2,709,236)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(2,709,236)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245,109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28,776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1,564,809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1,276,523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2,660,967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2,151,276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30,908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22,905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2,691,875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38,304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71,194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67,882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112,185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108,256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51,894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270,265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291,297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21,643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374,047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283,682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218,148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payables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55,996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40,918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789,440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624,123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1,059,705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3,751,580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3,089,601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92" w:lineRule="exact"/>
        <w:rPr>
          <w:rFonts w:ascii="Arial" w:cs="Arial" w:eastAsia="Arial" w:hAnsi="Arial"/>
          <w:sz w:val="17"/>
          <w:szCs w:val="17"/>
          <w:i w:val="1"/>
          <w:iCs w:val="1"/>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2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utilized by investing activities</w:t>
      </w:r>
    </w:p>
    <w:p>
      <w:pPr>
        <w:spacing w:after="0" w:line="221" w:lineRule="auto"/>
        <w:rPr>
          <w:sz w:val="20"/>
          <w:szCs w:val="20"/>
          <w:color w:val="auto"/>
        </w:rPr>
      </w:pPr>
      <w:r>
        <w:rPr>
          <w:rFonts w:ascii="Arial" w:cs="Arial" w:eastAsia="Arial" w:hAnsi="Arial"/>
          <w:sz w:val="18"/>
          <w:szCs w:val="18"/>
          <w:color w:val="auto"/>
        </w:rPr>
        <w:t>Net cash flows (utilized by)/from financing activities</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and cash equivalents movements for the period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as at the beginning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Translation differences on cash and 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cash and cash equivalents at the end of the period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8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Year Ended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February 28,</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Pr>
          <w:p>
            <w:pPr>
              <w:spacing w:after="0"/>
              <w:rPr>
                <w:sz w:val="20"/>
                <w:szCs w:val="20"/>
                <w:color w:val="auto"/>
              </w:rPr>
            </w:pPr>
          </w:p>
        </w:tc>
      </w:tr>
      <w:tr>
        <w:trPr>
          <w:trHeight w:val="202"/>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gridSpan w:val="5"/>
          </w:tcPr>
          <w:p>
            <w:pPr>
              <w:ind w:left="100"/>
              <w:spacing w:after="0" w:line="201" w:lineRule="exact"/>
              <w:rPr>
                <w:sz w:val="20"/>
                <w:szCs w:val="20"/>
                <w:color w:val="auto"/>
              </w:rPr>
            </w:pPr>
            <w:r>
              <w:rPr>
                <w:rFonts w:ascii="Arial" w:cs="Arial" w:eastAsia="Arial" w:hAnsi="Arial"/>
                <w:sz w:val="18"/>
                <w:szCs w:val="18"/>
                <w:b w:val="1"/>
                <w:bCs w:val="1"/>
                <w:color w:val="auto"/>
              </w:rPr>
              <w:t>(Rand Thousands)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280,877</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181,550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1,126,663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931,706</w:t>
            </w:r>
          </w:p>
        </w:tc>
        <w:tc>
          <w:tcPr>
            <w:tcW w:w="60" w:type="dxa"/>
            <w:vAlign w:val="bottom"/>
          </w:tcPr>
          <w:p>
            <w:pPr>
              <w:spacing w:after="0"/>
              <w:rPr>
                <w:sz w:val="18"/>
                <w:szCs w:val="18"/>
                <w:color w:val="auto"/>
              </w:rPr>
            </w:pPr>
          </w:p>
        </w:tc>
      </w:tr>
      <w:tr>
        <w:trPr>
          <w:trHeight w:val="230"/>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(181,815)</w:t>
            </w:r>
          </w:p>
        </w:tc>
        <w:tc>
          <w:tcPr>
            <w:tcW w:w="3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(114,938)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(615,810)</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(658,217)</w:t>
            </w:r>
          </w:p>
        </w:tc>
      </w:tr>
      <w:tr>
        <w:trPr>
          <w:trHeight w:val="277"/>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(25,314)</w:t>
            </w:r>
          </w:p>
        </w:tc>
        <w:tc>
          <w:tcPr>
            <w:tcW w:w="3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(105,560)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(426,426)</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334,972</w:t>
            </w:r>
          </w:p>
        </w:tc>
        <w:tc>
          <w:tcPr>
            <w:tcW w:w="60" w:type="dxa"/>
            <w:vAlign w:val="bottom"/>
          </w:tcPr>
          <w:p>
            <w:pPr>
              <w:spacing w:after="0"/>
              <w:rPr>
                <w:sz w:val="24"/>
                <w:szCs w:val="24"/>
                <w:color w:val="auto"/>
              </w:rPr>
            </w:pP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73,748</w:t>
            </w:r>
          </w:p>
        </w:tc>
        <w:tc>
          <w:tcPr>
            <w:tcW w:w="2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(38,948)</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84,427</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608,461</w:t>
            </w: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819,017</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798,687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718,026</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76,098</w:t>
            </w:r>
          </w:p>
        </w:tc>
      </w:tr>
      <w:tr>
        <w:trPr>
          <w:trHeight w:val="244"/>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72,985</w:t>
            </w:r>
          </w:p>
        </w:tc>
        <w:tc>
          <w:tcPr>
            <w:tcW w:w="3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(41,713)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163,297</w:t>
            </w: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33,467</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965,750</w:t>
            </w: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718,026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965,750</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718,026</w:t>
            </w:r>
          </w:p>
        </w:tc>
        <w:tc>
          <w:tcPr>
            <w:tcW w:w="6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-1096645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-822325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4" w:right="379" w:bottom="1440" w:gutter="0" w:footer="0" w:header="0"/>
          <w:type w:val="continuous"/>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FREE CASH FLOW (A NON-IFRS MEASURE)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2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0"/>
        <w:spacing w:after="0" w:line="296" w:lineRule="auto"/>
        <w:rPr>
          <w:sz w:val="20"/>
          <w:szCs w:val="20"/>
          <w:color w:val="auto"/>
        </w:rPr>
      </w:pPr>
      <w:r>
        <w:rPr>
          <w:rFonts w:ascii="Arial" w:cs="Arial" w:eastAsia="Arial" w:hAnsi="Arial"/>
          <w:sz w:val="16"/>
          <w:szCs w:val="16"/>
          <w:color w:val="auto"/>
        </w:rPr>
        <w:t>Net cash generated from operating activities Less: purchase of property, plant and equipment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8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Year Ended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February 28,</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Pr>
          <w:p>
            <w:pPr>
              <w:spacing w:after="0"/>
              <w:rPr>
                <w:sz w:val="20"/>
                <w:szCs w:val="20"/>
                <w:color w:val="auto"/>
              </w:rPr>
            </w:pPr>
          </w:p>
        </w:tc>
      </w:tr>
      <w:tr>
        <w:trPr>
          <w:trHeight w:val="202"/>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gridSpan w:val="5"/>
          </w:tcPr>
          <w:p>
            <w:pPr>
              <w:ind w:left="100"/>
              <w:spacing w:after="0" w:line="201" w:lineRule="exact"/>
              <w:rPr>
                <w:sz w:val="20"/>
                <w:szCs w:val="20"/>
                <w:color w:val="auto"/>
              </w:rPr>
            </w:pPr>
            <w:r>
              <w:rPr>
                <w:rFonts w:ascii="Arial" w:cs="Arial" w:eastAsia="Arial" w:hAnsi="Arial"/>
                <w:sz w:val="18"/>
                <w:szCs w:val="18"/>
                <w:b w:val="1"/>
                <w:bCs w:val="1"/>
                <w:color w:val="auto"/>
              </w:rPr>
              <w:t>(Rand Thousands)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280,877</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181,550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1,126,663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931,706</w:t>
            </w:r>
          </w:p>
        </w:tc>
        <w:tc>
          <w:tcPr>
            <w:tcW w:w="60" w:type="dxa"/>
            <w:vAlign w:val="bottom"/>
          </w:tcPr>
          <w:p>
            <w:pPr>
              <w:spacing w:after="0"/>
              <w:rPr>
                <w:sz w:val="18"/>
                <w:szCs w:val="18"/>
                <w:color w:val="auto"/>
              </w:rPr>
            </w:pPr>
          </w:p>
        </w:tc>
      </w:tr>
      <w:tr>
        <w:trPr>
          <w:trHeight w:val="244"/>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(167,800)</w:t>
            </w:r>
          </w:p>
        </w:tc>
        <w:tc>
          <w:tcPr>
            <w:tcW w:w="3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(108,001)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(579,656)</w:t>
            </w: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(552,634)</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113,077</w:t>
            </w: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73,549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547,007</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379,072</w:t>
            </w:r>
          </w:p>
        </w:tc>
        <w:tc>
          <w:tcPr>
            <w:tcW w:w="6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4" w:right="379" w:bottom="1440" w:gutter="0" w:footer="0" w:header="0"/>
          <w:type w:val="continuous"/>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60" w:type="dxa"/>
            <w:vAlign w:val="bottom"/>
            <w:gridSpan w:val="5"/>
          </w:tcPr>
          <w:p>
            <w:pPr>
              <w:ind w:left="160"/>
              <w:spacing w:after="0"/>
              <w:rPr>
                <w:sz w:val="20"/>
                <w:szCs w:val="20"/>
                <w:color w:val="auto"/>
              </w:rPr>
            </w:pPr>
            <w:r>
              <w:rPr>
                <w:rFonts w:ascii="Arial" w:cs="Arial" w:eastAsia="Arial" w:hAnsi="Arial"/>
                <w:sz w:val="18"/>
                <w:szCs w:val="18"/>
                <w:b w:val="1"/>
                <w:bCs w:val="1"/>
                <w:color w:val="auto"/>
              </w:rPr>
              <w:t>(Rand Thousands)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149,901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97,216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608,806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476,607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92,607</w:t>
            </w:r>
          </w:p>
        </w:tc>
        <w:tc>
          <w:tcPr>
            <w:tcW w:w="3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49,441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285,298</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205,476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2,795</w:t>
            </w:r>
          </w:p>
        </w:tc>
        <w:tc>
          <w:tcPr>
            <w:tcW w:w="3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3,665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10,095</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to derivative assets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96"/>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assets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125,037</w:t>
            </w:r>
          </w:p>
        </w:tc>
        <w:tc>
          <w:tcPr>
            <w:tcW w:w="3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133,654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544,929</w:t>
            </w:r>
          </w:p>
        </w:tc>
        <w:tc>
          <w:tcPr>
            <w:tcW w:w="3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497,359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IPO costs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Capitalized commission assets written-off</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15,301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362,202</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297,556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1,426,844</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1,211,785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margin </w:t>
            </w:r>
            <w:r>
              <w:rPr>
                <w:rFonts w:ascii="Arial" w:cs="Arial" w:eastAsia="Arial" w:hAnsi="Arial"/>
                <w:sz w:val="18"/>
                <w:szCs w:val="18"/>
                <w:color w:val="auto"/>
              </w:rPr>
              <w:t>(a non-IFRS measure)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55"/>
        </w:trPr>
        <w:tc>
          <w:tcPr>
            <w:tcW w:w="584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BASIC AND DILUTED EARNINGS AND ADJUSTED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w w:val="94"/>
              </w:rPr>
              <w:t xml:space="preserve">Reconciliation between basic earnings and adjusted earnings </w:t>
            </w:r>
            <w:r>
              <w:rPr>
                <w:rFonts w:ascii="Arial" w:cs="Arial" w:eastAsia="Arial" w:hAnsi="Arial"/>
                <w:sz w:val="18"/>
                <w:szCs w:val="18"/>
                <w:color w:val="auto"/>
                <w:w w:val="94"/>
              </w:rPr>
              <w:t>(a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40" w:type="dxa"/>
            <w:vAlign w:val="bottom"/>
            <w:gridSpan w:val="5"/>
          </w:tcPr>
          <w:p>
            <w:pPr>
              <w:ind w:left="100"/>
              <w:spacing w:after="0"/>
              <w:rPr>
                <w:sz w:val="20"/>
                <w:szCs w:val="20"/>
                <w:color w:val="auto"/>
              </w:rPr>
            </w:pPr>
            <w:r>
              <w:rPr>
                <w:rFonts w:ascii="Arial" w:cs="Arial" w:eastAsia="Arial" w:hAnsi="Arial"/>
                <w:sz w:val="18"/>
                <w:szCs w:val="18"/>
                <w:b w:val="1"/>
                <w:bCs w:val="1"/>
                <w:color w:val="auto"/>
              </w:rPr>
              <w:t>(Rand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145,522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597,153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IPO costs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Capitalized commission assets written-off</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15,301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Adjusted profit attributable to ordinary shareholders </w:t>
            </w:r>
            <w:r>
              <w:rPr>
                <w:rFonts w:ascii="Arial" w:cs="Arial" w:eastAsia="Arial" w:hAnsi="Arial"/>
                <w:sz w:val="18"/>
                <w:szCs w:val="18"/>
                <w:color w:val="auto"/>
                <w:w w:val="94"/>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145,522</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597,153</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30,951</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30,951</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basic and diluted earnings per share </w:t>
            </w:r>
            <w:r>
              <w:rPr>
                <w:rFonts w:ascii="Arial" w:cs="Arial" w:eastAsia="Arial" w:hAnsi="Arial"/>
                <w:sz w:val="18"/>
                <w:szCs w:val="18"/>
                <w:color w:val="auto"/>
              </w:rPr>
              <w:t>(a non-IFRS measure)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or diluted HEPS is calculated using profit attributable to shareholders adjusted for (gain)/loss on disposal of property, plant and equipment divided by the weighted average number of ordinary shares in issue.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BASIC AND DILUTED EARNINGS AND ADJUSTED EARNINGS TO HEADLINE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8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w w:val="97"/>
              </w:rPr>
              <w:t xml:space="preserve">Reconciliation between basic earnings to headline earnings </w:t>
            </w:r>
            <w:r>
              <w:rPr>
                <w:rFonts w:ascii="Arial" w:cs="Arial" w:eastAsia="Arial" w:hAnsi="Arial"/>
                <w:sz w:val="18"/>
                <w:szCs w:val="18"/>
                <w:color w:val="auto"/>
                <w:w w:val="97"/>
              </w:rPr>
              <w:t>(a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40" w:type="dxa"/>
            <w:vAlign w:val="bottom"/>
            <w:gridSpan w:val="5"/>
          </w:tcPr>
          <w:p>
            <w:pPr>
              <w:ind w:left="100"/>
              <w:spacing w:after="0"/>
              <w:rPr>
                <w:sz w:val="20"/>
                <w:szCs w:val="20"/>
                <w:color w:val="auto"/>
              </w:rPr>
            </w:pPr>
            <w:r>
              <w:rPr>
                <w:rFonts w:ascii="Arial" w:cs="Arial" w:eastAsia="Arial" w:hAnsi="Arial"/>
                <w:sz w:val="18"/>
                <w:szCs w:val="18"/>
                <w:b w:val="1"/>
                <w:bCs w:val="1"/>
                <w:color w:val="auto"/>
              </w:rPr>
              <w:t>(Rand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145,522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597,153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disposal of property, plant and equipment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Tax effect on (gain)/loss on disposal of property, plant and equipment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1,376</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Headline earnings </w:t>
            </w:r>
            <w:r>
              <w:rPr>
                <w:rFonts w:ascii="Arial" w:cs="Arial" w:eastAsia="Arial" w:hAnsi="Arial"/>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145,390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593,575</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449,125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30,951</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30,951</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Basic and diluted headline earnings per share </w:t>
            </w:r>
            <w:r>
              <w:rPr>
                <w:rFonts w:ascii="Arial" w:cs="Arial" w:eastAsia="Arial" w:hAnsi="Arial"/>
                <w:sz w:val="18"/>
                <w:szCs w:val="18"/>
                <w:color w:val="auto"/>
              </w:rPr>
              <w:t>(a non-IFRS measure)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432"/>
        </w:trPr>
        <w:tc>
          <w:tcPr>
            <w:tcW w:w="7740" w:type="dxa"/>
            <w:vAlign w:val="bottom"/>
            <w:gridSpan w:val="4"/>
          </w:tcPr>
          <w:p>
            <w:pPr>
              <w:ind w:left="4320"/>
              <w:spacing w:after="0"/>
              <w:rPr>
                <w:sz w:val="20"/>
                <w:szCs w:val="20"/>
                <w:color w:val="auto"/>
              </w:rPr>
            </w:pPr>
            <w:r>
              <w:rPr>
                <w:rFonts w:ascii="Arial" w:cs="Arial" w:eastAsia="Arial" w:hAnsi="Arial"/>
                <w:sz w:val="18"/>
                <w:szCs w:val="18"/>
                <w:b w:val="1"/>
                <w:bCs w:val="1"/>
                <w:i w:val="1"/>
                <w:iCs w:val="1"/>
                <w:color w:val="auto"/>
              </w:rPr>
              <w:t>[Note: Standardize cell alignment.]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CONSTANT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February 28,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three months ended February 28, 2022,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2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2"/>
              </w:rPr>
              <w:t>Three Months Ended February 28,</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97"/>
              </w:rPr>
              <w:t>Y-o-Y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8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(Rand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794,470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670,715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(14,235)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780,235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670,715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2"/>
              </w:rPr>
              <w:t>Three Months Ended February 28,</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97"/>
              </w:rPr>
              <w:t>Y-o-Y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8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(Rand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916,355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741,649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(13,796)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902,559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741,649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SUBSCRIPTION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2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92"/>
              </w:rPr>
              <w:t>Year Ended February 28,</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7"/>
              </w:rPr>
              <w:t>Y-o-Y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8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(Rand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3,010,072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2,568,165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(31,106)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2,978,966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2,568,165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2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92"/>
              </w:rPr>
              <w:t>Year Ended February 28,</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7"/>
              </w:rPr>
              <w:t>Y-o-Y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8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(Rand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3,507,067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2,746,151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(31,034)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3,476,033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2,746,151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Arial" w:cs="Arial" w:eastAsia="Arial" w:hAnsi="Arial"/>
                <w:sz w:val="18"/>
                <w:szCs w:val="18"/>
                <w:color w:val="auto"/>
              </w:rPr>
              <w:t>21</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profit (a non-IFRS measure), is defined as, profit after tax defined by IFRS excluding the impact of non-recurring operational expenses relating to IPO costs of ZAR36 million expensed (ZAR26 million in the fourth quarter of 2021 and ZAR10 million in the first quarter of 2022) and a once-off write-off of capitalized commission assets of ZAR15 million through profit and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earnings per share, (a non-IFRS measure) is defined as, earnings per share defined by IFRS excluding the impact of non-recurring operational expenses relating to IPO costs of ZAR36 million expensed (ZAR26 million in the fourth quarter of 2021 and ZAR10 million in the first quarter of 2022) and a once-off write-off of capitalized commission assets of ZAR15 million through profit and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Adjusted EBITDA (a non-IFRS measure) as profit less finance income, plus finance costs, taxation, depreciation and amortization, plus once-off IPO costs, plus a once-off write-off of capitalized commission assets of ZAR15 million through profit and loss in FY 2022.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(SaaS ARR)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 (ARPU)</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 xml:space="preserve">Cartrack Holdings </w:t>
      </w:r>
      <w:r>
        <w:rPr>
          <w:rFonts w:ascii="Arial" w:cs="Arial" w:eastAsia="Arial" w:hAnsi="Arial"/>
          <w:sz w:val="18"/>
          <w:szCs w:val="18"/>
          <w:color w:val="auto"/>
        </w:rPr>
        <w:t>(“Cartrack”)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 of revenue growth and operating margin for a period of 12-months sum to greater than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economics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are non-IFRS financial measures that are used as reference of Cartrack’s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Lifetime value (LTV of a Customer) of customer relationships to customer acquisition costs (CAC)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Lifetime revenue of a Subscriber, cost of acquiring a subscriber (CAS) and </w:t>
      </w:r>
      <w:r>
        <w:rPr>
          <w:rFonts w:ascii="Arial" w:cs="Arial" w:eastAsia="Arial" w:hAnsi="Arial"/>
          <w:sz w:val="18"/>
          <w:szCs w:val="18"/>
          <w:color w:val="auto"/>
        </w:rPr>
        <w:t>cost of servicing a subscriber (CSS)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calculate the lifetime revenue of a subscriber by multiplying the ARPU with the expected contract life cycle months.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342" w:lineRule="auto"/>
        <w:rPr>
          <w:sz w:val="20"/>
          <w:szCs w:val="20"/>
          <w:color w:val="auto"/>
        </w:rPr>
      </w:pPr>
      <w:r>
        <w:rPr>
          <w:rFonts w:ascii="Arial" w:cs="Arial" w:eastAsia="Arial" w:hAnsi="Arial"/>
          <w:sz w:val="16"/>
          <w:szCs w:val="16"/>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our latest Annual Report on Form 20-F filed with the U.S. Securities and Exchange Commission.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44" w:lineRule="auto"/>
        <w:rPr>
          <w:sz w:val="20"/>
          <w:szCs w:val="20"/>
          <w:color w:val="auto"/>
        </w:rPr>
      </w:pPr>
      <w:r>
        <w:rPr>
          <w:rFonts w:ascii="Arial" w:cs="Arial" w:eastAsia="Arial" w:hAnsi="Arial"/>
          <w:sz w:val="17"/>
          <w:szCs w:val="17"/>
          <w:color w:val="auto"/>
        </w:rPr>
        <w:t>our business operations. Solely for convenience, trademarks and trade names referred to in this announcement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2023-05-08T15:25:27Z</dcterms:created>
  <dcterms:modified xsi:type="dcterms:W3CDTF">2023-05-08T15:25:27Z</dcterms:modified>
</cp:coreProperties>
</file>