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July, 2025</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ind w:left="4620" w:right="3539" w:firstLine="80"/>
        <w:spacing w:after="0" w:line="259" w:lineRule="auto"/>
        <w:tabs>
          <w:tab w:leader="none" w:pos="484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Harbourfront Avenue Keppel Bay Tower #14-07 Singapore 098632</w:t>
      </w: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29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900"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7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10080" w:type="dxa"/>
            <w:vAlign w:val="bottom"/>
            <w:gridSpan w:val="2"/>
          </w:tcPr>
          <w:p>
            <w:pPr>
              <w:ind w:left="4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8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Results of the Annual General Meeting of Karooooo Limited, held on July 25, 2025</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40" w:type="dxa"/>
            <w:vAlign w:val="bottom"/>
            <w:tcBorders>
              <w:top w:val="single" w:sz="8" w:color="0000EE"/>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2</w:t>
            </w:r>
          </w:p>
        </w:tc>
        <w:tc>
          <w:tcPr>
            <w:tcW w:w="40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156845</wp:posOffset>
            </wp:positionV>
            <wp:extent cx="101981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98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SINGAPORE (July 25, 2025) - Karooooo Limited (NASDAQ: KARO) (“Karooooo” or “The Company”) today held its Annual General Meeting of Shareholders.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were 30,893,300 ordinary shares in issue as at the date of the AGM. In accordance with the constitution of the Company, two members present or represented at the AGM constitutes a quorum. We confirm that a quorum was present at the AGM.</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Shareholders voted on all the resolutions relating to the ordinary business and all the resolutions relating to the special business as set out in the notice of the AGM, dated June 27, 2025. All resolutions were duly passed.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ordinary share carries one vote. Details of all votes validly cast at the AGM are set out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060" w:type="dxa"/>
            <w:vAlign w:val="bottom"/>
          </w:tcPr>
          <w:p>
            <w:pPr>
              <w:spacing w:after="0"/>
              <w:rPr>
                <w:sz w:val="24"/>
                <w:szCs w:val="24"/>
                <w:color w:val="auto"/>
              </w:rPr>
            </w:pPr>
          </w:p>
        </w:tc>
        <w:tc>
          <w:tcPr>
            <w:tcW w:w="28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0"/>
              </w:rPr>
              <w:t>For</w:t>
            </w:r>
            <w:r>
              <w:rPr>
                <w:rFonts w:ascii="Times New Roman" w:cs="Times New Roman" w:eastAsia="Times New Roman" w:hAnsi="Times New Roman"/>
                <w:sz w:val="29"/>
                <w:szCs w:val="29"/>
                <w:b w:val="1"/>
                <w:bCs w:val="1"/>
                <w:color w:val="auto"/>
                <w:w w:val="90"/>
                <w:vertAlign w:val="superscript"/>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Against</w:t>
            </w:r>
            <w:r>
              <w:rPr>
                <w:rFonts w:ascii="Times New Roman" w:cs="Times New Roman" w:eastAsia="Times New Roman" w:hAnsi="Times New Roman"/>
                <w:sz w:val="29"/>
                <w:szCs w:val="29"/>
                <w:b w:val="1"/>
                <w:bCs w:val="1"/>
                <w:color w:val="auto"/>
                <w:w w:val="93"/>
                <w:vertAlign w:val="superscript"/>
              </w:rPr>
              <w:t>(1)</w:t>
            </w:r>
          </w:p>
        </w:tc>
        <w:tc>
          <w:tcPr>
            <w:tcW w:w="16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Abstentions</w:t>
            </w:r>
            <w:r>
              <w:rPr>
                <w:rFonts w:ascii="Times New Roman" w:cs="Times New Roman" w:eastAsia="Times New Roman" w:hAnsi="Times New Roman"/>
                <w:sz w:val="29"/>
                <w:szCs w:val="29"/>
                <w:b w:val="1"/>
                <w:bCs w:val="1"/>
                <w:color w:val="auto"/>
                <w:w w:val="96"/>
                <w:vertAlign w:val="superscript"/>
              </w:rPr>
              <w:t>(1)</w:t>
            </w:r>
          </w:p>
        </w:tc>
        <w:tc>
          <w:tcPr>
            <w:tcW w:w="860" w:type="dxa"/>
            <w:vAlign w:val="bottom"/>
          </w:tcPr>
          <w:p>
            <w:pPr>
              <w:spacing w:after="0"/>
              <w:rPr>
                <w:sz w:val="24"/>
                <w:szCs w:val="24"/>
                <w:color w:val="auto"/>
              </w:rPr>
            </w:pPr>
          </w:p>
        </w:tc>
      </w:tr>
      <w:tr>
        <w:trPr>
          <w:trHeight w:val="216"/>
        </w:trPr>
        <w:tc>
          <w:tcPr>
            <w:tcW w:w="4060" w:type="dxa"/>
            <w:vAlign w:val="bottom"/>
          </w:tcPr>
          <w:p>
            <w:pPr>
              <w:spacing w:after="0"/>
              <w:rPr>
                <w:sz w:val="18"/>
                <w:szCs w:val="18"/>
                <w:color w:val="auto"/>
              </w:rPr>
            </w:pPr>
          </w:p>
        </w:tc>
        <w:tc>
          <w:tcPr>
            <w:tcW w:w="28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60" w:type="dxa"/>
            <w:vAlign w:val="bottom"/>
          </w:tcPr>
          <w:p>
            <w:pPr>
              <w:jc w:val="center"/>
              <w:ind w:left="255"/>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20"/>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Resolution number and details</w:t>
            </w:r>
          </w:p>
        </w:tc>
        <w:tc>
          <w:tcPr>
            <w:tcW w:w="28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860" w:type="dxa"/>
            <w:vAlign w:val="bottom"/>
          </w:tcPr>
          <w:p>
            <w:pPr>
              <w:jc w:val="center"/>
              <w:ind w:left="255"/>
              <w:spacing w:after="0"/>
              <w:rPr>
                <w:sz w:val="20"/>
                <w:szCs w:val="20"/>
                <w:color w:val="auto"/>
              </w:rPr>
            </w:pPr>
            <w:r>
              <w:rPr>
                <w:rFonts w:ascii="Times New Roman" w:cs="Times New Roman" w:eastAsia="Times New Roman" w:hAnsi="Times New Roman"/>
                <w:sz w:val="18"/>
                <w:szCs w:val="18"/>
                <w:b w:val="1"/>
                <w:bCs w:val="1"/>
                <w:color w:val="auto"/>
                <w:w w:val="95"/>
              </w:rPr>
              <w:t>Voted</w:t>
            </w:r>
          </w:p>
        </w:tc>
      </w:tr>
      <w:tr>
        <w:trPr>
          <w:trHeight w:val="304"/>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Routine Business</w:t>
            </w:r>
          </w:p>
        </w:tc>
        <w:tc>
          <w:tcPr>
            <w:tcW w:w="28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60" w:type="dxa"/>
            <w:vAlign w:val="bottom"/>
          </w:tcPr>
          <w:p>
            <w:pPr>
              <w:jc w:val="center"/>
              <w:ind w:left="255"/>
              <w:spacing w:after="0" w:line="304" w:lineRule="exact"/>
              <w:rPr>
                <w:sz w:val="20"/>
                <w:szCs w:val="20"/>
                <w:color w:val="auto"/>
              </w:rPr>
            </w:pPr>
            <w:r>
              <w:rPr>
                <w:rFonts w:ascii="Times New Roman" w:cs="Times New Roman" w:eastAsia="Times New Roman" w:hAnsi="Times New Roman"/>
                <w:sz w:val="35"/>
                <w:szCs w:val="35"/>
                <w:b w:val="1"/>
                <w:bCs w:val="1"/>
                <w:color w:val="auto"/>
                <w:w w:val="88"/>
                <w:vertAlign w:val="subscript"/>
              </w:rPr>
              <w:t>%</w:t>
            </w:r>
            <w:r>
              <w:rPr>
                <w:rFonts w:ascii="Times New Roman" w:cs="Times New Roman" w:eastAsia="Times New Roman" w:hAnsi="Times New Roman"/>
                <w:sz w:val="15"/>
                <w:szCs w:val="15"/>
                <w:b w:val="1"/>
                <w:bCs w:val="1"/>
                <w:color w:val="auto"/>
                <w:w w:val="88"/>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and adopt the Directors’ Statement, the Auditors’ Report</w:t>
      </w:r>
    </w:p>
    <w:p>
      <w:pPr>
        <w:spacing w:after="0" w:line="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and the Audited</w:t>
            </w: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21,595,994</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911</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7,103</w:t>
            </w:r>
          </w:p>
        </w:tc>
        <w:tc>
          <w:tcPr>
            <w:tcW w:w="1040" w:type="dxa"/>
            <w:vAlign w:val="bottom"/>
          </w:tcPr>
          <w:p>
            <w:pPr>
              <w:spacing w:after="0"/>
              <w:rPr>
                <w:sz w:val="18"/>
                <w:szCs w:val="18"/>
                <w:color w:val="auto"/>
              </w:rPr>
            </w:pPr>
          </w:p>
        </w:tc>
      </w:tr>
      <w:tr>
        <w:trPr>
          <w:trHeight w:val="198"/>
        </w:trPr>
        <w:tc>
          <w:tcPr>
            <w:tcW w:w="5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Financial Statements of the Company for the financial year ended</w:t>
            </w:r>
          </w:p>
        </w:tc>
        <w:tc>
          <w:tcPr>
            <w:tcW w:w="17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28, 2025.</w:t>
            </w: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99.97</w:t>
            </w:r>
          </w:p>
        </w:tc>
        <w:tc>
          <w:tcPr>
            <w:tcW w:w="14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0.00</w:t>
            </w:r>
          </w:p>
        </w:tc>
        <w:tc>
          <w:tcPr>
            <w:tcW w:w="14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0.03</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69.91</w:t>
            </w:r>
          </w:p>
        </w:tc>
      </w:tr>
    </w:tbl>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re-appoint Mrs SK Lim, who retires pursuant to Regulation 89 of</w:t>
      </w:r>
    </w:p>
    <w:tbl>
      <w:tblPr>
        <w:tblLayout w:type="fixed"/>
        <w:tblInd w:w="460" w:type="dxa"/>
        <w:tblCellMar>
          <w:top w:w="0" w:type="dxa"/>
          <w:left w:w="0" w:type="dxa"/>
          <w:bottom w:w="0" w:type="dxa"/>
          <w:right w:w="0" w:type="dxa"/>
        </w:tblCellMar>
      </w:tblPr>
      <w:tr>
        <w:trPr>
          <w:trHeight w:val="207"/>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the Constitution of the Company, as Director of the Company</w:t>
            </w:r>
          </w:p>
        </w:tc>
        <w:tc>
          <w:tcPr>
            <w:tcW w:w="1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21,597,142</w:t>
            </w: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5,520</w:t>
            </w:r>
          </w:p>
        </w:tc>
        <w:tc>
          <w:tcPr>
            <w:tcW w:w="1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34"/>
        </w:trPr>
        <w:tc>
          <w:tcPr>
            <w:tcW w:w="4980" w:type="dxa"/>
            <w:vAlign w:val="bottom"/>
          </w:tcPr>
          <w:p>
            <w:pPr>
              <w:spacing w:after="0"/>
              <w:rPr>
                <w:sz w:val="20"/>
                <w:szCs w:val="20"/>
                <w:color w:val="auto"/>
              </w:rPr>
            </w:pPr>
          </w:p>
        </w:tc>
        <w:tc>
          <w:tcPr>
            <w:tcW w:w="1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99.96</w:t>
            </w: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0.03</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0.01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ind w:left="460" w:right="5980" w:hanging="452"/>
        <w:spacing w:after="0" w:line="265" w:lineRule="auto"/>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remuneration of Non-executive Directors of the Company from time to time during the year ending February 28, 2026 in accordance with the following annual fee rates as may be relevant to each Non-executive Director: (i) Chairman’s/Lead Independent Directors’ fee of SGD62,500; (ii) Director’s fee of SGD42,000; (iii) Audit Committee Chairman’s fee of SGD31,000;</w:t>
      </w:r>
    </w:p>
    <w:tbl>
      <w:tblPr>
        <w:tblLayout w:type="fixed"/>
        <w:tblInd w:w="0" w:type="dxa"/>
        <w:tblCellMar>
          <w:top w:w="0" w:type="dxa"/>
          <w:left w:w="0" w:type="dxa"/>
          <w:bottom w:w="0" w:type="dxa"/>
          <w:right w:w="0" w:type="dxa"/>
        </w:tblCellMar>
      </w:tblPr>
      <w:tr>
        <w:trPr>
          <w:trHeight w:val="199"/>
        </w:trPr>
        <w:tc>
          <w:tcPr>
            <w:tcW w:w="300" w:type="dxa"/>
            <w:vAlign w:val="bottom"/>
          </w:tcPr>
          <w:p>
            <w:pPr>
              <w:spacing w:after="0"/>
              <w:rPr>
                <w:sz w:val="17"/>
                <w:szCs w:val="17"/>
                <w:color w:val="auto"/>
              </w:rPr>
            </w:pPr>
          </w:p>
        </w:tc>
        <w:tc>
          <w:tcPr>
            <w:tcW w:w="5120" w:type="dxa"/>
            <w:vAlign w:val="bottom"/>
          </w:tcPr>
          <w:p>
            <w:pPr>
              <w:ind w:left="160"/>
              <w:spacing w:after="0" w:line="199" w:lineRule="exact"/>
              <w:rPr>
                <w:sz w:val="20"/>
                <w:szCs w:val="20"/>
                <w:color w:val="auto"/>
              </w:rPr>
            </w:pPr>
            <w:r>
              <w:rPr>
                <w:rFonts w:ascii="Times New Roman" w:cs="Times New Roman" w:eastAsia="Times New Roman" w:hAnsi="Times New Roman"/>
                <w:sz w:val="18"/>
                <w:szCs w:val="18"/>
                <w:color w:val="auto"/>
              </w:rPr>
              <w:t>(iv) Compensation Committee Chairman’s fee of SGD17,000; (v)</w:t>
            </w:r>
          </w:p>
        </w:tc>
        <w:tc>
          <w:tcPr>
            <w:tcW w:w="1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Audit Committee member’s fee of</w:t>
            </w: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21,560,730</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37,647</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5,631</w:t>
            </w:r>
          </w:p>
        </w:tc>
        <w:tc>
          <w:tcPr>
            <w:tcW w:w="1040" w:type="dxa"/>
            <w:vAlign w:val="bottom"/>
          </w:tcPr>
          <w:p>
            <w:pPr>
              <w:spacing w:after="0"/>
              <w:rPr>
                <w:sz w:val="20"/>
                <w:szCs w:val="20"/>
                <w:color w:val="auto"/>
              </w:rPr>
            </w:pPr>
          </w:p>
        </w:tc>
      </w:tr>
      <w:tr>
        <w:trPr>
          <w:trHeight w:val="198"/>
        </w:trPr>
        <w:tc>
          <w:tcPr>
            <w:tcW w:w="300" w:type="dxa"/>
            <w:vAlign w:val="bottom"/>
          </w:tcPr>
          <w:p>
            <w:pPr>
              <w:spacing w:after="0"/>
              <w:rPr>
                <w:sz w:val="17"/>
                <w:szCs w:val="17"/>
                <w:color w:val="auto"/>
              </w:rPr>
            </w:pPr>
          </w:p>
        </w:tc>
        <w:tc>
          <w:tcPr>
            <w:tcW w:w="51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SGD20,500; and (vi) Compensation Committee member’s fee of</w:t>
            </w:r>
          </w:p>
        </w:tc>
        <w:tc>
          <w:tcPr>
            <w:tcW w:w="18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4"/>
        </w:trPr>
        <w:tc>
          <w:tcPr>
            <w:tcW w:w="30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SGD11,500.</w:t>
            </w:r>
          </w:p>
        </w:tc>
        <w:tc>
          <w:tcPr>
            <w:tcW w:w="18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99.8</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0.17</w:t>
            </w:r>
          </w:p>
        </w:tc>
        <w:tc>
          <w:tcPr>
            <w:tcW w:w="14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0.03</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69.79</w:t>
            </w:r>
          </w:p>
        </w:tc>
      </w:tr>
      <w:tr>
        <w:trPr>
          <w:trHeight w:val="198"/>
        </w:trPr>
        <w:tc>
          <w:tcPr>
            <w:tcW w:w="30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w w:val="88"/>
              </w:rPr>
              <w:t>4.</w:t>
            </w:r>
          </w:p>
        </w:tc>
        <w:tc>
          <w:tcPr>
            <w:tcW w:w="51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To re-appoint Deloitte &amp; Touche LLP (located in Singapore) and</w:t>
            </w:r>
          </w:p>
        </w:tc>
        <w:tc>
          <w:tcPr>
            <w:tcW w:w="1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Deloitte &amp; Touche (located in South Africa) as the auditors of the</w:t>
            </w: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for the financial year ending February 28, 2026 and to</w:t>
            </w: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empower the Directors to fix the auditors’</w:t>
            </w: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21,600,558</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1,975</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1,475</w:t>
            </w:r>
          </w:p>
        </w:tc>
        <w:tc>
          <w:tcPr>
            <w:tcW w:w="104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remuneration in their absolute discretion.</w:t>
            </w: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99.98</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0.01</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69.92</w:t>
            </w:r>
          </w:p>
        </w:tc>
      </w:tr>
      <w:tr>
        <w:trPr>
          <w:trHeight w:val="216"/>
        </w:trPr>
        <w:tc>
          <w:tcPr>
            <w:tcW w:w="30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Special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Directors to purchase or otherwise acquire issued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in</w:t>
            </w:r>
          </w:p>
        </w:tc>
        <w:tc>
          <w:tcPr>
            <w:tcW w:w="2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21,469,406</w:t>
            </w: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131,888</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2,714</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6.</w:t>
            </w: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capital of the Company.</w:t>
            </w:r>
          </w:p>
        </w:tc>
        <w:tc>
          <w:tcPr>
            <w:tcW w:w="2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99.38</w:t>
            </w: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0.61</w:t>
            </w:r>
          </w:p>
        </w:tc>
        <w:tc>
          <w:tcPr>
            <w:tcW w:w="14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0.01</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69.49</w:t>
            </w:r>
          </w:p>
        </w:tc>
        <w:tc>
          <w:tcPr>
            <w:tcW w:w="0" w:type="dxa"/>
            <w:vAlign w:val="bottom"/>
          </w:tcPr>
          <w:p>
            <w:pPr>
              <w:spacing w:after="0"/>
              <w:rPr>
                <w:sz w:val="1"/>
                <w:szCs w:val="1"/>
                <w:color w:val="auto"/>
              </w:rPr>
            </w:pPr>
          </w:p>
        </w:tc>
      </w:tr>
      <w:tr>
        <w:trPr>
          <w:trHeight w:val="198"/>
        </w:trPr>
        <w:tc>
          <w:tcPr>
            <w:tcW w:w="460" w:type="dxa"/>
            <w:vAlign w:val="bottom"/>
            <w:vMerge w:val="continue"/>
          </w:tcPr>
          <w:p>
            <w:pPr>
              <w:spacing w:after="0"/>
              <w:rPr>
                <w:sz w:val="17"/>
                <w:szCs w:val="17"/>
                <w:color w:val="auto"/>
              </w:rPr>
            </w:pPr>
          </w:p>
        </w:tc>
        <w:tc>
          <w:tcPr>
            <w:tcW w:w="4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 authorize the Directors to issue and allot shares.</w:t>
            </w:r>
          </w:p>
        </w:tc>
        <w:tc>
          <w:tcPr>
            <w:tcW w:w="2100" w:type="dxa"/>
            <w:vAlign w:val="bottom"/>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rPr>
              <w:t>20,596,526</w:t>
            </w:r>
          </w:p>
        </w:tc>
        <w:tc>
          <w:tcPr>
            <w:tcW w:w="1600" w:type="dxa"/>
            <w:vAlign w:val="bottom"/>
          </w:tcPr>
          <w:p>
            <w:pPr>
              <w:jc w:val="right"/>
              <w:ind w:right="430"/>
              <w:spacing w:after="0" w:line="198" w:lineRule="exact"/>
              <w:rPr>
                <w:sz w:val="20"/>
                <w:szCs w:val="20"/>
                <w:color w:val="auto"/>
              </w:rPr>
            </w:pPr>
            <w:r>
              <w:rPr>
                <w:rFonts w:ascii="Times New Roman" w:cs="Times New Roman" w:eastAsia="Times New Roman" w:hAnsi="Times New Roman"/>
                <w:sz w:val="18"/>
                <w:szCs w:val="18"/>
                <w:color w:val="auto"/>
              </w:rPr>
              <w:t>1,004,755</w:t>
            </w:r>
          </w:p>
        </w:tc>
        <w:tc>
          <w:tcPr>
            <w:tcW w:w="1440" w:type="dxa"/>
            <w:vAlign w:val="bottom"/>
          </w:tcPr>
          <w:p>
            <w:pPr>
              <w:jc w:val="right"/>
              <w:ind w:right="430"/>
              <w:spacing w:after="0" w:line="198" w:lineRule="exact"/>
              <w:rPr>
                <w:sz w:val="20"/>
                <w:szCs w:val="20"/>
                <w:color w:val="auto"/>
              </w:rPr>
            </w:pPr>
            <w:r>
              <w:rPr>
                <w:rFonts w:ascii="Times New Roman" w:cs="Times New Roman" w:eastAsia="Times New Roman" w:hAnsi="Times New Roman"/>
                <w:sz w:val="18"/>
                <w:szCs w:val="18"/>
                <w:color w:val="auto"/>
              </w:rPr>
              <w:t>2,727</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95.34</w:t>
            </w: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4.65</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0.01</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percentage of votes cast in favour of, or against, the resolution includes abstained votes.</w:t>
      </w:r>
    </w:p>
    <w:p>
      <w:pPr>
        <w:spacing w:after="0" w:line="225" w:lineRule="exact"/>
        <w:rPr>
          <w:rFonts w:ascii="Times New Roman" w:cs="Times New Roman" w:eastAsia="Times New Roman" w:hAnsi="Times New Roman"/>
          <w:sz w:val="18"/>
          <w:szCs w:val="18"/>
          <w:color w:val="auto"/>
        </w:rPr>
      </w:pPr>
    </w:p>
    <w:p>
      <w:pPr>
        <w:ind w:right="2260" w:firstLine="8"/>
        <w:spacing w:after="0" w:line="500"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Voted is calculated as all the votes cast for, against, or abstained as applicable, divided by the total eligible votes. For more information, visit www.karooooo.com.</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Relations Contact: IR@karooooo.com.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2025-07-25T10:11:03Z</dcterms:created>
  <dcterms:modified xsi:type="dcterms:W3CDTF">2025-07-25T10:11:03Z</dcterms:modified>
</cp:coreProperties>
</file>