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For the month of July, 2023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p>
      <w:pPr>
        <w:ind w:left="4640" w:right="3539" w:firstLine="83"/>
        <w:spacing w:after="0" w:line="272" w:lineRule="auto"/>
        <w:tabs>
          <w:tab w:leader="none" w:pos="4859"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Harbourfront Avenue Keppel Bay Tower #14-07 Singapore 098632</w:t>
      </w:r>
    </w:p>
    <w:p>
      <w:pPr>
        <w:spacing w:after="0" w:line="1" w:lineRule="exact"/>
        <w:rPr>
          <w:rFonts w:ascii="Arial" w:cs="Arial" w:eastAsia="Arial" w:hAnsi="Arial"/>
          <w:sz w:val="17"/>
          <w:szCs w:val="17"/>
          <w:b w:val="1"/>
          <w:bCs w:val="1"/>
          <w:color w:val="auto"/>
        </w:rPr>
      </w:pPr>
    </w:p>
    <w:p>
      <w:pPr>
        <w:ind w:left="508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0" w:lineRule="exact"/>
        <w:rPr>
          <w:sz w:val="24"/>
          <w:szCs w:val="24"/>
          <w:color w:val="auto"/>
        </w:rPr>
      </w:pPr>
    </w:p>
    <w:p>
      <w:pPr>
        <w:ind w:left="4380"/>
        <w:spacing w:after="0" w:line="207" w:lineRule="exact"/>
        <w:tabs>
          <w:tab w:leader="none" w:pos="5300" w:val="left"/>
          <w:tab w:leader="none" w:pos="5740" w:val="left"/>
          <w:tab w:leader="none" w:pos="670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12,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7"/>
                <w:szCs w:val="17"/>
                <w:color w:val="auto"/>
              </w:rPr>
            </w:pPr>
          </w:p>
        </w:tc>
        <w:tc>
          <w:tcPr>
            <w:tcW w:w="1012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0000EE"/>
              </w:rPr>
              <w:t>Results of the Annual General Meeting of Karooooo Limited, held on 12 July 2023</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gridSpan w:val="2"/>
          </w:tcPr>
          <w:p>
            <w:pPr>
              <w:spacing w:after="0"/>
              <w:rPr>
                <w:sz w:val="24"/>
                <w:szCs w:val="24"/>
                <w:color w:val="auto"/>
              </w:rPr>
            </w:pPr>
          </w:p>
        </w:tc>
        <w:tc>
          <w:tcPr>
            <w:tcW w:w="5980" w:type="dxa"/>
            <w:vAlign w:val="bottom"/>
            <w:tcBorders>
              <w:top w:val="single" w:sz="8" w:color="0000EE"/>
              <w:bottom w:val="single" w:sz="8" w:color="auto"/>
            </w:tcBorders>
          </w:tcPr>
          <w:p>
            <w:pPr>
              <w:jc w:val="right"/>
              <w:ind w:right="1370"/>
              <w:spacing w:after="0"/>
              <w:rPr>
                <w:sz w:val="20"/>
                <w:szCs w:val="20"/>
                <w:color w:val="auto"/>
              </w:rPr>
            </w:pPr>
            <w:r>
              <w:rPr>
                <w:rFonts w:ascii="Arial" w:cs="Arial" w:eastAsia="Arial" w:hAnsi="Arial"/>
                <w:sz w:val="18"/>
                <w:szCs w:val="18"/>
                <w:color w:val="auto"/>
              </w:rPr>
              <w:t>2</w:t>
            </w:r>
          </w:p>
        </w:tc>
        <w:tc>
          <w:tcPr>
            <w:tcW w:w="4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168910</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SINGAPORE (July 05, 2023) - Karooooo Limited (NASDAQ: KARO) (“Karooooo” or “The Company”) today held its Annual General Meeting of Shareholders.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30,951,106 ordinary shares in issue as at the date of the AGM. In accordance with the constitution of the Company, two members present or represented at the AGM, constitutes a quorum. We confirm that a quorum was present at the AGM.</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Shareholders voted on all the resolutions relating to the ordinary business and all the resolutions relating to the special business as set out in the notice of the AGM, dated June 20, 2023. All resolutions were duly passed.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Each ordinary share carries one vote. Details of all votes validly cast at the AGM are set out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6"/>
              </w:rPr>
              <w:t xml:space="preserve">For </w:t>
            </w:r>
            <w:r>
              <w:rPr>
                <w:rFonts w:ascii="Arial" w:cs="Arial" w:eastAsia="Arial" w:hAnsi="Arial"/>
                <w:sz w:val="29"/>
                <w:szCs w:val="29"/>
                <w:b w:val="1"/>
                <w:bCs w:val="1"/>
                <w:color w:val="auto"/>
                <w:w w:val="86"/>
                <w:vertAlign w:val="superscript"/>
              </w:rPr>
              <w:t>(1)</w:t>
            </w:r>
          </w:p>
        </w:tc>
        <w:tc>
          <w:tcPr>
            <w:tcW w:w="10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Against</w:t>
            </w:r>
            <w:r>
              <w:rPr>
                <w:rFonts w:ascii="Arial" w:cs="Arial" w:eastAsia="Arial" w:hAnsi="Arial"/>
                <w:sz w:val="29"/>
                <w:szCs w:val="29"/>
                <w:b w:val="1"/>
                <w:bCs w:val="1"/>
                <w:color w:val="auto"/>
                <w:w w:val="84"/>
                <w:vertAlign w:val="superscript"/>
              </w:rPr>
              <w:t>(1)</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Abstentions</w:t>
            </w:r>
            <w:r>
              <w:rPr>
                <w:rFonts w:ascii="Arial" w:cs="Arial" w:eastAsia="Arial" w:hAnsi="Arial"/>
                <w:sz w:val="29"/>
                <w:szCs w:val="29"/>
                <w:b w:val="1"/>
                <w:bCs w:val="1"/>
                <w:color w:val="auto"/>
                <w:w w:val="84"/>
                <w:vertAlign w:val="superscript"/>
              </w:rPr>
              <w:t>(1)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r>
      <w:tr>
        <w:trPr>
          <w:trHeight w:val="23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Resolution number and details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shares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12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Voted</w:t>
            </w:r>
          </w:p>
        </w:tc>
      </w:tr>
      <w:tr>
        <w:trPr>
          <w:trHeight w:val="27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Routine Business</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center"/>
              <w:ind w:left="15"/>
              <w:spacing w:after="0" w:line="269" w:lineRule="exact"/>
              <w:rPr>
                <w:sz w:val="20"/>
                <w:szCs w:val="20"/>
                <w:color w:val="auto"/>
              </w:rPr>
            </w:pPr>
            <w:r>
              <w:rPr>
                <w:rFonts w:ascii="Arial" w:cs="Arial" w:eastAsia="Arial" w:hAnsi="Arial"/>
                <w:sz w:val="31"/>
                <w:szCs w:val="31"/>
                <w:b w:val="1"/>
                <w:bCs w:val="1"/>
                <w:color w:val="auto"/>
                <w:w w:val="95"/>
                <w:vertAlign w:val="subscript"/>
              </w:rPr>
              <w:t>%</w:t>
            </w:r>
            <w:r>
              <w:rPr>
                <w:rFonts w:ascii="Arial" w:cs="Arial" w:eastAsia="Arial" w:hAnsi="Arial"/>
                <w:sz w:val="14"/>
                <w:szCs w:val="14"/>
                <w:b w:val="1"/>
                <w:bCs w:val="1"/>
                <w:color w:val="auto"/>
                <w:w w:val="95"/>
              </w:rPr>
              <w:t>(2)</w:t>
            </w:r>
          </w:p>
        </w:tc>
        <w:tc>
          <w:tcPr>
            <w:tcW w:w="100" w:type="dxa"/>
            <w:vAlign w:val="bottom"/>
          </w:tcPr>
          <w:p>
            <w:pPr>
              <w:spacing w:after="0"/>
              <w:rPr>
                <w:sz w:val="24"/>
                <w:szCs w:val="24"/>
                <w:color w:val="auto"/>
              </w:rPr>
            </w:pPr>
          </w:p>
        </w:tc>
      </w:tr>
      <w:tr>
        <w:trPr>
          <w:trHeight w:val="202"/>
        </w:trPr>
        <w:tc>
          <w:tcPr>
            <w:tcW w:w="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1.</w:t>
            </w:r>
          </w:p>
        </w:tc>
        <w:tc>
          <w:tcPr>
            <w:tcW w:w="632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93"/>
              </w:rPr>
              <w:t>To receive and adopt the Directors’ Statement, the Auditors’ Report and the Audited</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24,398,294</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5,905</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7,517</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6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Financial Statements of the Company for the financial year ended February 28, 2023.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100" w:type="dxa"/>
            <w:vAlign w:val="bottom"/>
            <w:shd w:val="clear" w:color="auto" w:fill="CCEEFF"/>
          </w:tcPr>
          <w:p>
            <w:pPr>
              <w:spacing w:after="0"/>
              <w:rPr>
                <w:sz w:val="20"/>
                <w:szCs w:val="20"/>
                <w:color w:val="auto"/>
              </w:rPr>
            </w:pPr>
          </w:p>
        </w:tc>
      </w:tr>
      <w:tr>
        <w:trPr>
          <w:trHeight w:val="202"/>
        </w:trPr>
        <w:tc>
          <w:tcPr>
            <w:tcW w:w="280" w:type="dxa"/>
            <w:vAlign w:val="bottom"/>
          </w:tcPr>
          <w:p>
            <w:pPr>
              <w:spacing w:after="0" w:line="201" w:lineRule="exact"/>
              <w:rPr>
                <w:sz w:val="20"/>
                <w:szCs w:val="20"/>
                <w:color w:val="auto"/>
              </w:rPr>
            </w:pPr>
            <w:r>
              <w:rPr>
                <w:rFonts w:ascii="Arial" w:cs="Arial" w:eastAsia="Arial" w:hAnsi="Arial"/>
                <w:sz w:val="18"/>
                <w:szCs w:val="18"/>
                <w:color w:val="auto"/>
              </w:rPr>
              <w:t>2.1</w:t>
            </w:r>
          </w:p>
        </w:tc>
        <w:tc>
          <w:tcPr>
            <w:tcW w:w="6320" w:type="dxa"/>
            <w:vAlign w:val="bottom"/>
          </w:tcPr>
          <w:p>
            <w:pPr>
              <w:ind w:left="60"/>
              <w:spacing w:after="0" w:line="201" w:lineRule="exact"/>
              <w:rPr>
                <w:sz w:val="20"/>
                <w:szCs w:val="20"/>
                <w:color w:val="auto"/>
              </w:rPr>
            </w:pPr>
            <w:r>
              <w:rPr>
                <w:rFonts w:ascii="Arial" w:cs="Arial" w:eastAsia="Arial" w:hAnsi="Arial"/>
                <w:sz w:val="18"/>
                <w:szCs w:val="18"/>
                <w:color w:val="auto"/>
                <w:w w:val="92"/>
              </w:rPr>
              <w:t>To re-appoint Mr IJ Calisto, who retires pursuant to Regulation 89 of the Constitution</w:t>
            </w:r>
          </w:p>
        </w:tc>
        <w:tc>
          <w:tcPr>
            <w:tcW w:w="11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24,317,319</w:t>
            </w:r>
          </w:p>
        </w:tc>
        <w:tc>
          <w:tcPr>
            <w:tcW w:w="122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86,985</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7,412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0" w:type="dxa"/>
            <w:vAlign w:val="bottom"/>
          </w:tcPr>
          <w:p>
            <w:pPr>
              <w:spacing w:after="0"/>
              <w:rPr>
                <w:sz w:val="20"/>
                <w:szCs w:val="20"/>
                <w:color w:val="auto"/>
              </w:rPr>
            </w:pPr>
          </w:p>
        </w:tc>
        <w:tc>
          <w:tcPr>
            <w:tcW w:w="6320" w:type="dxa"/>
            <w:vAlign w:val="bottom"/>
          </w:tcPr>
          <w:p>
            <w:pPr>
              <w:ind w:left="60"/>
              <w:spacing w:after="0"/>
              <w:rPr>
                <w:sz w:val="20"/>
                <w:szCs w:val="20"/>
                <w:color w:val="auto"/>
              </w:rPr>
            </w:pPr>
            <w:r>
              <w:rPr>
                <w:rFonts w:ascii="Arial" w:cs="Arial" w:eastAsia="Arial" w:hAnsi="Arial"/>
                <w:sz w:val="18"/>
                <w:szCs w:val="18"/>
                <w:color w:val="auto"/>
              </w:rPr>
              <w:t>of the Company, as a Director of the Company.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99.61</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0.36</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78.87</w:t>
            </w:r>
          </w:p>
        </w:tc>
        <w:tc>
          <w:tcPr>
            <w:tcW w:w="100" w:type="dxa"/>
            <w:vAlign w:val="bottom"/>
          </w:tcPr>
          <w:p>
            <w:pPr>
              <w:spacing w:after="0"/>
              <w:rPr>
                <w:sz w:val="20"/>
                <w:szCs w:val="20"/>
                <w:color w:val="auto"/>
              </w:rPr>
            </w:pPr>
          </w:p>
        </w:tc>
      </w:tr>
      <w:tr>
        <w:trPr>
          <w:trHeight w:val="202"/>
        </w:trPr>
        <w:tc>
          <w:tcPr>
            <w:tcW w:w="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2.2</w:t>
            </w:r>
          </w:p>
        </w:tc>
        <w:tc>
          <w:tcPr>
            <w:tcW w:w="63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4"/>
              </w:rPr>
              <w:t>To re-appoint Ms HS Goy, who retires pursuant to Regulation 89 of the Constitution</w:t>
            </w:r>
          </w:p>
        </w:tc>
        <w:tc>
          <w:tcPr>
            <w:tcW w:w="1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24,365,357</w:t>
            </w:r>
          </w:p>
        </w:tc>
        <w:tc>
          <w:tcPr>
            <w:tcW w:w="122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38,930</w:t>
            </w:r>
          </w:p>
        </w:tc>
        <w:tc>
          <w:tcPr>
            <w:tcW w:w="10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7,429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6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of the Company, as a Director of the Company.</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99.81</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100" w:type="dxa"/>
            <w:vAlign w:val="bottom"/>
            <w:shd w:val="clear" w:color="auto" w:fill="CCEEFF"/>
          </w:tcPr>
          <w:p>
            <w:pPr>
              <w:spacing w:after="0"/>
              <w:rPr>
                <w:sz w:val="20"/>
                <w:szCs w:val="20"/>
                <w:color w:val="auto"/>
              </w:rPr>
            </w:pPr>
          </w:p>
        </w:tc>
      </w:tr>
    </w:tbl>
    <w:p>
      <w:pPr>
        <w:ind w:left="340" w:right="4660" w:hanging="332"/>
        <w:spacing w:after="0" w:line="265"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approve the remuneration of Non-executive Directors of the Company from time to time during the year ending February 29, 2024 in accordance with the following annual fee rates as may be relevant to each Non-executive Director: (i) Chairman’s/Lead Independent Directors’ fee of SGD62,500; (ii) Director’s fee of</w:t>
      </w:r>
    </w:p>
    <w:tbl>
      <w:tblPr>
        <w:tblLayout w:type="fixed"/>
        <w:tblInd w:w="0" w:type="dxa"/>
        <w:tblCellMar>
          <w:top w:w="0" w:type="dxa"/>
          <w:left w:w="0" w:type="dxa"/>
          <w:bottom w:w="0" w:type="dxa"/>
          <w:right w:w="0" w:type="dxa"/>
        </w:tblCellMar>
      </w:tblPr>
      <w:tr>
        <w:trPr>
          <w:trHeight w:val="202"/>
        </w:trPr>
        <w:tc>
          <w:tcPr>
            <w:tcW w:w="240" w:type="dxa"/>
            <w:vAlign w:val="bottom"/>
          </w:tcPr>
          <w:p>
            <w:pPr>
              <w:spacing w:after="0"/>
              <w:rPr>
                <w:sz w:val="17"/>
                <w:szCs w:val="17"/>
                <w:color w:val="auto"/>
              </w:rPr>
            </w:pPr>
          </w:p>
        </w:tc>
        <w:tc>
          <w:tcPr>
            <w:tcW w:w="6480" w:type="dxa"/>
            <w:vAlign w:val="bottom"/>
          </w:tcPr>
          <w:p>
            <w:pPr>
              <w:ind w:left="100"/>
              <w:spacing w:after="0" w:line="202" w:lineRule="exact"/>
              <w:rPr>
                <w:sz w:val="20"/>
                <w:szCs w:val="20"/>
                <w:color w:val="auto"/>
              </w:rPr>
            </w:pPr>
            <w:r>
              <w:rPr>
                <w:rFonts w:ascii="Arial" w:cs="Arial" w:eastAsia="Arial" w:hAnsi="Arial"/>
                <w:sz w:val="18"/>
                <w:szCs w:val="18"/>
                <w:color w:val="auto"/>
                <w:w w:val="95"/>
              </w:rPr>
              <w:t>SGD42,000; (iii) Audit Committee Chairman’s fee of SGD31,000; (iv) Compensation</w:t>
            </w: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Committee Chairman’s fee of SGD17,000; (v) Audit Committee member’s fee of</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24,289,027</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113,850</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8,839</w:t>
            </w:r>
          </w:p>
        </w:tc>
        <w:tc>
          <w:tcPr>
            <w:tcW w:w="86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SGD20,500; and (vi) Compensation Committee member’s fee of SGD11,500.</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99.49</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0.47</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0.04</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78.87</w:t>
            </w:r>
          </w:p>
        </w:tc>
      </w:tr>
      <w:tr>
        <w:trPr>
          <w:trHeight w:val="202"/>
        </w:trPr>
        <w:tc>
          <w:tcPr>
            <w:tcW w:w="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w:t>
            </w:r>
          </w:p>
        </w:tc>
        <w:tc>
          <w:tcPr>
            <w:tcW w:w="64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To appoint Ernst &amp; Young LLP as the auditors of the Company for the financial year</w:t>
            </w: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240" w:type="dxa"/>
            <w:vAlign w:val="bottom"/>
            <w:shd w:val="clear" w:color="auto" w:fill="CCEEFF"/>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ending February 29, 2024 and to empower the Directors to fix the auditors’</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24,402,009</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851</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8,856</w:t>
            </w:r>
          </w:p>
        </w:tc>
        <w:tc>
          <w:tcPr>
            <w:tcW w:w="860" w:type="dxa"/>
            <w:vAlign w:val="bottom"/>
            <w:shd w:val="clear" w:color="auto" w:fill="CCEEFF"/>
          </w:tcPr>
          <w:p>
            <w:pPr>
              <w:spacing w:after="0"/>
              <w:rPr>
                <w:sz w:val="18"/>
                <w:szCs w:val="18"/>
                <w:color w:val="auto"/>
              </w:rPr>
            </w:pPr>
          </w:p>
        </w:tc>
      </w:tr>
      <w:tr>
        <w:trPr>
          <w:trHeight w:val="230"/>
        </w:trPr>
        <w:tc>
          <w:tcPr>
            <w:tcW w:w="240" w:type="dxa"/>
            <w:vAlign w:val="bottom"/>
            <w:shd w:val="clear" w:color="auto" w:fill="CCEEFF"/>
          </w:tcPr>
          <w:p>
            <w:pPr>
              <w:spacing w:after="0"/>
              <w:rPr>
                <w:sz w:val="20"/>
                <w:szCs w:val="20"/>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remuneration in their absolute discretion.</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99.96</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0.00</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0.04</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78.87</w:t>
            </w:r>
          </w:p>
        </w:tc>
      </w:tr>
      <w:tr>
        <w:trPr>
          <w:trHeight w:val="216"/>
        </w:trPr>
        <w:tc>
          <w:tcPr>
            <w:tcW w:w="672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Special business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2"/>
        </w:trPr>
        <w:tc>
          <w:tcPr>
            <w:tcW w:w="240" w:type="dxa"/>
            <w:vAlign w:val="bottom"/>
          </w:tcPr>
          <w:p>
            <w:pPr>
              <w:spacing w:after="0" w:line="201" w:lineRule="exact"/>
              <w:rPr>
                <w:sz w:val="20"/>
                <w:szCs w:val="20"/>
                <w:color w:val="auto"/>
              </w:rPr>
            </w:pPr>
            <w:r>
              <w:rPr>
                <w:rFonts w:ascii="Arial" w:cs="Arial" w:eastAsia="Arial" w:hAnsi="Arial"/>
                <w:sz w:val="18"/>
                <w:szCs w:val="18"/>
                <w:color w:val="auto"/>
              </w:rPr>
              <w:t>5.</w:t>
            </w:r>
          </w:p>
        </w:tc>
        <w:tc>
          <w:tcPr>
            <w:tcW w:w="6480" w:type="dxa"/>
            <w:vAlign w:val="bottom"/>
          </w:tcPr>
          <w:p>
            <w:pPr>
              <w:ind w:left="100"/>
              <w:spacing w:after="0" w:line="201" w:lineRule="exact"/>
              <w:rPr>
                <w:sz w:val="20"/>
                <w:szCs w:val="20"/>
                <w:color w:val="auto"/>
              </w:rPr>
            </w:pPr>
            <w:r>
              <w:rPr>
                <w:rFonts w:ascii="Arial" w:cs="Arial" w:eastAsia="Arial" w:hAnsi="Arial"/>
                <w:sz w:val="18"/>
                <w:szCs w:val="18"/>
                <w:color w:val="auto"/>
                <w:w w:val="93"/>
              </w:rPr>
              <w:t>To authorize the Directors to purchase or otherwise acquire issued ordinary shares in</w:t>
            </w:r>
          </w:p>
        </w:tc>
        <w:tc>
          <w:tcPr>
            <w:tcW w:w="126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23,765,880</w:t>
            </w:r>
          </w:p>
        </w:tc>
        <w:tc>
          <w:tcPr>
            <w:tcW w:w="124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638,751</w:t>
            </w:r>
          </w:p>
        </w:tc>
        <w:tc>
          <w:tcPr>
            <w:tcW w:w="116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7,085</w:t>
            </w:r>
          </w:p>
        </w:tc>
        <w:tc>
          <w:tcPr>
            <w:tcW w:w="860" w:type="dxa"/>
            <w:vAlign w:val="bottom"/>
          </w:tcPr>
          <w:p>
            <w:pPr>
              <w:spacing w:after="0"/>
              <w:rPr>
                <w:sz w:val="17"/>
                <w:szCs w:val="17"/>
                <w:color w:val="auto"/>
              </w:rPr>
            </w:pPr>
          </w:p>
        </w:tc>
      </w:tr>
      <w:tr>
        <w:trPr>
          <w:trHeight w:val="230"/>
        </w:trPr>
        <w:tc>
          <w:tcPr>
            <w:tcW w:w="240" w:type="dxa"/>
            <w:vAlign w:val="bottom"/>
          </w:tcPr>
          <w:p>
            <w:pPr>
              <w:spacing w:after="0"/>
              <w:rPr>
                <w:sz w:val="20"/>
                <w:szCs w:val="20"/>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the capital of the Company.</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97.35</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2.62</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0.03</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78.87</w:t>
            </w:r>
          </w:p>
        </w:tc>
      </w:tr>
      <w:tr>
        <w:trPr>
          <w:trHeight w:val="202"/>
        </w:trPr>
        <w:tc>
          <w:tcPr>
            <w:tcW w:w="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w:t>
            </w:r>
          </w:p>
        </w:tc>
        <w:tc>
          <w:tcPr>
            <w:tcW w:w="64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To authorize the Directors to issue and allot shares.</w:t>
            </w:r>
          </w:p>
        </w:tc>
        <w:tc>
          <w:tcPr>
            <w:tcW w:w="126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23,706,602</w:t>
            </w:r>
          </w:p>
        </w:tc>
        <w:tc>
          <w:tcPr>
            <w:tcW w:w="124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rPr>
              <w:t>697,209</w:t>
            </w:r>
          </w:p>
        </w:tc>
        <w:tc>
          <w:tcPr>
            <w:tcW w:w="1160" w:type="dxa"/>
            <w:vAlign w:val="bottom"/>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rPr>
              <w:t>7,905</w:t>
            </w:r>
          </w:p>
        </w:tc>
        <w:tc>
          <w:tcPr>
            <w:tcW w:w="860" w:type="dxa"/>
            <w:vAlign w:val="bottom"/>
            <w:shd w:val="clear" w:color="auto" w:fill="CCEEFF"/>
          </w:tcPr>
          <w:p>
            <w:pPr>
              <w:spacing w:after="0"/>
              <w:rPr>
                <w:sz w:val="17"/>
                <w:szCs w:val="17"/>
                <w:color w:val="auto"/>
              </w:rPr>
            </w:pPr>
          </w:p>
        </w:tc>
      </w:tr>
      <w:tr>
        <w:trPr>
          <w:trHeight w:val="230"/>
        </w:trPr>
        <w:tc>
          <w:tcPr>
            <w:tcW w:w="240" w:type="dxa"/>
            <w:vAlign w:val="bottom"/>
            <w:shd w:val="clear" w:color="auto" w:fill="CCEEFF"/>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97.11</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2.86</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0.03</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78.87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www.karooooo.com.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 IR@karooooo.com.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2023-07-12T12:16:41Z</dcterms:created>
  <dcterms:modified xsi:type="dcterms:W3CDTF">2023-07-12T12:16:41Z</dcterms:modified>
</cp:coreProperties>
</file>