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January, 2026</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4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20,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6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40" w:type="dxa"/>
            <w:vAlign w:val="bottom"/>
          </w:tcPr>
          <w:p>
            <w:pPr>
              <w:spacing w:after="0"/>
              <w:rPr>
                <w:sz w:val="24"/>
                <w:szCs w:val="24"/>
                <w:color w:val="auto"/>
              </w:rPr>
            </w:pPr>
          </w:p>
        </w:tc>
        <w:tc>
          <w:tcPr>
            <w:tcW w:w="8860" w:type="dxa"/>
            <w:vAlign w:val="bottom"/>
            <w:gridSpan w:val="2"/>
          </w:tcPr>
          <w:p>
            <w:pPr>
              <w:ind w:left="3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January 20, 2026 - Karooooo Ltd. Announces Third Quarter and Nine months ended November 2025 Unaudited</w:t>
            </w: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Financial Results</w:t>
            </w:r>
          </w:p>
        </w:tc>
        <w:tc>
          <w:tcPr>
            <w:tcW w:w="20" w:type="dxa"/>
            <w:vAlign w:val="bottom"/>
            <w:tcBorders>
              <w:top w:val="single" w:sz="8" w:color="CCEEFF"/>
            </w:tcBorders>
            <w:shd w:val="clear" w:color="auto" w:fill="CCEEFF"/>
          </w:tcPr>
          <w:p>
            <w:pPr>
              <w:spacing w:after="0"/>
              <w:rPr>
                <w:sz w:val="18"/>
                <w:szCs w:val="18"/>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8840" w:type="dxa"/>
            <w:vAlign w:val="bottom"/>
            <w:tcBorders>
              <w:top w:val="single" w:sz="8" w:color="CCEEFF"/>
              <w:bottom w:val="single" w:sz="8" w:color="auto"/>
            </w:tcBorders>
          </w:tcPr>
          <w:p>
            <w:pPr>
              <w:jc w:val="right"/>
              <w:ind w:right="547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00" w:hanging="154"/>
        <w:spacing w:after="0"/>
        <w:tabs>
          <w:tab w:leader="none" w:pos="3000" w:val="left"/>
        </w:tabs>
        <w:numPr>
          <w:ilvl w:val="4"/>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SaaS ARR growth accelerated to 22% Y/Y reaching ZAR5,106 million</w:t>
      </w:r>
    </w:p>
    <w:p>
      <w:pPr>
        <w:spacing w:after="0" w:line="225" w:lineRule="exact"/>
        <w:rPr>
          <w:rFonts w:ascii="Times New Roman" w:cs="Times New Roman" w:eastAsia="Times New Roman" w:hAnsi="Times New Roman"/>
          <w:sz w:val="18"/>
          <w:szCs w:val="18"/>
          <w:color w:val="auto"/>
        </w:rPr>
      </w:pPr>
    </w:p>
    <w:p>
      <w:pPr>
        <w:ind w:left="1980" w:hanging="153"/>
        <w:spacing w:after="0"/>
        <w:tabs>
          <w:tab w:leader="none" w:pos="1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USD equivalent, Q3 SaaS ARR growth accelerated to 28% Y/Y reaching USD298 million</w:t>
      </w:r>
    </w:p>
    <w:p>
      <w:pPr>
        <w:spacing w:after="0" w:line="225" w:lineRule="exact"/>
        <w:rPr>
          <w:rFonts w:ascii="Times New Roman" w:cs="Times New Roman" w:eastAsia="Times New Roman" w:hAnsi="Times New Roman"/>
          <w:sz w:val="18"/>
          <w:szCs w:val="18"/>
          <w:color w:val="auto"/>
        </w:rPr>
      </w:pPr>
    </w:p>
    <w:p>
      <w:pPr>
        <w:ind w:left="2920" w:hanging="149"/>
        <w:spacing w:after="0"/>
        <w:tabs>
          <w:tab w:leader="none" w:pos="2920"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Cartrack Subscription Revenue growth of 20% Y/Y to ZAR1,236 million</w:t>
      </w:r>
    </w:p>
    <w:p>
      <w:pPr>
        <w:spacing w:after="0" w:line="225" w:lineRule="exact"/>
        <w:rPr>
          <w:rFonts w:ascii="Times New Roman" w:cs="Times New Roman" w:eastAsia="Times New Roman" w:hAnsi="Times New Roman"/>
          <w:sz w:val="18"/>
          <w:szCs w:val="18"/>
          <w:color w:val="auto"/>
        </w:rPr>
      </w:pPr>
    </w:p>
    <w:p>
      <w:pPr>
        <w:ind w:left="3000" w:hanging="151"/>
        <w:spacing w:after="0"/>
        <w:tabs>
          <w:tab w:leader="none" w:pos="3000" w:val="left"/>
        </w:tabs>
        <w:numPr>
          <w:ilvl w:val="4"/>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Subscribers increased 16% to 2.6 million (Q3 2025: 2.2 million)</w:t>
      </w:r>
    </w:p>
    <w:p>
      <w:pPr>
        <w:spacing w:after="0" w:line="225" w:lineRule="exact"/>
        <w:rPr>
          <w:rFonts w:ascii="Times New Roman" w:cs="Times New Roman" w:eastAsia="Times New Roman" w:hAnsi="Times New Roman"/>
          <w:sz w:val="18"/>
          <w:szCs w:val="18"/>
          <w:color w:val="auto"/>
        </w:rPr>
      </w:pPr>
    </w:p>
    <w:p>
      <w:pPr>
        <w:ind w:left="2860" w:hanging="153"/>
        <w:spacing w:after="0"/>
        <w:tabs>
          <w:tab w:leader="none" w:pos="286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Adjusted EPS increased 11% Y/Y to ZAR8.54 (Q3 2025: ZAR7.67)</w:t>
      </w:r>
    </w:p>
    <w:p>
      <w:pPr>
        <w:spacing w:after="0" w:line="225" w:lineRule="exact"/>
        <w:rPr>
          <w:rFonts w:ascii="Times New Roman" w:cs="Times New Roman" w:eastAsia="Times New Roman" w:hAnsi="Times New Roman"/>
          <w:sz w:val="18"/>
          <w:szCs w:val="18"/>
          <w:color w:val="auto"/>
        </w:rPr>
      </w:pPr>
    </w:p>
    <w:p>
      <w:pPr>
        <w:ind w:left="2540" w:hanging="155"/>
        <w:spacing w:after="0"/>
        <w:tabs>
          <w:tab w:leader="none" w:pos="25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Midpoint of FY26 Revenue Outlook: On Track to Deliver Growth Acceleration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SINGAPORE (January 20, 2026) - Karooooo Limited (“Karooooo”) reported strong results and a positive outlook in the third quarter (“Q3 2026”) ended November 30, 2025. Karooooo owns 100% of Cartrack and 81% of Karooooo Logistics, (collectively, “the group”).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Q3 performance reflects our consistent and disciplined track record of growing our business at scale. We continued to accelerate our subscription revenue while experiencing record net subscriber additions.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Cartrack’s quarterly subscription revenue increased 20% to ZAR1,236 million and ARR increased 22% to ZAR5,106 million, representing a significant acceleration in growth compared to Q3 of the previous year where subscription revenue and ARR each increased 14%. Importantly, our Q3 ARR growth of 22% also accelerated compared to 20% in the previous quarter, and our ARR increased 28% in USD to USD298 million. Q3 also delivered record net subscriber additions, supported by our accelerated growth strategy.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customer expansion and increased adoption of our Video and Cartrack Tag solutions drove this acceleration. While accelerated growth creates timing differences between up-front growth-related expenses, such as sales and marketing expenses, and their realization of future revenue, we believe that accelerating growth – when executed efficiently and supported by strong unit economics and our healthy balance sheet – is the appropriate strategy to drive long-term shareholder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ongoing investment in distribution capacity to create durable advantages that extend beyond the current financial year. Finally, we remain firmly committed to disciplined capital allocation, strong unit economics and our vertically integrated and open operating culture,” said Zak Calisto, Group CEO of Karooooo.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Q3 2025,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 subscribers </w:t>
      </w:r>
      <w:r>
        <w:rPr>
          <w:rFonts w:ascii="Times New Roman" w:cs="Times New Roman" w:eastAsia="Times New Roman" w:hAnsi="Times New Roman"/>
          <w:sz w:val="18"/>
          <w:szCs w:val="18"/>
          <w:color w:val="auto"/>
        </w:rPr>
        <w:t>increased 16% to 2,568,467 (Q3 2025: 2,223,227)</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Cartrack subscriber additions </w:t>
      </w:r>
      <w:r>
        <w:rPr>
          <w:rFonts w:ascii="Times New Roman" w:cs="Times New Roman" w:eastAsia="Times New Roman" w:hAnsi="Times New Roman"/>
          <w:sz w:val="18"/>
          <w:szCs w:val="18"/>
          <w:color w:val="auto"/>
        </w:rPr>
        <w:t>increased 29% to a record of 111,478 (Q3 2025: 86,617)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20% to ZAR1,239 million (Q3 2025: ZAR1,032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20% to ZAR1,236 million (Q3 2025: ZAR1,029 million)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SaaS annualized recurring revenue (“ARR”) </w:t>
      </w:r>
      <w:r>
        <w:rPr>
          <w:rFonts w:ascii="Times New Roman" w:cs="Times New Roman" w:eastAsia="Times New Roman" w:hAnsi="Times New Roman"/>
          <w:sz w:val="18"/>
          <w:szCs w:val="18"/>
          <w:color w:val="auto"/>
        </w:rPr>
        <w:t>as at November 30, 2025, increased 22% to ZAR5,106 million (November 30,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ZAR4,194 million)</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B2B delivery-as-a-service (“DaaS”) revenue </w:t>
      </w:r>
      <w:r>
        <w:rPr>
          <w:rFonts w:ascii="Times New Roman" w:cs="Times New Roman" w:eastAsia="Times New Roman" w:hAnsi="Times New Roman"/>
          <w:sz w:val="18"/>
          <w:szCs w:val="18"/>
          <w:color w:val="auto"/>
        </w:rPr>
        <w:t>increased 24% to ZAR135 million (Q3 2025: ZAR109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Presented in the U.S. Dollar Equivalent</w:t>
      </w:r>
      <w:r>
        <w:rPr>
          <w:rFonts w:ascii="Times New Roman" w:cs="Times New Roman" w:eastAsia="Times New Roman" w:hAnsi="Times New Roman"/>
          <w:sz w:val="29"/>
          <w:szCs w:val="29"/>
          <w:b w:val="1"/>
          <w:bCs w:val="1"/>
          <w:i w:val="1"/>
          <w:iCs w:val="1"/>
          <w:color w:val="auto"/>
          <w:vertAlign w:val="superscript"/>
        </w:rPr>
        <w:t>1</w:t>
      </w:r>
    </w:p>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27% to USD72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27% to USD72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SaaS ARR </w:t>
      </w:r>
      <w:r>
        <w:rPr>
          <w:rFonts w:ascii="Times New Roman" w:cs="Times New Roman" w:eastAsia="Times New Roman" w:hAnsi="Times New Roman"/>
          <w:sz w:val="18"/>
          <w:szCs w:val="18"/>
          <w:color w:val="auto"/>
        </w:rPr>
        <w:t>increased 28% to USD298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DaaS revenue </w:t>
      </w:r>
      <w:r>
        <w:rPr>
          <w:rFonts w:ascii="Times New Roman" w:cs="Times New Roman" w:eastAsia="Times New Roman" w:hAnsi="Times New Roman"/>
          <w:sz w:val="18"/>
          <w:szCs w:val="18"/>
          <w:color w:val="auto"/>
        </w:rPr>
        <w:t>increased 31% to USD8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PROFITABILITY</w:t>
      </w:r>
    </w:p>
    <w:p>
      <w:pPr>
        <w:spacing w:after="0" w:line="225" w:lineRule="exact"/>
        <w:rPr>
          <w:sz w:val="20"/>
          <w:szCs w:val="20"/>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operating profit </w:t>
      </w:r>
      <w:r>
        <w:rPr>
          <w:rFonts w:ascii="Times New Roman" w:cs="Times New Roman" w:eastAsia="Times New Roman" w:hAnsi="Times New Roman"/>
          <w:sz w:val="18"/>
          <w:szCs w:val="18"/>
          <w:color w:val="auto"/>
        </w:rPr>
        <w:t>increased 14% to ZAR369 million (Q3 2025: ZAR325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w:t>
      </w:r>
      <w:r>
        <w:rPr>
          <w:rFonts w:ascii="Times New Roman" w:cs="Times New Roman" w:eastAsia="Times New Roman" w:hAnsi="Times New Roman"/>
          <w:sz w:val="18"/>
          <w:szCs w:val="18"/>
          <w:color w:val="auto"/>
        </w:rPr>
        <w:t>increased 14% to ZAR359 million (Q3 2025: ZAR316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margin </w:t>
      </w:r>
      <w:r>
        <w:rPr>
          <w:rFonts w:ascii="Times New Roman" w:cs="Times New Roman" w:eastAsia="Times New Roman" w:hAnsi="Times New Roman"/>
          <w:sz w:val="18"/>
          <w:szCs w:val="18"/>
          <w:color w:val="auto"/>
        </w:rPr>
        <w:t>was 28% (Q3 2025: 30%)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adjusted earnings per share </w:t>
      </w:r>
      <w:r>
        <w:rPr>
          <w:rFonts w:ascii="Times New Roman" w:cs="Times New Roman" w:eastAsia="Times New Roman" w:hAnsi="Times New Roman"/>
          <w:sz w:val="18"/>
          <w:szCs w:val="18"/>
          <w:color w:val="auto"/>
        </w:rPr>
        <w:t>increased 11% to ZAR8.54 (Q3 2025: ZAR7.67)</w:t>
      </w:r>
    </w:p>
    <w:p>
      <w:pPr>
        <w:spacing w:after="0" w:line="227" w:lineRule="exact"/>
        <w:rPr>
          <w:rFonts w:ascii="Times New Roman" w:cs="Times New Roman" w:eastAsia="Times New Roman" w:hAnsi="Times New Roman"/>
          <w:sz w:val="18"/>
          <w:szCs w:val="18"/>
          <w:color w:val="auto"/>
        </w:rPr>
      </w:pPr>
    </w:p>
    <w:p>
      <w:pPr>
        <w:ind w:left="340" w:hanging="324"/>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For convenience purposes only, amounts in South African rand as at November 30, 2025 have been translated to U.S. dollars using an exchange rate of ZAR 17.1229 to U.S.$1.00 (November 30, 2024: ZAR 18.0405), as set forth in the H.10 statistical release of the Board of Governors of the Federal Reserve System. These translations should not be considered representations that any such amounts have been, could have been or could be converted at that or any other exchange rate.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Overview</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November 30,</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5"/>
              </w:rPr>
              <w:t>Cartrack</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gridSpan w:val="5"/>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Karooooo Logistics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0" w:type="dxa"/>
            <w:vAlign w:val="bottom"/>
            <w:gridSpan w:val="6"/>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Karooooo Consolidated</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2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Y-o-Y</w:t>
            </w:r>
          </w:p>
        </w:tc>
        <w:tc>
          <w:tcPr>
            <w:tcW w:w="2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1,235,761</w:t>
            </w: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1,028,734</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1,239,099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1,031,942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7"/>
        </w:trPr>
        <w:tc>
          <w:tcPr>
            <w:tcW w:w="22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9"/>
                <w:szCs w:val="29"/>
                <w:color w:val="auto"/>
                <w:vertAlign w:val="superscript"/>
              </w:rPr>
              <w:t>1</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39,114</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21,903</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79%</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39,114</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21,903</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131,617</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105,545</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131,617</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105,545</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57"/>
        </w:trPr>
        <w:tc>
          <w:tcPr>
            <w:tcW w:w="2220" w:type="dxa"/>
            <w:vAlign w:val="bottom"/>
            <w:gridSpan w:val="2"/>
            <w:vMerge w:val="continue"/>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1,274,875</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1,050,637</w:t>
            </w:r>
          </w:p>
        </w:tc>
        <w:tc>
          <w:tcPr>
            <w:tcW w:w="6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77"/>
              </w:rPr>
              <w:t>21</w:t>
            </w:r>
          </w:p>
        </w:tc>
        <w:tc>
          <w:tcPr>
            <w:tcW w:w="260" w:type="dxa"/>
            <w:vAlign w:val="bottom"/>
            <w:vMerge w:val="continue"/>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134,955</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108,753</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40" w:type="dxa"/>
            <w:vAlign w:val="bottom"/>
            <w:vMerge w:val="continue"/>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1,409,830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1,159,390</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88"/>
              </w:rPr>
              <w:t>22</w:t>
            </w: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220" w:type="dxa"/>
            <w:vAlign w:val="bottom"/>
            <w:tcBorders>
              <w:top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gridSpan w:val="2"/>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(335,775)</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(276,925)</w:t>
            </w:r>
          </w:p>
        </w:tc>
        <w:tc>
          <w:tcPr>
            <w:tcW w:w="24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(95,208)</w:t>
            </w:r>
          </w:p>
        </w:tc>
        <w:tc>
          <w:tcPr>
            <w:tcW w:w="24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(430,983)</w:t>
            </w:r>
          </w:p>
        </w:tc>
        <w:tc>
          <w:tcPr>
            <w:tcW w:w="24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(351,359)</w:t>
            </w:r>
          </w:p>
        </w:tc>
        <w:tc>
          <w:tcPr>
            <w:tcW w:w="24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939,100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773,712</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39,747</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34,319</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978,847</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808,031</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6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359,474</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316,083</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9,703</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9,092</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369,177</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325,175</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Margin</w:t>
            </w: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 non-</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IFRS measure)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577,380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491,264</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18%</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10,379</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9,984</w:t>
            </w:r>
          </w:p>
        </w:tc>
        <w:tc>
          <w:tcPr>
            <w:tcW w:w="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587,759</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501,248</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w w:val="94"/>
              </w:rPr>
              <w:t>17%</w:t>
            </w:r>
          </w:p>
        </w:tc>
        <w:tc>
          <w:tcPr>
            <w:tcW w:w="0" w:type="dxa"/>
            <w:vAlign w:val="bottom"/>
          </w:tcPr>
          <w:p>
            <w:pPr>
              <w:spacing w:after="0"/>
              <w:rPr>
                <w:sz w:val="1"/>
                <w:szCs w:val="1"/>
                <w:color w:val="auto"/>
              </w:rPr>
            </w:pPr>
          </w:p>
        </w:tc>
      </w:tr>
      <w:tr>
        <w:trPr>
          <w:trHeight w:val="194"/>
        </w:trPr>
        <w:tc>
          <w:tcPr>
            <w:tcW w:w="22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8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 non-IFRS measure)</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w:t>
            </w:r>
          </w:p>
        </w:tc>
        <w:tc>
          <w:tcPr>
            <w:tcW w:w="66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4120" w:firstLine="8"/>
        <w:spacing w:after="0" w:line="502" w:lineRule="auto"/>
        <w:tabs>
          <w:tab w:leader="none" w:pos="32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Cartrack remains focused on bundled sales. Total Revenue and Subscription Revenue</w:t>
      </w:r>
    </w:p>
    <w:p>
      <w:pPr>
        <w:spacing w:after="0"/>
        <w:rPr>
          <w:sz w:val="20"/>
          <w:szCs w:val="20"/>
          <w:color w:val="auto"/>
        </w:rPr>
      </w:pPr>
      <w:r>
        <w:rPr>
          <w:rFonts w:ascii="Times New Roman" w:cs="Times New Roman" w:eastAsia="Times New Roman" w:hAnsi="Times New Roman"/>
          <w:sz w:val="18"/>
          <w:szCs w:val="18"/>
          <w:color w:val="auto"/>
        </w:rPr>
        <w:t>Karooooo’s revenue increased 22% to ZAR1,410 million (Q3 2025: ZAR1,159 million), and subscription revenue increased 20% to ZAR1,239 million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Q3 2026 (Q3 2025: ZAR1,032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 total revenue increased 21% to ZAR1,275 million (Q3 2025: ZAR1,051 million). Cartrack’s subscription revenue increased 20% to a record ZAR1,236 million in Q3 2026 (Q3 2025: ZAR1,029 million) driven primarily by the acquisition of new customers and selling Video and the Cartrack Tag to existing customers. Subscription revenue represented 97% of Cartrack’s total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 Logistics’s revenue increased 24% to ZAR135 million (Q3 2025: ZAR109 million) driven by an increase in e-commerce orders. Karooooo Logistics offers delivery-as-a-service (“DaaS”) to our large enterprise customers wishing to scale and enable their e-commerce operations through a capital light model by connecting them to an elastic fleet of third-party delivery drivers. Karooooo Logistics’s revenue performance may vary quarter to quarter as large customers invest in growing their e-commerce businesses or driving traffic to their physical stores.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cost of sales increased 23% to ZAR431 million (Q3 2025: ZAR351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cost of sales increased 21% to ZAR336 million (Q3 2025: ZAR277 million). As we strive to accelerate our growth, Cartrack’s cost of sales reflects incremental depreciation as the percentage of subscribers contributing to depreciation expense increases as a percentage of total subscribers. Cartrack’s gross profit margin remained strong at 74% (Q3 2025: 74%), and Cartrack’s subscription gross profit margin was 73% (Q3 2025: 74%).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Karooooo Logistics’s cost of sales increased 28% to ZAR95 million (Q3 2025: ZAR74 million) as we continued to invest in driver acquisition and training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support future growth. Karooooo Logistics’s gross profit margin was 29% (Q3 2025: 32%).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160" w:type="dxa"/>
            <w:vAlign w:val="bottom"/>
          </w:tcPr>
          <w:p>
            <w:pPr>
              <w:spacing w:after="0"/>
              <w:rPr>
                <w:sz w:val="16"/>
                <w:szCs w:val="16"/>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50"/>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615,491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486,264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585,441</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461,054</w:t>
            </w:r>
          </w:p>
        </w:tc>
        <w:tc>
          <w:tcPr>
            <w:tcW w:w="22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27%</w:t>
            </w: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Karooooo’s operating expenses increased 27% to ZAR615 million (Q3 2025: ZAR486 million). Cartrack accounted for ZAR585 million (Q3 2025: ZAR461 million) in operating expenses including investments in infrastructure and headcount to support territorial expansion and distribution growth. Karooooo Logistics accounted for ZAR30 million (Q3 2025: ZAR25 million) of total operating expenses as we continued to invest strategically to scale Karooooo Logistics.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Cartrack’s sales and marketing expenses, a significant portion of our operating expenses, increased 47% to ZAR229 million (Q3 2025: ZAR156 million). As we strive to accelerate our growth, Cartrack’s sales and marketing expenses reflect incremental growth-oriented investments to drive customer acquisition and the adoption of new products such as Video and the Cartrack Tag. Under IFRS, sales and marketing expenses are expensed as incurred, even though the resulting customer relationships generate revenue over extended periods. The fact that the average expected life cycle of our subscription contracts exceeds 60 months, combined with our strong customer retention, creates a timing mismatch between when acquisition costs are expensed and when the related revenue is realized.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optimistic that our strategic investment in customer acquisition, including sales headcount, is yielding the desired results and positions us well for continued organic growth. As these benefits begin to materialize, we remain focused on driving improvements in new-sales headcount efficiency in the periods ahead. Our unit economics remain strong as evidenced by our customer lifetime value (LTV) to customer acquisition costs (CAC) ratio, which continues to exceed 9 times and underpins our disciplined approach to growth and customer acquisition.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general and administration expenses increased 14% to ZAR260 million (Q3 2025: ZAR228 million), reflecting disciplined cost management alongside continued investment in infrastructure to support future growth. We expect these costs to increase gradually over time as we continue to scale the business.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R&amp;D operating expenses increased 7% to ZAR59 million (Q3 2025: ZAR54 million). The strengthening of the ZAR offset some cost increases, as the majority of our R&amp;D headcount is not in South Africa.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provided for expected credit losses of ZAR38 million (Q3 2025: ZAR22 million). Importantly, Cartrack provided for YTD expected credit losses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ZAR87 million (YTD Q3 2025: ZAR83 million).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expenses as a proportion of subscription revenue aligns with Karooooo’s long-term financial goals and reflect our continued commitment to long-term growth.</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sales and marketing expenses as a percentage of Cartrack’s subscription revenue increased to 19% (Q3 2025: 15%)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general and administration expenses as a percentage of Cartrack’s subscription revenue decreased to 21% (Q3 2025: 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R&amp;D expenses as a percentage of Cartrack’s subscription revenue remained at 5% (Q3 2025: 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Operating Profit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profit increased 14% to ZAR369 million (Q3 2025: ZAR325 million). Earnings per share increased 11% to ZAR8.55 (Q3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ZAR7.68).</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Cartrack’s operating profit increased 14% to ZAR359 million (Q3 2025: ZAR316 million), and Cartrack’s operating profit margin was 28% (Q3 2025: 30%). Cartrack’s operating profit and operating profit margin incorporate the strategic investment in incremental sales capacity and acquisition-related expenses to support accelerated growth. Although these growth-oriented investments weigh on short-term operating profitability, we believe that pursuing accelerated growth—when executed efficiently and supported by strong unit economics—is the appropriate strategy to drive long-term shareholder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operating profit increased 7% to ZAR10 million (Q3 2025: ZAR9 million). Karooooo Logistics’s operating profit margin was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(Q3 2025: 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 non-IFRS measure)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increased 17% to ZAR588 million (Q3 2025: ZAR501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increased 18% to ZAR577 million (Q3 2025: ZAR491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Adjusted EBITDA increased 4% to ZAR10 million (Q3 2025: ZAR10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below for a reconciliation of Adjusted EBITDA to profit, its most directly comparable IFRS financial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November 30, 2025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the nine months ended November 30, 2024 (“YTD Q3 2025”),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 subscribers </w:t>
      </w:r>
      <w:r>
        <w:rPr>
          <w:rFonts w:ascii="Times New Roman" w:cs="Times New Roman" w:eastAsia="Times New Roman" w:hAnsi="Times New Roman"/>
          <w:sz w:val="18"/>
          <w:szCs w:val="18"/>
          <w:color w:val="auto"/>
        </w:rPr>
        <w:t>increased 16% to 2,568,467 (YTD Q3 2025: 2,223,227)</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Cartrack subscriber additions </w:t>
      </w:r>
      <w:r>
        <w:rPr>
          <w:rFonts w:ascii="Times New Roman" w:cs="Times New Roman" w:eastAsia="Times New Roman" w:hAnsi="Times New Roman"/>
          <w:sz w:val="18"/>
          <w:szCs w:val="18"/>
          <w:color w:val="auto"/>
        </w:rPr>
        <w:t>of 266,231 (YTD Q3 2025: 251,695)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19% to ZAR3,562 million (YTD Q3 2025: ZAR2,982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20% to ZAR3,553 million (YTD Q3 2025: ZAR2,972 million)</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SaaS annualized recurring revenue (“ARR”) </w:t>
      </w:r>
      <w:r>
        <w:rPr>
          <w:rFonts w:ascii="Times New Roman" w:cs="Times New Roman" w:eastAsia="Times New Roman" w:hAnsi="Times New Roman"/>
          <w:sz w:val="18"/>
          <w:szCs w:val="18"/>
          <w:color w:val="auto"/>
        </w:rPr>
        <w:t>as at November 30, 2025, increased 22% to ZAR 5,106 million (November 30,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ZAR4,194 million)</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B2B delivery-as-a-service (“DaaS”) revenue </w:t>
      </w:r>
      <w:r>
        <w:rPr>
          <w:rFonts w:ascii="Times New Roman" w:cs="Times New Roman" w:eastAsia="Times New Roman" w:hAnsi="Times New Roman"/>
          <w:sz w:val="18"/>
          <w:szCs w:val="18"/>
          <w:color w:val="auto"/>
        </w:rPr>
        <w:t>increased 27% to ZAR395 million (YTD Q3 2025: ZAR310 million)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Presented in the U.S. Dollar Equivalent</w:t>
      </w:r>
      <w:r>
        <w:rPr>
          <w:rFonts w:ascii="Times New Roman" w:cs="Times New Roman" w:eastAsia="Times New Roman" w:hAnsi="Times New Roman"/>
          <w:sz w:val="29"/>
          <w:szCs w:val="29"/>
          <w:b w:val="1"/>
          <w:bCs w:val="1"/>
          <w:i w:val="1"/>
          <w:iCs w:val="1"/>
          <w:color w:val="auto"/>
          <w:vertAlign w:val="superscript"/>
        </w:rPr>
        <w:t>1</w:t>
      </w:r>
    </w:p>
    <w:p>
      <w:pPr>
        <w:spacing w:after="0" w:line="13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26% to USD208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26% to USD207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SaaS ARR </w:t>
      </w:r>
      <w:r>
        <w:rPr>
          <w:rFonts w:ascii="Times New Roman" w:cs="Times New Roman" w:eastAsia="Times New Roman" w:hAnsi="Times New Roman"/>
          <w:sz w:val="18"/>
          <w:szCs w:val="18"/>
          <w:color w:val="auto"/>
        </w:rPr>
        <w:t>increased 28% to USD298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DaaS revenue </w:t>
      </w:r>
      <w:r>
        <w:rPr>
          <w:rFonts w:ascii="Times New Roman" w:cs="Times New Roman" w:eastAsia="Times New Roman" w:hAnsi="Times New Roman"/>
          <w:sz w:val="18"/>
          <w:szCs w:val="18"/>
          <w:color w:val="auto"/>
        </w:rPr>
        <w:t>increased 34% to USD23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PROFITABILITY</w:t>
      </w:r>
    </w:p>
    <w:p>
      <w:pPr>
        <w:spacing w:after="0" w:line="225" w:lineRule="exact"/>
        <w:rPr>
          <w:sz w:val="20"/>
          <w:szCs w:val="20"/>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operating profit </w:t>
      </w:r>
      <w:r>
        <w:rPr>
          <w:rFonts w:ascii="Times New Roman" w:cs="Times New Roman" w:eastAsia="Times New Roman" w:hAnsi="Times New Roman"/>
          <w:sz w:val="18"/>
          <w:szCs w:val="18"/>
          <w:color w:val="auto"/>
        </w:rPr>
        <w:t>increased 16% to ZAR1,077 million (YTD Q3 2025: ZAR927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w:t>
      </w:r>
      <w:r>
        <w:rPr>
          <w:rFonts w:ascii="Times New Roman" w:cs="Times New Roman" w:eastAsia="Times New Roman" w:hAnsi="Times New Roman"/>
          <w:sz w:val="18"/>
          <w:szCs w:val="18"/>
          <w:color w:val="auto"/>
        </w:rPr>
        <w:t>increased 17% to ZAR1,046 million (YTD Q3 2025: ZAR896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margin </w:t>
      </w:r>
      <w:r>
        <w:rPr>
          <w:rFonts w:ascii="Times New Roman" w:cs="Times New Roman" w:eastAsia="Times New Roman" w:hAnsi="Times New Roman"/>
          <w:sz w:val="18"/>
          <w:szCs w:val="18"/>
          <w:color w:val="auto"/>
        </w:rPr>
        <w:t>was 29% (YTD Q3 2025: 30%)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adjusted earnings per share </w:t>
      </w:r>
      <w:r>
        <w:rPr>
          <w:rFonts w:ascii="Times New Roman" w:cs="Times New Roman" w:eastAsia="Times New Roman" w:hAnsi="Times New Roman"/>
          <w:sz w:val="18"/>
          <w:szCs w:val="18"/>
          <w:color w:val="auto"/>
        </w:rPr>
        <w:t>increased 14% to ZAR25.37 (YTD Q3 2025: ZAR22.19)</w:t>
      </w:r>
    </w:p>
    <w:p>
      <w:pPr>
        <w:spacing w:after="0" w:line="227" w:lineRule="exact"/>
        <w:rPr>
          <w:rFonts w:ascii="Times New Roman" w:cs="Times New Roman" w:eastAsia="Times New Roman" w:hAnsi="Times New Roman"/>
          <w:sz w:val="18"/>
          <w:szCs w:val="18"/>
          <w:color w:val="auto"/>
        </w:rPr>
      </w:pPr>
    </w:p>
    <w:p>
      <w:pPr>
        <w:ind w:left="340" w:hanging="324"/>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For convenience purposes only, amounts in South African rand as at November 30, 2025 have been translated to U.S. dollars using an exchange rate of ZAR 17.1229 to U.S.$1.00 (November 30, 2024: ZAR 18.0405), as set forth in the H.10 statistical release of the Board of Governors of the Federal Reserve System. These translations should not be considered representations that any such amounts have been, could have been or could be converted at that or any other exchange rate.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November 30, 2025 Financial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Nine Months Ended November 30,</w:t>
            </w: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Cartrack</w:t>
            </w:r>
          </w:p>
        </w:tc>
        <w:tc>
          <w:tcPr>
            <w:tcW w:w="7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Borders>
              <w:bottom w:val="single" w:sz="8" w:color="auto"/>
            </w:tcBorders>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Karooooo Logistics</w:t>
            </w: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Karooooo Consolidated</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3"/>
              </w:rPr>
              <w:t>Y-o-Y</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3"/>
              </w:rPr>
              <w:t>Y-o-Y</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3,552,954</w:t>
            </w: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2,971,790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3,562,442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2,981,695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22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9"/>
                <w:szCs w:val="29"/>
                <w:color w:val="auto"/>
                <w:vertAlign w:val="superscript"/>
              </w:rPr>
              <w:t>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82,316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63,631</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82,316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385,983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300,511</w:t>
            </w:r>
          </w:p>
        </w:tc>
        <w:tc>
          <w:tcPr>
            <w:tcW w:w="8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385,983</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300,511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2200" w:type="dxa"/>
            <w:vAlign w:val="bottom"/>
            <w:gridSpan w:val="2"/>
            <w:vMerge w:val="continue"/>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3,635,270</w:t>
            </w:r>
          </w:p>
        </w:tc>
        <w:tc>
          <w:tcPr>
            <w:tcW w:w="200" w:type="dxa"/>
            <w:vAlign w:val="bottom"/>
            <w:tcBorders>
              <w:right w:val="single" w:sz="8" w:color="CCEEFF"/>
            </w:tcBorders>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3,037,520</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395,471</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310,416</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4,030,741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3,347,936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20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(989,728)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(803,506)</w:t>
            </w:r>
          </w:p>
        </w:tc>
        <w:tc>
          <w:tcPr>
            <w:tcW w:w="20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(1,266,157)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(1,013,828)</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2,645,542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2,234,014</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119,042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100,094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2,764,584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2,334,108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Profit/(loss)</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1,045,813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896,331</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30,789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1,076,992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927,120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 Margin</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 non-</w:t>
            </w:r>
          </w:p>
        </w:tc>
        <w:tc>
          <w:tcPr>
            <w:tcW w:w="8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IFRS measure)</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1,669,193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1,397,109</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33,107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33,379</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1,702,300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1,430,488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4"/>
        </w:trPr>
        <w:tc>
          <w:tcPr>
            <w:tcW w:w="2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 non-IFRS measure)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580" w:right="4120" w:hanging="5572"/>
        <w:spacing w:after="0" w:line="785" w:lineRule="auto"/>
        <w:tabs>
          <w:tab w:leader="none" w:pos="333"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revenue is non-subscription-based revenue. Cartrack remains focused on bundled sales. </w:t>
      </w: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revenue increased 20% to ZAR4,031 million (YTD Q3 2025: ZAR3,346 million), and subscription revenue increased 19% to ZAR3,562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YTD Q3 2026 (YTD Q3 2025: ZAR2,982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total revenue increased 20% to ZAR3,635 million (YTD Q3 2025: ZAR3,038 million), driven primarily by its subscription-based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model. Subscription revenue increased 20% to a record of ZAR3,553 million in YTD Q3 2026 (YTD Q3 2025: ZAR2,972 million). Subscription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98% of Cartrack’s total revenue (YTD Q3 2025: 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revenue increased 27% to ZAR395 million in YTD Q3 2026 (YTD Q3 2025: ZAR310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cost of sales increased 25% to ZAR1,266 million (YTD Q3 2025: ZAR1,014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cost of sales increased 23% to ZAR990 million (YTD Q3 2025: ZAR804 million). As we strive to accelerate our growth, Cartrack’s cost of sales reflects incremental depreciation and sales commission expenses we incur to grow at a faster rate. Cartrack’s gross profit margin remained strong at 73% (YTD Q3 2025: 74%), and Cartrack’s subscription gross profit margin was 73% (YTD Q3 2025: 75%).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cost of sales increased 31% to ZAR276 million (YTD Q3 2025: ZAR210 million). Karooooo Logistics’s gross profit margin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(YTD Q3 2025: 32%), as we increased driver training and quality control to support growth.</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 November 30,</w:t>
            </w: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160" w:type="dxa"/>
            <w:vAlign w:val="bottom"/>
          </w:tcPr>
          <w:p>
            <w:pPr>
              <w:spacing w:after="0"/>
              <w:rPr>
                <w:sz w:val="16"/>
                <w:szCs w:val="16"/>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50"/>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1,701,114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1,416,362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1,613,242</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1,347,073</w:t>
            </w:r>
          </w:p>
        </w:tc>
        <w:tc>
          <w:tcPr>
            <w:tcW w:w="22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87,872</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69,289</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expenses increased 20% to ZAR1,701 million in YTD Q3 2026 (YTD Q3 2025: ZAR1,416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 accounted for ZAR1,613 million (YTD Q3 2025: ZAR1,347 million), in operating expenses including investments in infrastructure and headcount to support territorial expansion and distribution growth. Karooooo Logistics accounted for ZAR88 million (YTD Q3 2025: ZAR69 million) of total operating expenses as we continued disciplined, strategic investment to drive the scalable growth of Karooooo Logistics.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sales and marketing expenses increased 37% to ZAR620 million in YTD Q3 2026 (YTD Q3 2025: ZAR453 million). We are optimistic that our strategic investment in customer acquisition, including sales headcount, is yielding the desired results and positions us well for continued growth. As these benefits begin to materialize, we remain focused on driving further improvements in new-sales headcount efficiency in the periods ahead.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general and administration operating expenses increased 12% to ZAR732 million (YTD Q3 2025: ZAR651 million), reflecting disciplined cost management alongside continued investment in infrastructure to support future growth. We expect these costs to increase gradually over time as we scale the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R&amp;D operating expenses increased 9% to ZAR175 million (YTD Q3 2025: ZAR161 million). The strengthening of the ZAR offset some cost increases, as the majority of our R&amp;D headcount is not in South Africa.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provided for expected credit losses of ZAR87 million (YTD Q3 2025: ZAR83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profit increased 16% to ZAR1,077 million (YTD Q3 2025: ZAR927 million) and earnings per share increased 15% to ZAR24.98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(YTD Q3 2025: ZAR21.70). Excluding secondary offering costs, adjusted earnings per share (a non-IFRS measure) increased 14% to ZAR25.37 (YTD Q3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ZAR22.19).</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Cartrack’s operating profit increased by 17% to ZAR1,046 million (YTD Q3 2025: ZAR896 million), and Cartrack’s operating profit margin was 29% (YTD Q3 2025: 30%). Cartrack’s operating profit and operating profit margin incorporate the strategic investment in incremental sales capacity and acquisition-related expenses to support accelerated growth. Although these growth-oriented investments weigh on short term operating profitability, we believe that pursuing accelerated growth—when executed efficiently and supported by strong unit economics—is the appropriate strategy to drive long-term shareholder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operating profit increased 1% to ZAR31 million (YTD Q3 2025: ZAR31 million), and Karooooo Logistics’s operating profit margin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8% (YTD Q3 2025: 10%).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 non-IFRS measure)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increased 19% to ZAR1,702 million (YTD Q3 2025: ZAR1,430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increased 19% to ZAR1,669 million (YTD Q3 2025: ZAR1,397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Adjusted EBITDA decreased 1% to ZAR33 million (YTD Q3 2025: ZAR33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below for a reconciliation of Adjusted EBITDA to profit, its most directly comparable IFRS financial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Karooooo remains strongly positioned for growth. We operate in an expanding and largely underpenetrated market, fueled by robust and sustained customer demand. This demand is driven by a heightened focus on digitalization, the need to improve operational efficiency and reduce costs, and increasing attention to safety in physical operations. Our easy-to-use, modern platform empowers our customers to improve operational efficiencies, reduce risk and enhance the safety of their physical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Year to date, we have accelerated Cartrack subscription revenue growth by further expanding our distribution footprint in existing markets, driving broader platform adoption, and capitalizing on growing demand for video solutions. We are encouraged by our positive performance year to date as evidenced by Cartrack’s subscription revenue growth of 20% and ARR growth of 22% at November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proven and profitable business model, underpinned by a strong balance sheet and healthy cash position, provides us with multiple levers for expansion.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ongoing investments in AI innovation, platform capabilities and customer experience positions us to drive durable long-term growth.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confident that our track record of success, specifically our ability to generate healthy cash flows, is sustainable.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subscriber growth has driven our overall growth, so we provided guidance related to subscribers in previous years. For FY2026, we made the decision to provide guidance for subscription revenue growth, which reflects our strategy to cement our leadership position in South Africa by selling two new telemetry devices, Video and Cartrack Tag, to our existing customers. As a result, in FY2026, there are two levers to drive subscription revenue growth – subscribers and ARPU. We are focused on expanding our sales teams to drive new subscriber growth while increasing the adoption of Video and Cartrack Tag solutions within our existing customer base. While business growth has accelerated, we remain people-constrained and continue to build our sales capability to support further acceleration in subscriber growth and cross-sell Video and Cartrack Tag. Currently, the appropriate strategy for the long-term health of the business is to lean into selling Video and Cartrack Tag to our existing customers, to reinforce our leadership position in South Africa.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confident that our investments in sales capacity this year will position us well to drive subscriber growth moving forward.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Cartrack’s revenue making up the majority of group revenue, the guidance below relates primarily to 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our momentum year to date we revising our guidance for FY2026 to:</w:t>
      </w:r>
    </w:p>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subscription revenue between ZAR4,785 million and ZAR4,900 million, which implies Cartrack subscription revenue growth between 18% and 21%. This compares to our previous outlook of Cartrack subscription revenue between ZAR4,700 million and ZAR4,900 million.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operating profit margin between 27% and 30%. This compares to our previous outlook of Cartrack operating profit margin between 26% and 31%.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Karooooo’s adjusted earnings per share (a non-IFRS measure) between ZAR32.50 and ZAR35.50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Cash Flow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re-invest our earnings for customer acquisition, as of November 30, 2025, our investment in in-vehicle IOT devices increased by ZAR479 million, or 36% to ZAR1,822 million (February 28, 2025: ZAR1,342 million). IOT devices for future use decreased by ZAR61 million, or 15%, to ZAR350 million (February 28, 2025: ZAR412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fixed assets increased by ZAR86 million, or 26%, to ZAR411 million (February 28, 2025: ZAR325 million), driven by motor vehicle additions, in line with expanded operational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and other receivables increased by ZAR78 million, or 13%, to ZAR676 million (February 28, 2025: ZAR597 million), primarily driven by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 in subscription sales. Debtor collection days remain well-managed, with collection days at a healthy 31 days (February 28, 2025: 32 days).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reported a net cash and cash equivalents balance of ZAR531 million at November 30, 2025 (February 28, 2025: ZAR838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30, 2025, the group had overdraft facilities for growth initiatives and other general corporate purposes of ZAR600 million, equally apportioned between Capitec Bank and Standard Bank. Our liquidity position remains solid, underpinned by disciplined financial management and sustained operational cash generation.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line with the group’s cash management policy, overseen by our capital allocation committee, Karooooo’s excess cash reserves are held in US Dollars.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 non-IFRS measure)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reported a healthy quarterly increase of 22% in cash generated from operations before working capital changes of ZAR623 million (Q3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ZAR512 million), driven by strong subscription revenue growth and operating profit.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Free Cash Flow (a non-IFRS measure) for the three months ended November 30, 2025, was ZAR239 million (Q3 2025: ZAR188 million). This movement was mainly driven by an increase in trade and other receivables as a result of increased subscription revenue and investment in in-vehicle IOT devices to support our growth. Adjusted Free Cash Flow (a non-IFRS measure) for the nine months ended November 30, 2025 increased 37% to ZAR597 million when compared to the same period of the prior year. The Adjusted Free Cash Flow (a non-IFRS measure) generated is in line with Karooooo’s disciplined capital allocation strategy and supports the group’s growth objectives.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“Reconciliation of Free Cash Flow (a non-IFRS measure) and Adjusted Free Cash Flow (a non-IFRS measure)” for a reconciliation of free cash flow and adjusted free cash flow to net cash generated from operating activities, their most directly comparable IFRS financial measure.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 and Reserves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Karooooo’s Annual General Meeting (“AGM”) held on July 25, 2025, shareholders approved the repurchase of up to 10% of the Company’s outstanding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30, 2025, Karooooo had 30,893,300 ordinary shares issued and outstanding, and paid-up share capital of USD505,956,659 plus SGD1,000.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ZAR3.6 billion other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acquired by Karooooo.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ZAR27.3 million of capital reserve on the balance sheet relates to the cancellation of Karooooo’s treasury shares and ZAR11.4 million of capital reserve relates to the repurchase and cancellation of 279 ordinary shares of Karooooo Logistics, which represented 6.29% of Karooooo Logistics’s issued ordinary shares as of April 30, 2024. A further ZAR18.6 million of capital reserves relates to the repurchase and cancellation of 316 ordinary shares of Karooooo Logistics, which represented 7.60% of Karooooo Logistics’s issued ordinary shares as of September 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Geographical Overview for Cartrack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number of subscribers in this region increased 16% to 1,937,005 at November 30, 2025 (November 30, 2024: 1,675,473), an acceleration compared to 15% growth in the previous quarter. Q3 2026 subscription revenue growth was 21%, a significant acceleration compared to 18% in the previous quarter and 14% in Q3 of the prior financial year. ARPU in South Africa as of November 2025 versus November 2024 increased 7% to ZAR162.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Cartrack subscriber growth reflects our deliberate strategy to reinforce our leadership position in South Africa by growing our customer base and selling Video and Cartrack Tag to customers in South Africa. Importantly, Cartrack subscriber growth accelerated in Q3, which underscores the growth potential of the region. The pace of growth reflects our strategy to drive Cartrack subscription revenue growth through a balanced combination of subscriber additions and selling Video and Cartrack Tag to our existing customers. We are encouraged by the strength of the teams we are building, which position us well to continue broadening our customer base and increase product adoption in the region.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building our distribution capabilities to service the demand for our products from both new customers and existing customers, and we are confident that our investments in sales capacity this year position us well to drive Cartrack subscriber growth in moving forward.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optimistic about the market opportunity in South Africa and believe there is a long runway to drive strong subscriber growth as we build our sales teams.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the largest and fastest growing enterprise mobility SaaS provider on the African continent.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 Middle East and United States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number of subscribers in this region increased 20% to 318,460 at November 30, 2025 (November 30, 2024: 264,342). Q3 2026 subscription revenue growth increased to 14% (18% on a constant currency basis, a non-IFRS measure). The pace of subscription revenue growth in the region reflects the faster growth of certain countries in Asia that generate lower average revenue per user.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second largest contributor to group revenue, Southeast Asia continues to present the most compelling growth opportunity for the group in the medium to long term. YTD net subscriber additions in the region increased 30% to 44,514.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Southeast Asia is a vast underpenetrated market for sophisticated fleet management and video-based solutions, and we are well-positioned to capitalize on the opportunity.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16% to 222,867 at November 30, 2025 (November 30, 2024: 191,781). Q3 2026 subscription revenue growth increased to 24% (19% on a constant currency basis, a non-IFRS measure).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expand our customer base and drive our distribution capabilities in the region.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partnered with leading OEMs to provide easy access to our platform, seamlessly integrating their connected vehicle data to our platform through application programming interfaces. We expect these partnerships to contribute to our results in the medium to long term. In addition, we are experiencing encouraging demand for our proprietary compliance technology in the region as customers seek to simplify compliance with evolving legislation and enforcement.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Africa (excluding South Africa)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number of subscribers in this region decreased 2% to 90,135 at November 30, 2025 (November 30, 2024: 91,631). Q3 2026 subscription revenue growth was 13% (12% on a constant currency basis, a non-IFRS measure). The decrease in subscribers is primarily as a result of political instability in certain African countries.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region remains a positive cash generator and is strategic to support our South African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Events subsequent to the Third Quarter 2026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the Board approved a resolution for Cartrack New Zealand Ltd to issue new shares for subscription by Karooooo Management Company Pte. Ltd. Subsequently, Cartrack New Zealand Ltd has repurchased and cancelled certain of its existing ordinary shares, in accordance with the Companies Act of New Zealand.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group’s effective shareholding in Cartrack New Zealand Ltd has increased from 51% to 66%.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recognizes the importance of investment in achieving growth at scale, and endeavors to avoid swings in dividend profile.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aims to reinvest retained earnings to the extent that it aligns with the group’s required return on incrementally reinvested capital, return on equity, and short- to medium-term growth strategy.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review and amend the dividend policy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Corruption, Bribery and Whistleblowing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 contact email and hotline for whistleblowing and reporters are assured of confidentiality.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 corresponding Zoom webinar on Wednesday, January 21, 2026 at 08:00 a.m. Eastern Time (03:00 p.m. South African time; 09:00 p.m. Singaporean time). Investors, analysts and media are invited to join the Zoom webinar at: https://us02web.zoom.us/j/82611545679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Webinar ID: </w:t>
      </w:r>
      <w:r>
        <w:rPr>
          <w:rFonts w:ascii="Times New Roman" w:cs="Times New Roman" w:eastAsia="Times New Roman" w:hAnsi="Times New Roman"/>
          <w:sz w:val="18"/>
          <w:szCs w:val="18"/>
          <w:color w:val="auto"/>
        </w:rPr>
        <w:t>826 1154 5679</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IFRS Accounting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 digitally transforms physical operations by simplifying decision making. Through its cloud platform, Karooooo empowers businesses to conquer operations including fleet maintenance, fuel management and asset utilization, workforce management, logistics, safety, compliance, risk and environmental impact. Karooooo’s differentiated insights and analytics simplify day-to-day operations and enable businesses to decrease costs, increase efficiency, improve safety and strengthen workforce and customer satisfaction.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Karooooo is headquartered in Singapore and services more than 125,000 commercial customers and more than 2.6 million active subscribers in more than 20 countries.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ectPr>
          <w:pgSz w:w="11900" w:h="16838" w:orient="portrait"/>
          <w:cols w:equalWidth="0" w:num="1">
            <w:col w:w="11240"/>
          </w:cols>
          <w:pgMar w:left="320" w:top="904"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900" w:space="720"/>
            <w:col w:w="7620"/>
          </w:cols>
          <w:pgMar w:left="320" w:top="904"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p>
      <w:pPr>
        <w:spacing w:after="0" w:line="207" w:lineRule="exact"/>
        <w:rPr>
          <w:sz w:val="20"/>
          <w:szCs w:val="20"/>
          <w:color w:val="auto"/>
        </w:rPr>
      </w:pPr>
    </w:p>
    <w:p>
      <w:pPr>
        <w:sectPr>
          <w:pgSz w:w="11900" w:h="16838" w:orient="portrait"/>
          <w:cols w:equalWidth="0" w:num="2">
            <w:col w:w="2900" w:space="720"/>
            <w:col w:w="7620"/>
          </w:cols>
          <w:pgMar w:left="320" w:top="904"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54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1,409,830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1,159,390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4,030,741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3,347,936</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(430,983)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(351,359)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(1,266,157)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(1,013,828)</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978,847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808,031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2,764,584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5,821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9,374</w:t>
            </w: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(615,491)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(486,264)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(1,701,114)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(1,416,362)</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(230,016)</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(156,981)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(620,983)</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(454,127)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(285,408)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(249,508)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(807,267)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(710,420)</w:t>
            </w:r>
          </w:p>
        </w:tc>
        <w:tc>
          <w:tcPr>
            <w:tcW w:w="0" w:type="dxa"/>
            <w:vAlign w:val="bottom"/>
          </w:tcPr>
          <w:p>
            <w:pPr>
              <w:spacing w:after="0"/>
              <w:rPr>
                <w:sz w:val="1"/>
                <w:szCs w:val="1"/>
                <w:color w:val="auto"/>
              </w:rPr>
            </w:pPr>
          </w:p>
        </w:tc>
      </w:tr>
      <w:tr>
        <w:trPr>
          <w:trHeight w:val="216"/>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(62,618)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(57,447)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(186,448)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(169,165)</w:t>
            </w: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(37,449)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(22,328)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(86,416)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(82,650)</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16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369,177</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325,175</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1,076,992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927,120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3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(11,969)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(15,063)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5,504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33,745</w:t>
            </w: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(20,378)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(16,784)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(52,789)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(34,244)</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6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354,506</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317,622</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1,039,093</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911,558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w:t>
            </w:r>
          </w:p>
        </w:tc>
        <w:tc>
          <w:tcPr>
            <w:tcW w:w="16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(86,020)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(76,897)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(253,164)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(229,784)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3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268,486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240,725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785,929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681,774</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3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264,109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237,264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771,780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670,391</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11,383</w:t>
            </w:r>
          </w:p>
        </w:tc>
        <w:tc>
          <w:tcPr>
            <w:tcW w:w="0" w:type="dxa"/>
            <w:vAlign w:val="bottom"/>
          </w:tcPr>
          <w:p>
            <w:pPr>
              <w:spacing w:after="0"/>
              <w:rPr>
                <w:sz w:val="1"/>
                <w:szCs w:val="1"/>
                <w:color w:val="auto"/>
              </w:rPr>
            </w:pPr>
          </w:p>
        </w:tc>
      </w:tr>
      <w:tr>
        <w:trPr>
          <w:trHeight w:val="27"/>
        </w:trPr>
        <w:tc>
          <w:tcPr>
            <w:tcW w:w="43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268,486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240,725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785,929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681,774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3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8.55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637"/>
        </w:trPr>
        <w:tc>
          <w:tcPr>
            <w:tcW w:w="4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spacing w:after="0"/>
              <w:rPr>
                <w:sz w:val="20"/>
                <w:szCs w:val="20"/>
                <w:color w:val="auto"/>
              </w:rPr>
            </w:pP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Property, plant and equipment</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3,017,462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2,508,215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2,357,611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512,103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494,052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456,171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83,534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78,642</w:t>
            </w: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173,116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215,867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28,700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41,671</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131,549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115,739</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3,948,605</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3,422,355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3,265,701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5,318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675,758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597,461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581,938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13,980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13,517</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575,278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1,042,882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921,736</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1,270,334</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1,656,795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1,520,987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5,218,939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5,079,150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4,786,688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7,142,853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7,142,853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7,142,853</w:t>
            </w: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capital reserve</w:t>
            </w:r>
            <w:r>
              <w:rPr>
                <w:rFonts w:ascii="Times New Roman" w:cs="Times New Roman" w:eastAsia="Times New Roman" w:hAnsi="Times New Roman"/>
                <w:sz w:val="29"/>
                <w:szCs w:val="29"/>
                <w:color w:val="auto"/>
                <w:vertAlign w:val="superscript"/>
              </w:rPr>
              <w:t>3,4</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(3,639,875)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(3,621,245)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(3,621,245)</w:t>
            </w:r>
          </w:p>
        </w:tc>
        <w:tc>
          <w:tcPr>
            <w:tcW w:w="0" w:type="dxa"/>
            <w:vAlign w:val="bottom"/>
          </w:tcPr>
          <w:p>
            <w:pPr>
              <w:spacing w:after="0"/>
              <w:rPr>
                <w:sz w:val="1"/>
                <w:szCs w:val="1"/>
                <w:color w:val="auto"/>
              </w:rPr>
            </w:pP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Common control reserve</w:t>
            </w:r>
            <w:r>
              <w:rPr>
                <w:rFonts w:ascii="Times New Roman" w:cs="Times New Roman" w:eastAsia="Times New Roman" w:hAnsi="Times New Roman"/>
                <w:sz w:val="29"/>
                <w:szCs w:val="29"/>
                <w:color w:val="auto"/>
                <w:vertAlign w:val="superscript"/>
              </w:rPr>
              <w:t>5</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(2,709,236)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reserve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200,703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277,866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246,111</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2,190,245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2,112,091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1,861,451</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3,184,804</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3,202,468</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2,919,934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50,484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45,994</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3,235,288</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3,245,567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2,965,928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Term loans</w:t>
            </w:r>
            <w:r>
              <w:rPr>
                <w:rFonts w:ascii="Times New Roman" w:cs="Times New Roman" w:eastAsia="Times New Roman" w:hAnsi="Times New Roman"/>
                <w:sz w:val="29"/>
                <w:szCs w:val="29"/>
                <w:color w:val="auto"/>
                <w:vertAlign w:val="superscript"/>
              </w:rPr>
              <w:t>6,7</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42,871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283,552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164,945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126,746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126,959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126,317</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135,985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73,708</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470,547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Term loans</w:t>
            </w:r>
            <w:r>
              <w:rPr>
                <w:rFonts w:ascii="Times New Roman" w:cs="Times New Roman" w:eastAsia="Times New Roman" w:hAnsi="Times New Roman"/>
                <w:sz w:val="29"/>
                <w:szCs w:val="29"/>
                <w:color w:val="auto"/>
                <w:vertAlign w:val="superscript"/>
              </w:rPr>
              <w:t>6,7</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260,173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283,313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36,720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624,867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469,937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575,285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124,140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73,058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387,354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357,780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343,687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43,932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65,810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72,638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123,054</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1,513,104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1,451,841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1,983,651</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1,833,583</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1,820,760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5,218,939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5,079,150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4,786,688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Included in property, plant and equipment 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telematics devices – Work in progress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135,120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152,253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telematic devices – Uninstalled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215,076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259,360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 devices – Installed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1,821,540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1,342,091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South African Central Office Property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434,576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429,150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Fixed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411,150</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325,361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3,017,462</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2,508,215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Goodwill is net of an impairment charge of ZAR 43.6 million related to the Mozambique operations during Q4 2025.</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173"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capital reserves are ZAR27.3 million relating to the cancellation of Karooooo’s treasury shares and ZAR30.0 million of capital reserve relating to the repurchase and cancellation of Karooooo Logistics’ ordinary shares.</w:t>
      </w:r>
    </w:p>
    <w:p>
      <w:pPr>
        <w:spacing w:after="0" w:line="158" w:lineRule="exact"/>
        <w:rPr>
          <w:rFonts w:ascii="Times New Roman" w:cs="Times New Roman" w:eastAsia="Times New Roman" w:hAnsi="Times New Roman"/>
          <w:sz w:val="18"/>
          <w:szCs w:val="18"/>
          <w:i w:val="1"/>
          <w:iCs w:val="1"/>
          <w:color w:val="auto"/>
        </w:rPr>
      </w:pPr>
    </w:p>
    <w:p>
      <w:pPr>
        <w:jc w:val="both"/>
        <w:ind w:left="340" w:hanging="332"/>
        <w:spacing w:after="0" w:line="261"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179"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June 2024, The Standard Bank of South Africa Limited extended a loan of ZAR 250 million to Purple Rain Properties No. 444 Proprietary Limited (the owner of the regional South Africa central office under constructions) at the South Africa Prime Interest Rate less 1.5%.</w:t>
      </w:r>
    </w:p>
    <w:p>
      <w:pPr>
        <w:spacing w:after="0" w:line="158" w:lineRule="exact"/>
        <w:rPr>
          <w:sz w:val="20"/>
          <w:szCs w:val="20"/>
          <w:color w:val="auto"/>
        </w:rPr>
      </w:pPr>
    </w:p>
    <w:p>
      <w:pPr>
        <w:jc w:val="both"/>
        <w:ind w:left="340" w:right="20" w:hanging="323"/>
        <w:spacing w:after="0" w:line="267" w:lineRule="auto"/>
        <w:tabs>
          <w:tab w:leader="none" w:pos="320" w:val="left"/>
        </w:tabs>
        <w:rPr>
          <w:sz w:val="20"/>
          <w:szCs w:val="20"/>
          <w:color w:val="auto"/>
        </w:rPr>
      </w:pPr>
      <w:r>
        <w:rPr>
          <w:rFonts w:ascii="Times New Roman" w:cs="Times New Roman" w:eastAsia="Times New Roman" w:hAnsi="Times New Roman"/>
          <w:sz w:val="18"/>
          <w:szCs w:val="18"/>
          <w:i w:val="1"/>
          <w:iCs w:val="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
        <w:t>In September 2024 and June 2025, Cartrack Portugal, S.A., secured loans of EUR2 million and EUR 1 million, respectively, from Banco Comercial Português, S.A. The loans bear an interest rate of 6-month Euribor rate plus 0.75%, with repayments scheduled over a seven-year and five-year period.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54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generated from operations before working capital changes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623,203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511,598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1,786,164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1,493,074</w:t>
            </w:r>
          </w:p>
        </w:tc>
        <w:tc>
          <w:tcPr>
            <w:tcW w:w="0" w:type="dxa"/>
            <w:vAlign w:val="bottom"/>
          </w:tcPr>
          <w:p>
            <w:pPr>
              <w:spacing w:after="0"/>
              <w:rPr>
                <w:sz w:val="1"/>
                <w:szCs w:val="1"/>
                <w:color w:val="auto"/>
              </w:rPr>
            </w:pPr>
          </w:p>
        </w:tc>
      </w:tr>
      <w:tr>
        <w:trPr>
          <w:trHeight w:val="277"/>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Changes to working capital</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(25,184)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(35,933)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(110,509)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360,204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generated from operations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598,019</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475,665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1,675,655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received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5,504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33,745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 paid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(20,301)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(16,784)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(53,959)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(34,244)</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(26,771)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(25,285)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(183,328)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(179,997)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556,451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442,420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1,465,227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utilized by investing activities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(332,222)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(268,604)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(911,687)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(789,081)</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utilized by financing activities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(64,986)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12,438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(805,900)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(414,380)</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movements for the period</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159,243</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186,254</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(252,360)</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469,321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at the beginning of the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392,767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674,324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837,583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436,165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on cash and cash equivalents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(20,664)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(53,877)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(49,560)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at the end of the period</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531,346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855,926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531,346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855,926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right="20" w:hanging="332"/>
        <w:spacing w:after="0" w:line="284" w:lineRule="auto"/>
        <w:tabs>
          <w:tab w:leader="none" w:pos="3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February 29, 2024 the group had ZAR486 million in bank fixed deposits with maturity dates exceeding three months (these bank fixed deposits were classified under trade and other receivables as of February 29, 2024 and as cash on and cash equivalents as of May 31, 2024).</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FREE CASH FLOW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ADJUSTED FREE CASH FLOW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540" w:type="dxa"/>
            <w:vAlign w:val="bottom"/>
            <w:gridSpan w:val="4"/>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556,451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442,420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1,465,227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1,672,782</w:t>
            </w:r>
          </w:p>
        </w:tc>
      </w:tr>
      <w:tr>
        <w:trPr>
          <w:trHeight w:val="277"/>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Less: purchase of property, plant and equipment</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(317,116)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(254,811)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(868,191)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(750,669)</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(a non-IFRS measure)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Fixed deposits with maturity dates exceeding three months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(485,681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 (a non-IFRS measure)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239,335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187,609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597,036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436,432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the quarter ended November 30, 2025, included in the purchase of property, plant and equipment are development cost of ZAR3 million (November 30, 2024: ZAR6 million) for the new South African Central Office in Rosebank, Johannesburg.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276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6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268,486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240,725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785,929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681,774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86,020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76,897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253,164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229,784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(5,504)</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(8,824)</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(26,859)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(33,745)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20,378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16,784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52,789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34,244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11,969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15,063</w:t>
            </w:r>
          </w:p>
        </w:tc>
        <w:tc>
          <w:tcPr>
            <w:tcW w:w="0" w:type="dxa"/>
            <w:vAlign w:val="bottom"/>
          </w:tcPr>
          <w:p>
            <w:pPr>
              <w:spacing w:after="0"/>
              <w:rPr>
                <w:sz w:val="1"/>
                <w:szCs w:val="1"/>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amortization of intangible</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218,582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176,073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625,308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503,368</w:t>
            </w:r>
          </w:p>
        </w:tc>
        <w:tc>
          <w:tcPr>
            <w:tcW w:w="0" w:type="dxa"/>
            <w:vAlign w:val="bottom"/>
          </w:tcPr>
          <w:p>
            <w:pPr>
              <w:spacing w:after="0"/>
              <w:rPr>
                <w:sz w:val="1"/>
                <w:szCs w:val="1"/>
                <w:color w:val="auto"/>
              </w:rPr>
            </w:pPr>
          </w:p>
        </w:tc>
      </w:tr>
      <w:tr>
        <w:trPr>
          <w:trHeight w:val="27"/>
        </w:trPr>
        <w:tc>
          <w:tcPr>
            <w:tcW w:w="5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(a non-IFRS measure)</w:t>
            </w: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587,759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501,248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1,702,300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1,430,488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4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(a non-IFRS measure)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55"/>
        </w:trPr>
        <w:tc>
          <w:tcPr>
            <w:tcW w:w="584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EARNING PER SHARE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2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12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-5080</wp:posOffset>
            </wp:positionV>
            <wp:extent cx="32746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ind w:left="7840"/>
        <w:spacing w:after="0"/>
        <w:rPr>
          <w:sz w:val="20"/>
          <w:szCs w:val="20"/>
          <w:color w:val="auto"/>
        </w:rPr>
      </w:pPr>
      <w:r>
        <w:rPr>
          <w:rFonts w:ascii="Times New Roman" w:cs="Times New Roman" w:eastAsia="Times New Roman" w:hAnsi="Times New Roman"/>
          <w:sz w:val="18"/>
          <w:szCs w:val="18"/>
          <w:b w:val="1"/>
          <w:bCs w:val="1"/>
          <w:color w:val="auto"/>
        </w:rPr>
        <w:t>(Rand Thousands)</w:t>
      </w:r>
    </w:p>
    <w:p>
      <w:pPr>
        <w:sectPr>
          <w:pgSz w:w="11900" w:h="16838" w:orient="portrait"/>
          <w:cols w:equalWidth="0" w:num="1">
            <w:col w:w="11240"/>
          </w:cols>
          <w:pgMar w:left="320" w:top="900" w:right="339" w:bottom="1440" w:gutter="0" w:footer="0" w:header="0"/>
        </w:sectPr>
      </w:pPr>
    </w:p>
    <w:p>
      <w:pPr>
        <w:spacing w:after="0" w:line="27" w:lineRule="exact"/>
        <w:rPr>
          <w:sz w:val="20"/>
          <w:szCs w:val="20"/>
          <w:color w:val="auto"/>
        </w:rPr>
      </w:pPr>
    </w:p>
    <w:p>
      <w:pPr>
        <w:ind w:left="180" w:right="180" w:hanging="161"/>
        <w:spacing w:after="0" w:line="250" w:lineRule="auto"/>
        <w:rPr>
          <w:sz w:val="20"/>
          <w:szCs w:val="20"/>
          <w:color w:val="auto"/>
        </w:rPr>
      </w:pPr>
      <w:r>
        <w:rPr>
          <w:rFonts w:ascii="Times New Roman" w:cs="Times New Roman" w:eastAsia="Times New Roman" w:hAnsi="Times New Roman"/>
          <w:sz w:val="18"/>
          <w:szCs w:val="18"/>
          <w:b w:val="1"/>
          <w:bCs w:val="1"/>
          <w:color w:val="auto"/>
        </w:rPr>
        <w:t>Reconciliation between basic earnings and adjusted earnings (a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Offering costs</w:t>
      </w:r>
    </w:p>
    <w:p>
      <w:pPr>
        <w:spacing w:after="0" w:line="14" w:lineRule="exact"/>
        <w:rPr>
          <w:sz w:val="20"/>
          <w:szCs w:val="20"/>
          <w:color w:val="auto"/>
        </w:rPr>
      </w:pPr>
    </w:p>
    <w:p>
      <w:pPr>
        <w:ind w:left="180" w:right="74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Adjusted profit attributable to ordinary shareholders (a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7"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 which the per share figures have been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basic and diluted earnings per share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(a non-IFRS measure)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264,109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237,264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771,780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670,391</w:t>
            </w:r>
          </w:p>
        </w:tc>
      </w:tr>
      <w:tr>
        <w:trPr>
          <w:trHeight w:val="445"/>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15,063</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46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263,906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236,857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783,749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685,454</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48"/>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30,895</w:t>
            </w:r>
          </w:p>
        </w:tc>
      </w:tr>
      <w:tr>
        <w:trPr>
          <w:trHeight w:val="432"/>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473"/>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r>
    </w:tbl>
    <w:p>
      <w:pPr>
        <w:spacing w:after="0" w:line="195" w:lineRule="exact"/>
        <w:rPr>
          <w:sz w:val="20"/>
          <w:szCs w:val="20"/>
          <w:color w:val="auto"/>
        </w:rPr>
      </w:pPr>
    </w:p>
    <w:p>
      <w:pPr>
        <w:sectPr>
          <w:pgSz w:w="11900" w:h="16838" w:orient="portrait"/>
          <w:cols w:equalWidth="0" w:num="2">
            <w:col w:w="5840" w:space="140"/>
            <w:col w:w="5260"/>
          </w:cols>
          <w:pgMar w:left="320" w:top="900" w:right="339" w:bottom="1440" w:gutter="0" w:footer="0" w:header="0"/>
          <w:type w:val="continuous"/>
        </w:sectPr>
      </w:pPr>
    </w:p>
    <w:p>
      <w:pPr>
        <w:ind w:left="340" w:hanging="332"/>
        <w:spacing w:after="0" w:line="284" w:lineRule="auto"/>
        <w:tabs>
          <w:tab w:leader="none" w:pos="34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earnings per share, (a non-IFRS measure) is defined as, earnings per share defined by IFRS excluding the impact of specific non-recurring operational expenses as outlined in the reconciliation.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CONSTANT CURRENCY (A NON-IFRS MEASURE)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Three Months and Nine Months Ended November 30,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constant currency information has been determined by adjusting the current financial reporting period results to the results reported for the three months and nine months ended November 30, 2024, as applicable using the average of the monthly exchange rates applicable to that period. The measurement has been performed for each of the group’s operating currencies.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2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0" w:type="dxa"/>
            <w:vAlign w:val="bottom"/>
          </w:tcPr>
          <w:p>
            <w:pPr>
              <w:spacing w:after="0"/>
              <w:rPr>
                <w:sz w:val="1"/>
                <w:szCs w:val="1"/>
                <w:color w:val="auto"/>
              </w:rPr>
            </w:pPr>
          </w:p>
        </w:tc>
      </w:tr>
      <w:tr>
        <w:trPr>
          <w:trHeight w:val="194"/>
        </w:trPr>
        <w:tc>
          <w:tcPr>
            <w:tcW w:w="4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on-Quarter</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38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as reported</w:t>
            </w:r>
          </w:p>
        </w:tc>
        <w:tc>
          <w:tcPr>
            <w:tcW w:w="4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1,239,099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1,031,942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27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tc>
        <w:tc>
          <w:tcPr>
            <w:tcW w:w="4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1,240,021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1,031,942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56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0" w:type="dxa"/>
            <w:vAlign w:val="bottom"/>
          </w:tcPr>
          <w:p>
            <w:pPr>
              <w:spacing w:after="0"/>
              <w:rPr>
                <w:sz w:val="1"/>
                <w:szCs w:val="1"/>
                <w:color w:val="auto"/>
              </w:rPr>
            </w:pPr>
          </w:p>
        </w:tc>
      </w:tr>
      <w:tr>
        <w:trPr>
          <w:trHeight w:val="194"/>
        </w:trPr>
        <w:tc>
          <w:tcPr>
            <w:tcW w:w="4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on-Quarter</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38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as reported</w:t>
            </w:r>
          </w:p>
        </w:tc>
        <w:tc>
          <w:tcPr>
            <w:tcW w:w="4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1,409,830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1,159,390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27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tc>
        <w:tc>
          <w:tcPr>
            <w:tcW w:w="4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1,410,759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1,159,390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2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56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 November 30,</w:t>
            </w:r>
          </w:p>
        </w:tc>
        <w:tc>
          <w:tcPr>
            <w:tcW w:w="0" w:type="dxa"/>
            <w:vAlign w:val="bottom"/>
          </w:tcPr>
          <w:p>
            <w:pPr>
              <w:spacing w:after="0"/>
              <w:rPr>
                <w:sz w:val="1"/>
                <w:szCs w:val="1"/>
                <w:color w:val="auto"/>
              </w:rPr>
            </w:pPr>
          </w:p>
        </w:tc>
      </w:tr>
      <w:tr>
        <w:trPr>
          <w:trHeight w:val="194"/>
        </w:trPr>
        <w:tc>
          <w:tcPr>
            <w:tcW w:w="4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Year-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on-Year</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38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as reported</w:t>
            </w:r>
          </w:p>
        </w:tc>
        <w:tc>
          <w:tcPr>
            <w:tcW w:w="4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3,562,442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2,981,695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27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(8,466)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3,553,976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2,981,695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6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392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 November 30,</w:t>
            </w: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Year-</w:t>
            </w:r>
          </w:p>
        </w:tc>
        <w:tc>
          <w:tcPr>
            <w:tcW w:w="16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on-Year</w:t>
            </w: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4,030,741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3,347,936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4,022,139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3,347,936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Earnings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earnings per share, (a non-IFRS measure) is defined as, earnings per share defined by IFRS excluding the impact of non-recurring operational expenses relating to offering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Delivery-as-a-service Revenue (DaaS)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DaaS Revenue (a non-IFRS) measure) is defined as the total revenue generated from last-mile delivery services, including subscription-based revenue associated with these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Recurring Revenue (SaaS ARR)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Average Revenue per Subscriber per month (ARPU)</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ARPU (a non-IFRS measure) is calculated on a periodic basis by dividing the cumulative subscription revenue for the period by the average of the opening subscriber balance at the beginning of the period and closing subscriber balance at the end of the period and dividing this by the number of months in the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Cartrack Holdings </w:t>
      </w:r>
      <w:r>
        <w:rPr>
          <w:rFonts w:ascii="Times New Roman" w:cs="Times New Roman" w:eastAsia="Times New Roman" w:hAnsi="Times New Roman"/>
          <w:sz w:val="18"/>
          <w:szCs w:val="18"/>
          <w:color w:val="auto"/>
        </w:rPr>
        <w:t>(“Cartrack”)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in accordance with IFRS.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Free Cash Flow (a non-IFRS measure) as net cash generated from operating activities less purchases of property, plant and equipment. Adjusted Free Cash Flow (a non-IFRS measure) further include fixed deposits with maturity dates exceeding three months that were classified as trade and other receivables. In addition to our results determined in accordance with IFRS, we believe Free Cash Flow (a non-IFRS measure) and Adjusted Free Cash Flow (a non-IFRS measure), are useful in evaluating our operating performance. We believe that Free Cash Flow and Adjusted Free Cash Flow are useful indicators of liquidity and the ability of the group to turn revenues into Free Cash Flow,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and Adjusted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of 40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operating margin for a period of 12 months sum to greater than 40.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of 60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adjusted EBITDA margin for the period of 12 months sum to greater than 60.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economics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non-IFRS financial measures that are used as reference of Cartrack’s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Lifetime value (LTV of a Customer) of customer relationships to customer acquisition costs (CAC)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Lifetime value (LTV of a Subscriber), cost of acquiring a subscriber (CAS) and </w:t>
      </w:r>
      <w:r>
        <w:rPr>
          <w:rFonts w:ascii="Times New Roman" w:cs="Times New Roman" w:eastAsia="Times New Roman" w:hAnsi="Times New Roman"/>
          <w:sz w:val="18"/>
          <w:szCs w:val="18"/>
          <w:color w:val="auto"/>
        </w:rPr>
        <w:t>cost of servicing a subscriber (CSS)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the effect of acquisitions and operating decisions on us may differ materially from those made in or suggested by the forward-looking statements contained in this announcement. In addition, even if our results of operations, financial condition and liquidity, the development of the industry in which we operate, the effect of acquisitions and operating decisions on us are consistent with the forward-looking statements contained in this announcement, those results or developments may not be indicative of results or developments in subsequent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cause actual results to vary from projected results include, but are not limited to:</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a pandemic or widespread outbreak of an illness, the Russia-Ukraine conflict, conflict in Middle East, political and economic uncertainty in African countries, geopolitical tensions involving China and similar macroeconomic events, including financial distress caused by recent or potential bank failures, global supply chain challenges, foreign currency fluctuations, elevated inflation and interest rates, shifting trade policies and monetary policy changes, upon our and our customers’ and partners’ respective businesses;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component suppliers and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key personnel or attract, train and retain other highly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 in our latest Annual Report on Form 20-F and other reports filed with the U.S. Securities and Exchange Commission.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 or to reflect the occurrence of unanticipated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announcement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lvl w:ilvl="1">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2"/>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2026-01-20T15:03:29Z</dcterms:created>
  <dcterms:modified xsi:type="dcterms:W3CDTF">2026-01-20T15:03:29Z</dcterms:modified>
</cp:coreProperties>
</file>