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0001858403</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Karooooo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001-40300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 Harbourfront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w w:val="96"/>
              </w:rPr>
              <w:t>Keppel Bay Tower, #14-07</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098632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65-6255-4151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Isaias Jose Calisto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DBS Bank Limited</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12 Marina Boulevard,</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Ordinary</w:t>
      </w:r>
      <w:r>
        <w:rPr>
          <w:sz w:val="20"/>
          <w:szCs w:val="20"/>
          <w:color w:val="auto"/>
        </w:rPr>
        <w:tab/>
      </w:r>
      <w:r>
        <w:rPr>
          <w:rFonts w:ascii="Times New Roman" w:cs="Times New Roman" w:eastAsia="Times New Roman" w:hAnsi="Times New Roman"/>
          <w:sz w:val="22"/>
          <w:szCs w:val="22"/>
          <w:color w:val="auto"/>
        </w:rPr>
        <w:t>Marina Bay Financial</w:t>
      </w:r>
    </w:p>
    <w:p>
      <w:pPr>
        <w:ind w:left="2500"/>
        <w:spacing w:after="0" w:line="231" w:lineRule="auto"/>
        <w:rPr>
          <w:sz w:val="20"/>
          <w:szCs w:val="20"/>
          <w:color w:val="auto"/>
        </w:rPr>
      </w:pPr>
      <w:r>
        <w:rPr>
          <w:rFonts w:ascii="Times New Roman" w:cs="Times New Roman" w:eastAsia="Times New Roman" w:hAnsi="Times New Roman"/>
          <w:sz w:val="22"/>
          <w:szCs w:val="22"/>
          <w:color w:val="auto"/>
        </w:rPr>
        <w:t>Centre,</w:t>
      </w:r>
    </w:p>
    <w:p>
      <w:pPr>
        <w:ind w:left="2500"/>
        <w:spacing w:after="0"/>
        <w:rPr>
          <w:sz w:val="20"/>
          <w:szCs w:val="20"/>
          <w:color w:val="auto"/>
        </w:rPr>
      </w:pPr>
      <w:r>
        <w:rPr>
          <w:rFonts w:ascii="Times New Roman" w:cs="Times New Roman" w:eastAsia="Times New Roman" w:hAnsi="Times New Roman"/>
          <w:sz w:val="22"/>
          <w:szCs w:val="22"/>
          <w:color w:val="auto"/>
        </w:rPr>
        <w:t>Tower 3,  U0  018982</w:t>
      </w:r>
    </w:p>
    <w:p>
      <w:pPr>
        <w:spacing w:after="0" w:line="20"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DBS Bank Limited</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12 Marina Boulevard,</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Ordinary</w:t>
      </w:r>
      <w:r>
        <w:rPr>
          <w:sz w:val="20"/>
          <w:szCs w:val="20"/>
          <w:color w:val="auto"/>
        </w:rPr>
        <w:tab/>
      </w:r>
      <w:r>
        <w:rPr>
          <w:rFonts w:ascii="Times New Roman" w:cs="Times New Roman" w:eastAsia="Times New Roman" w:hAnsi="Times New Roman"/>
          <w:sz w:val="22"/>
          <w:szCs w:val="22"/>
          <w:color w:val="auto"/>
        </w:rPr>
        <w:t>Marina Bay Financial</w:t>
      </w:r>
    </w:p>
    <w:p>
      <w:pPr>
        <w:ind w:left="2500"/>
        <w:spacing w:after="0" w:line="231" w:lineRule="auto"/>
        <w:rPr>
          <w:sz w:val="20"/>
          <w:szCs w:val="20"/>
          <w:color w:val="auto"/>
        </w:rPr>
      </w:pPr>
      <w:r>
        <w:rPr>
          <w:rFonts w:ascii="Times New Roman" w:cs="Times New Roman" w:eastAsia="Times New Roman" w:hAnsi="Times New Roman"/>
          <w:sz w:val="22"/>
          <w:szCs w:val="22"/>
          <w:color w:val="auto"/>
        </w:rPr>
        <w:t>Centre,</w:t>
      </w:r>
    </w:p>
    <w:p>
      <w:pPr>
        <w:ind w:left="2500"/>
        <w:spacing w:after="0"/>
        <w:rPr>
          <w:sz w:val="20"/>
          <w:szCs w:val="20"/>
          <w:color w:val="auto"/>
        </w:rPr>
      </w:pPr>
      <w:r>
        <w:rPr>
          <w:rFonts w:ascii="Times New Roman" w:cs="Times New Roman" w:eastAsia="Times New Roman" w:hAnsi="Times New Roman"/>
          <w:sz w:val="22"/>
          <w:szCs w:val="22"/>
          <w:color w:val="auto"/>
        </w:rPr>
        <w:t>Tower 3,  U0  018982</w:t>
      </w:r>
    </w:p>
    <w:p>
      <w:pPr>
        <w:spacing w:after="0" w:line="20"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Ordinary</w:t>
      </w:r>
      <w:r>
        <w:rPr>
          <w:sz w:val="20"/>
          <w:szCs w:val="20"/>
          <w:color w:val="auto"/>
        </w:rPr>
        <w:tab/>
      </w:r>
      <w:r>
        <w:rPr>
          <w:rFonts w:ascii="Times New Roman" w:cs="Times New Roman" w:eastAsia="Times New Roman" w:hAnsi="Times New Roman"/>
          <w:sz w:val="22"/>
          <w:szCs w:val="22"/>
          <w:color w:val="auto"/>
        </w:rPr>
        <w:t>DBS Bank Limited</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12 Marina Boulevard,</w:t>
      </w:r>
    </w:p>
    <w:p>
      <w:pPr>
        <w:ind w:left="2500"/>
        <w:spacing w:after="0"/>
        <w:rPr>
          <w:sz w:val="20"/>
          <w:szCs w:val="20"/>
          <w:color w:val="auto"/>
        </w:rPr>
      </w:pPr>
      <w:r>
        <w:rPr>
          <w:rFonts w:ascii="Times New Roman" w:cs="Times New Roman" w:eastAsia="Times New Roman" w:hAnsi="Times New Roman"/>
          <w:sz w:val="22"/>
          <w:szCs w:val="22"/>
          <w:color w:val="auto"/>
        </w:rPr>
        <w:t>Marina Bay Financial</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95"/>
              </w:rPr>
              <w:t>8000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2856000.00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30893300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11/13/2024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34935</w:t>
            </w:r>
          </w:p>
        </w:tc>
        <w:tc>
          <w:tcPr>
            <w:tcW w:w="15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1467270.00</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30893300</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11/14/2024</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3"/>
              </w:rPr>
              <w:t>Nasdaq</w:t>
            </w:r>
          </w:p>
        </w:tc>
      </w:tr>
      <w:tr>
        <w:trPr>
          <w:trHeight w:val="7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5964</w:t>
            </w:r>
          </w:p>
        </w:tc>
        <w:tc>
          <w:tcPr>
            <w:tcW w:w="15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250488.00</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30893300</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11/15/2024</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3"/>
              </w:rPr>
              <w:t>Nasdaq</w:t>
            </w:r>
          </w:p>
        </w:tc>
      </w:tr>
    </w:tbl>
    <w:p>
      <w:pPr>
        <w:sectPr>
          <w:pgSz w:w="11900" w:h="16838" w:orient="portrait"/>
          <w:cols w:equalWidth="0" w:num="2">
            <w:col w:w="4660" w:space="200"/>
            <w:col w:w="6340"/>
          </w:cols>
          <w:pgMar w:left="320" w:top="261" w:right="379" w:bottom="0" w:gutter="0" w:footer="0" w:header="0"/>
          <w:type w:val="continuous"/>
        </w:sectPr>
      </w:pPr>
    </w:p>
    <w:bookmarkStart w:id="1" w:name="page2"/>
    <w:bookmarkEnd w:id="1"/>
    <w:p>
      <w:pPr>
        <w:ind w:left="2500"/>
        <w:spacing w:after="0"/>
        <w:rPr>
          <w:sz w:val="20"/>
          <w:szCs w:val="20"/>
          <w:color w:val="auto"/>
        </w:rPr>
      </w:pPr>
      <w:r>
        <w:rPr>
          <w:rFonts w:ascii="Times New Roman" w:cs="Times New Roman" w:eastAsia="Times New Roman" w:hAnsi="Times New Roman"/>
          <w:sz w:val="22"/>
          <w:szCs w:val="22"/>
          <w:color w:val="auto"/>
        </w:rPr>
        <w:t>Centre,</w:t>
      </w:r>
    </w:p>
    <w:p>
      <w:pPr>
        <w:spacing w:after="0" w:line="1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Tower 3,  U0  018982</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DBS Bank Limited</w:t>
            </w: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12 Marina Boulevard,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Marina Bay Financial</w:t>
            </w:r>
          </w:p>
        </w:tc>
        <w:tc>
          <w:tcPr>
            <w:tcW w:w="11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840</w:t>
            </w:r>
          </w:p>
        </w:tc>
        <w:tc>
          <w:tcPr>
            <w:tcW w:w="1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35280.00</w:t>
            </w:r>
          </w:p>
        </w:tc>
        <w:tc>
          <w:tcPr>
            <w:tcW w:w="12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30893300</w:t>
            </w:r>
          </w:p>
        </w:tc>
        <w:tc>
          <w:tcPr>
            <w:tcW w:w="13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11/18/2024</w:t>
            </w:r>
          </w:p>
        </w:tc>
        <w:tc>
          <w:tcPr>
            <w:tcW w:w="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3"/>
              </w:rPr>
              <w:t>Nasdaq</w:t>
            </w: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Centre,</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2"/>
        </w:trPr>
        <w:tc>
          <w:tcPr>
            <w:tcW w:w="1620" w:type="dxa"/>
            <w:vAlign w:val="bottom"/>
          </w:tcPr>
          <w:p>
            <w:pPr>
              <w:spacing w:after="0"/>
              <w:rPr>
                <w:sz w:val="24"/>
                <w:szCs w:val="24"/>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Tower 3,  U0  018982</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8"/>
        </w:trPr>
        <w:tc>
          <w:tcPr>
            <w:tcW w:w="1620" w:type="dxa"/>
            <w:vAlign w:val="bottom"/>
          </w:tcPr>
          <w:p>
            <w:pPr>
              <w:spacing w:after="0"/>
              <w:rPr>
                <w:sz w:val="22"/>
                <w:szCs w:val="22"/>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DBS Bank Limited</w:t>
            </w: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12 Marina Boulevard,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Marina Bay Financial</w:t>
            </w:r>
          </w:p>
        </w:tc>
        <w:tc>
          <w:tcPr>
            <w:tcW w:w="11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1400</w:t>
            </w:r>
          </w:p>
        </w:tc>
        <w:tc>
          <w:tcPr>
            <w:tcW w:w="1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58800.00</w:t>
            </w:r>
          </w:p>
        </w:tc>
        <w:tc>
          <w:tcPr>
            <w:tcW w:w="12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30893300</w:t>
            </w:r>
          </w:p>
        </w:tc>
        <w:tc>
          <w:tcPr>
            <w:tcW w:w="13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11/19/2024</w:t>
            </w:r>
          </w:p>
        </w:tc>
        <w:tc>
          <w:tcPr>
            <w:tcW w:w="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3"/>
              </w:rPr>
              <w:t>Nasdaq</w:t>
            </w: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Centre,</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2"/>
        </w:trPr>
        <w:tc>
          <w:tcPr>
            <w:tcW w:w="1620" w:type="dxa"/>
            <w:vAlign w:val="bottom"/>
          </w:tcPr>
          <w:p>
            <w:pPr>
              <w:spacing w:after="0"/>
              <w:rPr>
                <w:sz w:val="24"/>
                <w:szCs w:val="24"/>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Tower 3,  U0  018982</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8"/>
        </w:trPr>
        <w:tc>
          <w:tcPr>
            <w:tcW w:w="1620" w:type="dxa"/>
            <w:vAlign w:val="bottom"/>
          </w:tcPr>
          <w:p>
            <w:pPr>
              <w:spacing w:after="0"/>
              <w:rPr>
                <w:sz w:val="22"/>
                <w:szCs w:val="22"/>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DBS Bank Limited</w:t>
            </w: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12 Marina Boulevard,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Marina Bay Financial</w:t>
            </w:r>
          </w:p>
        </w:tc>
        <w:tc>
          <w:tcPr>
            <w:tcW w:w="11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50608</w:t>
            </w:r>
          </w:p>
        </w:tc>
        <w:tc>
          <w:tcPr>
            <w:tcW w:w="1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2125536.00</w:t>
            </w:r>
          </w:p>
        </w:tc>
        <w:tc>
          <w:tcPr>
            <w:tcW w:w="12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30893300</w:t>
            </w:r>
          </w:p>
        </w:tc>
        <w:tc>
          <w:tcPr>
            <w:tcW w:w="13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11/21/2024</w:t>
            </w:r>
          </w:p>
        </w:tc>
        <w:tc>
          <w:tcPr>
            <w:tcW w:w="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3"/>
              </w:rPr>
              <w:t>Nasdaq</w:t>
            </w: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Centre,</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2"/>
        </w:trPr>
        <w:tc>
          <w:tcPr>
            <w:tcW w:w="1620" w:type="dxa"/>
            <w:vAlign w:val="bottom"/>
          </w:tcPr>
          <w:p>
            <w:pPr>
              <w:spacing w:after="0"/>
              <w:rPr>
                <w:sz w:val="24"/>
                <w:szCs w:val="24"/>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Tower 3,  U0  018982</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8"/>
        </w:trPr>
        <w:tc>
          <w:tcPr>
            <w:tcW w:w="1620" w:type="dxa"/>
            <w:vAlign w:val="bottom"/>
          </w:tcPr>
          <w:p>
            <w:pPr>
              <w:spacing w:after="0"/>
              <w:rPr>
                <w:sz w:val="22"/>
                <w:szCs w:val="22"/>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DBS Bank Limited</w:t>
            </w: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12 Marina Boulevard,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Marina Bay Financial</w:t>
            </w:r>
          </w:p>
        </w:tc>
        <w:tc>
          <w:tcPr>
            <w:tcW w:w="11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988</w:t>
            </w:r>
          </w:p>
        </w:tc>
        <w:tc>
          <w:tcPr>
            <w:tcW w:w="1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41496.00</w:t>
            </w:r>
          </w:p>
        </w:tc>
        <w:tc>
          <w:tcPr>
            <w:tcW w:w="12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30893300</w:t>
            </w:r>
          </w:p>
        </w:tc>
        <w:tc>
          <w:tcPr>
            <w:tcW w:w="13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11/22/2024</w:t>
            </w:r>
          </w:p>
        </w:tc>
        <w:tc>
          <w:tcPr>
            <w:tcW w:w="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3"/>
              </w:rPr>
              <w:t>Nasdaq</w:t>
            </w: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Centre,</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2"/>
        </w:trPr>
        <w:tc>
          <w:tcPr>
            <w:tcW w:w="1620" w:type="dxa"/>
            <w:vAlign w:val="bottom"/>
          </w:tcPr>
          <w:p>
            <w:pPr>
              <w:spacing w:after="0"/>
              <w:rPr>
                <w:sz w:val="24"/>
                <w:szCs w:val="24"/>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Tower 3,  U0  018982</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8"/>
        </w:trPr>
        <w:tc>
          <w:tcPr>
            <w:tcW w:w="1620" w:type="dxa"/>
            <w:vAlign w:val="bottom"/>
          </w:tcPr>
          <w:p>
            <w:pPr>
              <w:spacing w:after="0"/>
              <w:rPr>
                <w:sz w:val="22"/>
                <w:szCs w:val="22"/>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DBS Bank Limited</w:t>
            </w: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12 Marina Boulevard,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Marina Bay Financial</w:t>
            </w:r>
          </w:p>
        </w:tc>
        <w:tc>
          <w:tcPr>
            <w:tcW w:w="11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146197</w:t>
            </w:r>
          </w:p>
        </w:tc>
        <w:tc>
          <w:tcPr>
            <w:tcW w:w="14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6140274.00</w:t>
            </w:r>
          </w:p>
        </w:tc>
        <w:tc>
          <w:tcPr>
            <w:tcW w:w="120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30893300</w:t>
            </w:r>
          </w:p>
        </w:tc>
        <w:tc>
          <w:tcPr>
            <w:tcW w:w="13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11/25/2024</w:t>
            </w:r>
          </w:p>
        </w:tc>
        <w:tc>
          <w:tcPr>
            <w:tcW w:w="8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3"/>
              </w:rPr>
              <w:t>Nasdaq</w:t>
            </w:r>
          </w:p>
        </w:tc>
      </w:tr>
      <w:tr>
        <w:trPr>
          <w:trHeight w:val="243"/>
        </w:trPr>
        <w:tc>
          <w:tcPr>
            <w:tcW w:w="1620" w:type="dxa"/>
            <w:vAlign w:val="bottom"/>
          </w:tcPr>
          <w:p>
            <w:pPr>
              <w:spacing w:after="0"/>
              <w:rPr>
                <w:sz w:val="21"/>
                <w:szCs w:val="21"/>
                <w:color w:val="auto"/>
              </w:rPr>
            </w:pPr>
          </w:p>
        </w:tc>
        <w:tc>
          <w:tcPr>
            <w:tcW w:w="302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Centre,</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82"/>
        </w:trPr>
        <w:tc>
          <w:tcPr>
            <w:tcW w:w="1620" w:type="dxa"/>
            <w:vAlign w:val="bottom"/>
          </w:tcPr>
          <w:p>
            <w:pPr>
              <w:spacing w:after="0"/>
              <w:rPr>
                <w:sz w:val="24"/>
                <w:szCs w:val="24"/>
                <w:color w:val="auto"/>
              </w:rPr>
            </w:pPr>
          </w:p>
        </w:tc>
        <w:tc>
          <w:tcPr>
            <w:tcW w:w="302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Tower 3,  U0  018982</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53"/>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040" w:right="40"/>
        <w:spacing w:after="0" w:line="249" w:lineRule="auto"/>
        <w:rPr>
          <w:sz w:val="20"/>
          <w:szCs w:val="20"/>
          <w:color w:val="auto"/>
        </w:rPr>
      </w:pPr>
      <w:r>
        <w:rPr>
          <w:rFonts w:ascii="Times New Roman" w:cs="Times New Roman" w:eastAsia="Times New Roman" w:hAnsi="Times New Roman"/>
          <w:sz w:val="21"/>
          <w:szCs w:val="21"/>
          <w:color w:val="auto"/>
        </w:rPr>
        <w:t>Subscription for shares pursuant to incorporation of</w:t>
      </w:r>
    </w:p>
    <w:p>
      <w:pPr>
        <w:spacing w:after="0" w:line="1" w:lineRule="exact"/>
        <w:rPr>
          <w:sz w:val="20"/>
          <w:szCs w:val="20"/>
          <w:color w:val="auto"/>
        </w:rPr>
      </w:pPr>
    </w:p>
    <w:p>
      <w:pPr>
        <w:ind w:left="1040" w:right="40" w:hanging="1039"/>
        <w:spacing w:after="0" w:line="181" w:lineRule="auto"/>
        <w:rPr>
          <w:sz w:val="20"/>
          <w:szCs w:val="20"/>
          <w:color w:val="auto"/>
        </w:rPr>
      </w:pPr>
      <w:r>
        <w:rPr>
          <w:rFonts w:ascii="Times New Roman" w:cs="Times New Roman" w:eastAsia="Times New Roman" w:hAnsi="Times New Roman"/>
          <w:sz w:val="37"/>
          <w:szCs w:val="37"/>
          <w:color w:val="auto"/>
          <w:vertAlign w:val="subscript"/>
        </w:rPr>
        <w:t>05/19/2018</w:t>
      </w:r>
      <w:r>
        <w:rPr>
          <w:rFonts w:ascii="Times New Roman" w:cs="Times New Roman" w:eastAsia="Times New Roman" w:hAnsi="Times New Roman"/>
          <w:sz w:val="19"/>
          <w:szCs w:val="19"/>
          <w:color w:val="auto"/>
        </w:rPr>
        <w:t xml:space="preserve"> the Issuer on May 19, 2018. Sole</w:t>
      </w:r>
    </w:p>
    <w:p>
      <w:pPr>
        <w:ind w:left="1040" w:right="80"/>
        <w:spacing w:after="0" w:line="249" w:lineRule="auto"/>
        <w:rPr>
          <w:sz w:val="20"/>
          <w:szCs w:val="20"/>
          <w:color w:val="auto"/>
        </w:rPr>
      </w:pPr>
      <w:r>
        <w:rPr>
          <w:rFonts w:ascii="Times New Roman" w:cs="Times New Roman" w:eastAsia="Times New Roman" w:hAnsi="Times New Roman"/>
          <w:sz w:val="21"/>
          <w:szCs w:val="21"/>
          <w:color w:val="auto"/>
        </w:rPr>
        <w:t>shareholder owning 100% of the issued shares.</w:t>
      </w:r>
    </w:p>
    <w:p>
      <w:pPr>
        <w:spacing w:after="0" w:line="7" w:lineRule="exact"/>
        <w:rPr>
          <w:sz w:val="20"/>
          <w:szCs w:val="20"/>
          <w:color w:val="auto"/>
        </w:rPr>
      </w:pPr>
    </w:p>
    <w:p>
      <w:pPr>
        <w:ind w:left="1040"/>
        <w:spacing w:after="0" w:line="246" w:lineRule="auto"/>
        <w:rPr>
          <w:sz w:val="20"/>
          <w:szCs w:val="20"/>
          <w:color w:val="auto"/>
        </w:rPr>
      </w:pPr>
      <w:r>
        <w:rPr>
          <w:rFonts w:ascii="Times New Roman" w:cs="Times New Roman" w:eastAsia="Times New Roman" w:hAnsi="Times New Roman"/>
          <w:sz w:val="21"/>
          <w:szCs w:val="21"/>
          <w:color w:val="auto"/>
        </w:rPr>
        <w:t>Acquired pursuant to the conversion of a shareholder loan from IJ Calisto to the</w:t>
      </w:r>
    </w:p>
    <w:p>
      <w:pPr>
        <w:spacing w:after="0" w:line="1" w:lineRule="exact"/>
        <w:rPr>
          <w:sz w:val="20"/>
          <w:szCs w:val="20"/>
          <w:color w:val="auto"/>
        </w:rPr>
      </w:pPr>
    </w:p>
    <w:p>
      <w:pPr>
        <w:ind w:left="1040" w:right="360" w:hanging="1039"/>
        <w:spacing w:after="0" w:line="181" w:lineRule="auto"/>
        <w:rPr>
          <w:sz w:val="20"/>
          <w:szCs w:val="20"/>
          <w:color w:val="auto"/>
        </w:rPr>
      </w:pPr>
      <w:r>
        <w:rPr>
          <w:rFonts w:ascii="Times New Roman" w:cs="Times New Roman" w:eastAsia="Times New Roman" w:hAnsi="Times New Roman"/>
          <w:sz w:val="19"/>
          <w:szCs w:val="19"/>
          <w:color w:val="auto"/>
        </w:rPr>
        <w:t xml:space="preserve">11/18/2020 </w:t>
      </w:r>
      <w:r>
        <w:rPr>
          <w:rFonts w:ascii="Times New Roman" w:cs="Times New Roman" w:eastAsia="Times New Roman" w:hAnsi="Times New Roman"/>
          <w:sz w:val="37"/>
          <w:szCs w:val="37"/>
          <w:color w:val="auto"/>
          <w:vertAlign w:val="superscript"/>
        </w:rPr>
        <w:t>Issuer on</w:t>
      </w:r>
      <w:r>
        <w:rPr>
          <w:rFonts w:ascii="Times New Roman" w:cs="Times New Roman" w:eastAsia="Times New Roman" w:hAnsi="Times New Roman"/>
          <w:sz w:val="19"/>
          <w:szCs w:val="19"/>
          <w:color w:val="auto"/>
        </w:rPr>
        <w:t xml:space="preserve"> November 18,</w:t>
      </w:r>
    </w:p>
    <w:p>
      <w:pPr>
        <w:ind w:left="1040"/>
        <w:spacing w:after="0" w:line="230" w:lineRule="auto"/>
        <w:rPr>
          <w:sz w:val="20"/>
          <w:szCs w:val="20"/>
          <w:color w:val="auto"/>
        </w:rPr>
      </w:pPr>
      <w:r>
        <w:rPr>
          <w:rFonts w:ascii="Times New Roman" w:cs="Times New Roman" w:eastAsia="Times New Roman" w:hAnsi="Times New Roman"/>
          <w:sz w:val="22"/>
          <w:szCs w:val="22"/>
          <w:color w:val="auto"/>
        </w:rPr>
        <w:t>2021. Remained</w:t>
      </w:r>
    </w:p>
    <w:p>
      <w:pPr>
        <w:ind w:left="1040"/>
        <w:spacing w:after="0" w:line="231" w:lineRule="auto"/>
        <w:rPr>
          <w:sz w:val="20"/>
          <w:szCs w:val="20"/>
          <w:color w:val="auto"/>
        </w:rPr>
      </w:pPr>
      <w:r>
        <w:rPr>
          <w:rFonts w:ascii="Times New Roman" w:cs="Times New Roman" w:eastAsia="Times New Roman" w:hAnsi="Times New Roman"/>
          <w:sz w:val="22"/>
          <w:szCs w:val="22"/>
          <w:color w:val="auto"/>
        </w:rPr>
        <w:t>the sole</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shareholder,</w:t>
      </w:r>
    </w:p>
    <w:p>
      <w:pPr>
        <w:ind w:left="1040"/>
        <w:spacing w:after="0" w:line="231" w:lineRule="auto"/>
        <w:rPr>
          <w:sz w:val="20"/>
          <w:szCs w:val="20"/>
          <w:color w:val="auto"/>
        </w:rPr>
      </w:pPr>
      <w:r>
        <w:rPr>
          <w:rFonts w:ascii="Times New Roman" w:cs="Times New Roman" w:eastAsia="Times New Roman" w:hAnsi="Times New Roman"/>
          <w:sz w:val="22"/>
          <w:szCs w:val="22"/>
          <w:color w:val="auto"/>
        </w:rPr>
        <w:t>owning 100% of</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the issued shares.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04/21/2021 See Note 1 below</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6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1"/>
        </w:trPr>
        <w:tc>
          <w:tcPr>
            <w:tcW w:w="126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26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6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rFonts w:ascii="Times New Roman" w:cs="Times New Roman" w:eastAsia="Times New Roman" w:hAnsi="Times New Roman"/>
          <w:sz w:val="22"/>
          <w:szCs w:val="22"/>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-133985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2960" w:val="left"/>
        </w:tabs>
        <w:rPr>
          <w:sz w:val="20"/>
          <w:szCs w:val="20"/>
          <w:color w:val="auto"/>
        </w:rPr>
      </w:pPr>
      <w:r>
        <w:rPr>
          <w:rFonts w:ascii="Times New Roman" w:cs="Times New Roman" w:eastAsia="Times New Roman" w:hAnsi="Times New Roman"/>
          <w:sz w:val="22"/>
          <w:szCs w:val="22"/>
          <w:color w:val="auto"/>
        </w:rPr>
        <w:t>Issuer</w:t>
      </w:r>
      <w:r>
        <w:rPr>
          <w:sz w:val="20"/>
          <w:szCs w:val="20"/>
          <w:color w:val="auto"/>
        </w:rPr>
        <w:tab/>
      </w:r>
      <w:r>
        <w:rPr>
          <w:rFonts w:ascii="Times New Roman" w:cs="Times New Roman" w:eastAsia="Times New Roman" w:hAnsi="Times New Roman"/>
          <w:sz w:val="22"/>
          <w:szCs w:val="22"/>
          <w:color w:val="auto"/>
        </w:rPr>
        <w:t>20331894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-133985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Issuer, pursuant</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-151765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0" w:lineRule="auto"/>
        <w:rPr>
          <w:sz w:val="20"/>
          <w:szCs w:val="20"/>
          <w:color w:val="auto"/>
        </w:rPr>
      </w:pPr>
      <w:r>
        <w:rPr>
          <w:rFonts w:ascii="Times New Roman" w:cs="Times New Roman" w:eastAsia="Times New Roman" w:hAnsi="Times New Roman"/>
          <w:sz w:val="22"/>
          <w:szCs w:val="22"/>
          <w:color w:val="auto"/>
        </w:rPr>
        <w:t>to a scheme of</w:t>
      </w:r>
    </w:p>
    <w:p>
      <w:pPr>
        <w:spacing w:after="0" w:line="231" w:lineRule="auto"/>
        <w:rPr>
          <w:sz w:val="20"/>
          <w:szCs w:val="20"/>
          <w:color w:val="auto"/>
        </w:rPr>
      </w:pPr>
      <w:r>
        <w:rPr>
          <w:rFonts w:ascii="Times New Roman" w:cs="Times New Roman" w:eastAsia="Times New Roman" w:hAnsi="Times New Roman"/>
          <w:sz w:val="22"/>
          <w:szCs w:val="22"/>
          <w:color w:val="auto"/>
        </w:rPr>
        <w:t>arrangement in</w:t>
      </w:r>
    </w:p>
    <w:p>
      <w:pPr>
        <w:spacing w:after="0" w:line="230" w:lineRule="auto"/>
        <w:rPr>
          <w:sz w:val="20"/>
          <w:szCs w:val="20"/>
          <w:color w:val="auto"/>
        </w:rPr>
      </w:pPr>
      <w:r>
        <w:rPr>
          <w:rFonts w:ascii="Times New Roman" w:cs="Times New Roman" w:eastAsia="Times New Roman" w:hAnsi="Times New Roman"/>
          <w:sz w:val="22"/>
          <w:szCs w:val="22"/>
          <w:color w:val="auto"/>
        </w:rPr>
        <w:t>terms of SA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concurrent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420"/>
        <w:spacing w:after="0" w:line="222" w:lineRule="auto"/>
        <w:rPr>
          <w:sz w:val="20"/>
          <w:szCs w:val="20"/>
          <w:color w:val="auto"/>
        </w:rPr>
      </w:pPr>
      <w:r>
        <w:rPr>
          <w:rFonts w:ascii="Times New Roman" w:cs="Times New Roman" w:eastAsia="Times New Roman" w:hAnsi="Times New Roman"/>
          <w:sz w:val="43"/>
          <w:szCs w:val="43"/>
          <w:color w:val="auto"/>
          <w:vertAlign w:val="subscript"/>
        </w:rPr>
        <w:t>05/19/2018</w:t>
      </w:r>
      <w:r>
        <w:rPr>
          <w:rFonts w:ascii="Times New Roman" w:cs="Times New Roman" w:eastAsia="Times New Roman" w:hAnsi="Times New Roman"/>
          <w:sz w:val="22"/>
          <w:szCs w:val="22"/>
          <w:color w:val="auto"/>
        </w:rPr>
        <w:t xml:space="preserve"> Initial issue of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See "Nature of</w:t>
      </w:r>
    </w:p>
    <w:p>
      <w:pPr>
        <w:spacing w:after="0" w:line="14" w:lineRule="exact"/>
        <w:rPr>
          <w:sz w:val="20"/>
          <w:szCs w:val="20"/>
          <w:color w:val="auto"/>
        </w:rPr>
      </w:pPr>
    </w:p>
    <w:p>
      <w:pPr>
        <w:ind w:left="1040" w:right="660" w:hanging="1038"/>
        <w:spacing w:after="0" w:line="258" w:lineRule="auto"/>
        <w:rPr>
          <w:sz w:val="20"/>
          <w:szCs w:val="20"/>
          <w:color w:val="auto"/>
        </w:rPr>
      </w:pPr>
      <w:r>
        <w:rPr>
          <w:rFonts w:ascii="Times New Roman" w:cs="Times New Roman" w:eastAsia="Times New Roman" w:hAnsi="Times New Roman"/>
          <w:sz w:val="21"/>
          <w:szCs w:val="21"/>
          <w:color w:val="auto"/>
        </w:rPr>
        <w:t>11/18/2020 acquisition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04/21/2021 See Note 1 on</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"Nature of</w:t>
      </w:r>
    </w:p>
    <w:p>
      <w:pPr>
        <w:ind w:left="1040"/>
        <w:spacing w:after="0" w:line="230" w:lineRule="auto"/>
        <w:rPr>
          <w:sz w:val="20"/>
          <w:szCs w:val="20"/>
          <w:color w:val="auto"/>
        </w:rPr>
      </w:pPr>
      <w:r>
        <w:rPr>
          <w:rFonts w:ascii="Times New Roman" w:cs="Times New Roman" w:eastAsia="Times New Roman" w:hAnsi="Times New Roman"/>
          <w:sz w:val="22"/>
          <w:szCs w:val="22"/>
          <w:color w:val="auto"/>
        </w:rPr>
        <w:t>Acquisition</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Transaction"</w:t>
      </w:r>
    </w:p>
    <w:p>
      <w:pPr>
        <w:sectPr>
          <w:pgSz w:w="11900" w:h="16838" w:orient="portrait"/>
          <w:cols w:equalWidth="0" w:num="4">
            <w:col w:w="1260" w:space="240"/>
            <w:col w:w="2640" w:space="100"/>
            <w:col w:w="4100" w:space="180"/>
            <w:col w:w="2720"/>
          </w:cols>
          <w:pgMar w:left="320" w:top="111" w:right="339" w:bottom="0" w:gutter="0" w:footer="0" w:header="0"/>
          <w:type w:val="continuous"/>
        </w:sectPr>
      </w:pPr>
    </w:p>
    <w:bookmarkStart w:id="2" w:name="page3"/>
    <w:bookmarkEnd w:id="2"/>
    <w:p>
      <w:pPr>
        <w:ind w:left="4240"/>
        <w:spacing w:after="0"/>
        <w:rPr>
          <w:sz w:val="20"/>
          <w:szCs w:val="20"/>
          <w:color w:val="auto"/>
        </w:rPr>
      </w:pPr>
      <w:r>
        <w:rPr>
          <w:rFonts w:ascii="Times New Roman" w:cs="Times New Roman" w:eastAsia="Times New Roman" w:hAnsi="Times New Roman"/>
          <w:sz w:val="22"/>
          <w:szCs w:val="22"/>
          <w:color w:val="auto"/>
        </w:rPr>
        <w:t>reinvestment in</w:t>
      </w:r>
    </w:p>
    <w:p>
      <w:pPr>
        <w:spacing w:after="0" w:line="1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KARO</w:t>
      </w:r>
    </w:p>
    <w:p>
      <w:pPr>
        <w:spacing w:after="0" w:line="26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11" w:right="339" w:bottom="11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IJ Calisto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 Harbourfront Avenue,</w:t>
      </w:r>
    </w:p>
    <w:p>
      <w:pPr>
        <w:ind w:left="40"/>
        <w:spacing w:after="0" w:line="230" w:lineRule="auto"/>
        <w:rPr>
          <w:sz w:val="20"/>
          <w:szCs w:val="20"/>
          <w:color w:val="auto"/>
        </w:rPr>
      </w:pPr>
      <w:r>
        <w:rPr>
          <w:rFonts w:ascii="Times New Roman" w:cs="Times New Roman" w:eastAsia="Times New Roman" w:hAnsi="Times New Roman"/>
          <w:sz w:val="22"/>
          <w:szCs w:val="22"/>
          <w:color w:val="auto"/>
        </w:rPr>
        <w:t>Keppel Bay Tower, #14-07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Singapore  U0  098632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08/12/2024 67081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2347968.00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08/13/2024 921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32286.00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08/14/2024 34933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1244413.00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08/15/2024 5964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222815.00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08/16/2024 840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31509.00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08/19/2024 1400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51920.00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08/21/2024 50608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1839740.00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08/22/2024 988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38023.00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08/23/2024 144889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4953127.00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111" w:right="339" w:bottom="119"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19" w:gutter="0" w:footer="0" w:header="0"/>
          <w:type w:val="continuous"/>
        </w:sectPr>
      </w:pPr>
    </w:p>
    <w:p>
      <w:pPr>
        <w:spacing w:after="0" w:line="353" w:lineRule="exact"/>
        <w:rPr>
          <w:sz w:val="20"/>
          <w:szCs w:val="20"/>
          <w:color w:val="auto"/>
        </w:rPr>
      </w:pPr>
    </w:p>
    <w:p>
      <w:pPr>
        <w:ind w:left="40" w:right="140"/>
        <w:spacing w:after="0" w:line="278" w:lineRule="auto"/>
        <w:rPr>
          <w:sz w:val="20"/>
          <w:szCs w:val="20"/>
          <w:color w:val="auto"/>
        </w:rPr>
      </w:pPr>
      <w:r>
        <w:rPr>
          <w:rFonts w:ascii="Times New Roman" w:cs="Times New Roman" w:eastAsia="Times New Roman" w:hAnsi="Times New Roman"/>
          <w:sz w:val="22"/>
          <w:szCs w:val="22"/>
          <w:color w:val="auto"/>
        </w:rPr>
        <w:t>Remarks These shares were sold through DBS Bank Limited, as broker, between the dates of 08/12/2024 and 08/23/2024. Date of Notice 11/13/2024</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111" w:right="339" w:bottom="119" w:gutter="0" w:footer="0" w:header="0"/>
          <w:type w:val="continuous"/>
        </w:sectPr>
      </w:pPr>
    </w:p>
    <w:bookmarkStart w:id="3" w:name="page4"/>
    <w:bookmarkEnd w:id="3"/>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Isaias Jose Calisto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2024-11-13T14:53:16Z</dcterms:created>
  <dcterms:modified xsi:type="dcterms:W3CDTF">2024-11-13T14:53:16Z</dcterms:modified>
</cp:coreProperties>
</file>