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6026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133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44450</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20-F</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22" w:lineRule="exact"/>
        <w:rPr>
          <w:sz w:val="24"/>
          <w:szCs w:val="24"/>
          <w:color w:val="auto"/>
        </w:rPr>
      </w:pPr>
    </w:p>
    <w:p>
      <w:pPr>
        <w:ind w:left="1840" w:hanging="174"/>
        <w:spacing w:after="0"/>
        <w:tabs>
          <w:tab w:leader="none" w:pos="18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171" w:lineRule="exact"/>
        <w:rPr>
          <w:rFonts w:ascii="MS PGothic" w:cs="MS PGothic" w:eastAsia="MS PGothic" w:hAnsi="MS PGothic"/>
          <w:sz w:val="14"/>
          <w:szCs w:val="14"/>
          <w:color w:val="auto"/>
        </w:rPr>
      </w:pP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80" w:lineRule="exact"/>
        <w:rPr>
          <w:rFonts w:ascii="MS PGothic" w:cs="MS PGothic" w:eastAsia="MS PGothic" w:hAnsi="MS PGothic"/>
          <w:sz w:val="14"/>
          <w:szCs w:val="14"/>
          <w:color w:val="auto"/>
        </w:rPr>
      </w:pPr>
    </w:p>
    <w:p>
      <w:pPr>
        <w:ind w:left="2240" w:hanging="174"/>
        <w:spacing w:after="0"/>
        <w:tabs>
          <w:tab w:leader="none" w:pos="224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financial year ended February 28, 2025</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3" w:lineRule="exact"/>
        <w:rPr>
          <w:sz w:val="24"/>
          <w:szCs w:val="24"/>
          <w:color w:val="auto"/>
        </w:rPr>
      </w:pPr>
    </w:p>
    <w:p>
      <w:pPr>
        <w:jc w:val="center"/>
        <w:ind w:left="4040" w:right="1920" w:hanging="2121"/>
        <w:spacing w:after="0" w:line="512" w:lineRule="auto"/>
        <w:tabs>
          <w:tab w:leader="none" w:pos="209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4"/>
          <w:szCs w:val="14"/>
          <w:color w:val="auto"/>
        </w:rPr>
        <w:t>________</w:t>
      </w:r>
      <w:r>
        <w:rPr>
          <w:rFonts w:ascii="Times New Roman" w:cs="Times New Roman" w:eastAsia="Times New Roman" w:hAnsi="Times New Roman"/>
          <w:sz w:val="14"/>
          <w:szCs w:val="14"/>
          <w:b w:val="1"/>
          <w:bCs w:val="1"/>
          <w:color w:val="auto"/>
        </w:rPr>
        <w:t xml:space="preserve">to </w:t>
      </w:r>
      <w:r>
        <w:rPr>
          <w:rFonts w:ascii="Times New Roman" w:cs="Times New Roman" w:eastAsia="Times New Roman" w:hAnsi="Times New Roman"/>
          <w:sz w:val="14"/>
          <w:szCs w:val="14"/>
          <w:color w:val="auto"/>
        </w:rPr>
        <w:t>________</w:t>
      </w:r>
      <w:r>
        <w:rPr>
          <w:rFonts w:ascii="Times New Roman" w:cs="Times New Roman" w:eastAsia="Times New Roman" w:hAnsi="Times New Roman"/>
          <w:sz w:val="14"/>
          <w:szCs w:val="14"/>
          <w:b w:val="1"/>
          <w:bCs w:val="1"/>
          <w:color w:val="auto"/>
        </w:rPr>
        <w:t>.</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3" w:lineRule="exact"/>
        <w:rPr>
          <w:sz w:val="24"/>
          <w:szCs w:val="24"/>
          <w:color w:val="auto"/>
        </w:rPr>
      </w:pPr>
    </w:p>
    <w:p>
      <w:pPr>
        <w:jc w:val="center"/>
        <w:ind w:left="3800" w:right="1740" w:hanging="2052"/>
        <w:spacing w:after="0" w:line="512" w:lineRule="auto"/>
        <w:tabs>
          <w:tab w:leader="none" w:pos="191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SHELL COMPANY REPORT PURSUANT TO SECTION 13 OR 15(d) OF THE SECURITIES EXCHANGE ACT OF 1934 Date of event requiring this shell company report </w:t>
      </w:r>
      <w:r>
        <w:rPr>
          <w:rFonts w:ascii="Times New Roman" w:cs="Times New Roman" w:eastAsia="Times New Roman" w:hAnsi="Times New Roman"/>
          <w:sz w:val="14"/>
          <w:szCs w:val="14"/>
          <w:color w:val="auto"/>
        </w:rPr>
        <w:t>_________</w:t>
      </w:r>
    </w:p>
    <w:p>
      <w:pPr>
        <w:ind w:left="4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number: 001-40300</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KAROOOOO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Harbourfront Avenue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Keppel Bay Tower #14-07</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Singapore 098632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Hoe Shin Goy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Group Chief Financial Officer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17 Kallang Junction #06-05/06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Singapore 339274</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Phone: +65 6255 4151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Email: ir@karooooo.com</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3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2"/>
        </w:trPr>
        <w:tc>
          <w:tcPr>
            <w:tcW w:w="3200" w:type="dxa"/>
            <w:vAlign w:val="bottom"/>
            <w:tcBorders>
              <w:top w:val="single" w:sz="8" w:color="auto"/>
            </w:tcBorders>
            <w:shd w:val="clear" w:color="auto" w:fill="CCEDFF"/>
          </w:tcPr>
          <w:p>
            <w:pPr>
              <w:jc w:val="center"/>
              <w:ind w:left="348"/>
              <w:spacing w:after="0"/>
              <w:rPr>
                <w:sz w:val="20"/>
                <w:szCs w:val="20"/>
                <w:color w:val="auto"/>
              </w:rPr>
            </w:pPr>
            <w:r>
              <w:rPr>
                <w:rFonts w:ascii="Times New Roman" w:cs="Times New Roman" w:eastAsia="Times New Roman" w:hAnsi="Times New Roman"/>
                <w:sz w:val="14"/>
                <w:szCs w:val="14"/>
                <w:color w:val="auto"/>
              </w:rPr>
              <w:t>Ordinary shares, no par value per share</w:t>
            </w:r>
          </w:p>
        </w:tc>
        <w:tc>
          <w:tcPr>
            <w:tcW w:w="420" w:type="dxa"/>
            <w:vAlign w:val="bottom"/>
            <w:tcBorders>
              <w:top w:val="single" w:sz="8" w:color="auto"/>
            </w:tcBorders>
            <w:shd w:val="clear" w:color="auto" w:fill="CCEDFF"/>
          </w:tcPr>
          <w:p>
            <w:pPr>
              <w:spacing w:after="0"/>
              <w:rPr>
                <w:sz w:val="14"/>
                <w:szCs w:val="14"/>
                <w:color w:val="auto"/>
              </w:rPr>
            </w:pPr>
          </w:p>
        </w:tc>
        <w:tc>
          <w:tcPr>
            <w:tcW w:w="220" w:type="dxa"/>
            <w:vAlign w:val="bottom"/>
            <w:tcBorders>
              <w:top w:val="single" w:sz="8" w:color="CCEDFF"/>
            </w:tcBorders>
            <w:shd w:val="clear" w:color="auto" w:fill="CCEDFF"/>
          </w:tcPr>
          <w:p>
            <w:pPr>
              <w:spacing w:after="0"/>
              <w:rPr>
                <w:sz w:val="14"/>
                <w:szCs w:val="14"/>
                <w:color w:val="auto"/>
              </w:rPr>
            </w:pPr>
          </w:p>
        </w:tc>
        <w:tc>
          <w:tcPr>
            <w:tcW w:w="36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KARO</w:t>
            </w:r>
          </w:p>
        </w:tc>
        <w:tc>
          <w:tcPr>
            <w:tcW w:w="240" w:type="dxa"/>
            <w:vAlign w:val="bottom"/>
            <w:tcBorders>
              <w:top w:val="single" w:sz="8" w:color="CCEDFF"/>
            </w:tcBorders>
            <w:shd w:val="clear" w:color="auto" w:fill="CCEDFF"/>
          </w:tcPr>
          <w:p>
            <w:pPr>
              <w:spacing w:after="0"/>
              <w:rPr>
                <w:sz w:val="14"/>
                <w:szCs w:val="14"/>
                <w:color w:val="auto"/>
              </w:rPr>
            </w:pPr>
          </w:p>
        </w:tc>
        <w:tc>
          <w:tcPr>
            <w:tcW w:w="300" w:type="dxa"/>
            <w:vAlign w:val="bottom"/>
            <w:tcBorders>
              <w:top w:val="single" w:sz="8" w:color="auto"/>
            </w:tcBorders>
            <w:shd w:val="clear" w:color="auto" w:fill="CCEDFF"/>
          </w:tcPr>
          <w:p>
            <w:pPr>
              <w:spacing w:after="0"/>
              <w:rPr>
                <w:sz w:val="14"/>
                <w:szCs w:val="14"/>
                <w:color w:val="auto"/>
              </w:rPr>
            </w:pPr>
          </w:p>
        </w:tc>
        <w:tc>
          <w:tcPr>
            <w:tcW w:w="3300" w:type="dxa"/>
            <w:vAlign w:val="bottom"/>
            <w:tcBorders>
              <w:top w:val="single" w:sz="8" w:color="auto"/>
            </w:tcBorders>
            <w:shd w:val="clear" w:color="auto" w:fill="CCEDFF"/>
          </w:tcPr>
          <w:p>
            <w:pPr>
              <w:jc w:val="center"/>
              <w:ind w:right="228"/>
              <w:spacing w:after="0"/>
              <w:rPr>
                <w:sz w:val="20"/>
                <w:szCs w:val="20"/>
                <w:color w:val="auto"/>
              </w:rPr>
            </w:pPr>
            <w:r>
              <w:rPr>
                <w:rFonts w:ascii="Times New Roman" w:cs="Times New Roman" w:eastAsia="Times New Roman" w:hAnsi="Times New Roman"/>
                <w:sz w:val="14"/>
                <w:szCs w:val="14"/>
                <w:color w:val="auto"/>
              </w:rPr>
              <w:t>The Nasdaq Capital Market</w:t>
            </w:r>
          </w:p>
        </w:tc>
      </w:tr>
      <w:tr>
        <w:trPr>
          <w:trHeight w:val="343"/>
        </w:trPr>
        <w:tc>
          <w:tcPr>
            <w:tcW w:w="3200" w:type="dxa"/>
            <w:vAlign w:val="bottom"/>
          </w:tcPr>
          <w:p>
            <w:pPr>
              <w:spacing w:after="0"/>
              <w:rPr>
                <w:sz w:val="24"/>
                <w:szCs w:val="24"/>
                <w:color w:val="auto"/>
              </w:rPr>
            </w:pPr>
          </w:p>
        </w:tc>
        <w:tc>
          <w:tcPr>
            <w:tcW w:w="478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tc>
        <w:tc>
          <w:tcPr>
            <w:tcW w:w="3300" w:type="dxa"/>
            <w:vAlign w:val="bottom"/>
          </w:tcPr>
          <w:p>
            <w:pPr>
              <w:spacing w:after="0"/>
              <w:rPr>
                <w:sz w:val="24"/>
                <w:szCs w:val="24"/>
                <w:color w:val="auto"/>
              </w:rPr>
            </w:pPr>
          </w:p>
        </w:tc>
      </w:tr>
      <w:tr>
        <w:trPr>
          <w:trHeight w:val="328"/>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300" w:type="dxa"/>
            <w:vAlign w:val="bottom"/>
          </w:tcPr>
          <w:p>
            <w:pPr>
              <w:spacing w:after="0"/>
              <w:rPr>
                <w:sz w:val="24"/>
                <w:szCs w:val="24"/>
                <w:color w:val="auto"/>
              </w:rPr>
            </w:pPr>
          </w:p>
        </w:tc>
      </w:tr>
      <w:tr>
        <w:trPr>
          <w:trHeight w:val="188"/>
        </w:trPr>
        <w:tc>
          <w:tcPr>
            <w:tcW w:w="3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300" w:type="dxa"/>
            <w:vAlign w:val="bottom"/>
          </w:tcPr>
          <w:p>
            <w:pPr>
              <w:spacing w:after="0"/>
              <w:rPr>
                <w:sz w:val="16"/>
                <w:szCs w:val="16"/>
                <w:color w:val="auto"/>
              </w:rPr>
            </w:pPr>
          </w:p>
        </w:tc>
      </w:tr>
    </w:tbl>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81" w:right="319" w:bottom="1440" w:gutter="0" w:footer="0" w:header="0"/>
        </w:sectPr>
      </w:pPr>
    </w:p>
    <w:bookmarkStart w:id="1" w:name="page2"/>
    <w:bookmarkEnd w:id="1"/>
    <w:p>
      <w:pPr>
        <w:jc w:val="center"/>
        <w:ind w:right="2240"/>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at the close of the period covered by the annual report.</w:t>
      </w:r>
    </w:p>
    <w:p>
      <w:pPr>
        <w:spacing w:after="0" w:line="18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color w:val="auto"/>
        </w:rPr>
        <w:t>30,893,300 shares of Common Stock as at February 28,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51"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51"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days.1</w:t>
      </w:r>
    </w:p>
    <w:p>
      <w:pPr>
        <w:spacing w:after="0" w:line="92"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92"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92" w:lineRule="exact"/>
        <w:rPr>
          <w:sz w:val="20"/>
          <w:szCs w:val="20"/>
          <w:color w:val="auto"/>
        </w:rPr>
      </w:pPr>
    </w:p>
    <w:p>
      <w:pPr>
        <w:spacing w:after="0" w:line="161" w:lineRule="exact"/>
        <w:tabs>
          <w:tab w:leader="none" w:pos="2820" w:val="left"/>
          <w:tab w:leader="none" w:pos="5640" w:val="left"/>
          <w:tab w:leader="none" w:pos="84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4" w:lineRule="exact"/>
        <w:rPr>
          <w:sz w:val="20"/>
          <w:szCs w:val="20"/>
          <w:color w:val="auto"/>
        </w:rPr>
      </w:pPr>
    </w:p>
    <w:p>
      <w:pPr>
        <w:ind w:left="260" w:right="160" w:hanging="254"/>
        <w:spacing w:after="0" w:line="266" w:lineRule="auto"/>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33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92"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line="19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83" w:lineRule="exact"/>
        <w:rPr>
          <w:sz w:val="20"/>
          <w:szCs w:val="20"/>
          <w:color w:val="auto"/>
        </w:rPr>
      </w:pPr>
    </w:p>
    <w:p>
      <w:pPr>
        <w:ind w:left="260" w:hanging="254"/>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U.S. GAAP</w:t>
      </w:r>
    </w:p>
    <w:p>
      <w:pPr>
        <w:spacing w:after="0" w:line="183" w:lineRule="exact"/>
        <w:rPr>
          <w:sz w:val="20"/>
          <w:szCs w:val="20"/>
          <w:color w:val="auto"/>
        </w:rPr>
      </w:pPr>
    </w:p>
    <w:p>
      <w:pPr>
        <w:ind w:left="180" w:hanging="174"/>
        <w:spacing w:after="0"/>
        <w:tabs>
          <w:tab w:leader="none" w:pos="1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International Financial Reporting Standards as issued by the International Accounting Standards Board</w:t>
      </w:r>
    </w:p>
    <w:p>
      <w:pPr>
        <w:spacing w:after="0" w:line="183" w:lineRule="exact"/>
        <w:rPr>
          <w:sz w:val="20"/>
          <w:szCs w:val="20"/>
          <w:color w:val="auto"/>
        </w:rPr>
      </w:pPr>
    </w:p>
    <w:p>
      <w:pPr>
        <w:ind w:left="260" w:hanging="254"/>
        <w:spacing w:after="0"/>
        <w:tabs>
          <w:tab w:leader="none" w:pos="260" w:val="left"/>
        </w:tabs>
        <w:numPr>
          <w:ilvl w:val="0"/>
          <w:numId w:val="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151" w:lineRule="exact"/>
        <w:rPr>
          <w:sz w:val="20"/>
          <w:szCs w:val="20"/>
          <w:color w:val="auto"/>
        </w:rPr>
      </w:pPr>
    </w:p>
    <w:p>
      <w:pPr>
        <w:ind w:left="5180" w:hanging="160"/>
        <w:spacing w:after="0" w:line="161" w:lineRule="exact"/>
        <w:tabs>
          <w:tab w:leader="none" w:pos="51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51"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60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165735</wp:posOffset>
            </wp:positionV>
            <wp:extent cx="716026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288290</wp:posOffset>
            </wp:positionV>
            <wp:extent cx="716026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ANNUAL REPORT</w:t>
            </w:r>
          </w:p>
        </w:tc>
        <w:tc>
          <w:tcPr>
            <w:tcW w:w="1120" w:type="dxa"/>
            <w:vAlign w:val="bottom"/>
          </w:tcPr>
          <w:p>
            <w:pPr>
              <w:spacing w:after="0"/>
              <w:rPr>
                <w:sz w:val="14"/>
                <w:szCs w:val="14"/>
                <w:color w:val="auto"/>
              </w:rPr>
            </w:pPr>
          </w:p>
        </w:tc>
      </w:tr>
      <w:tr>
        <w:trPr>
          <w:trHeight w:val="186"/>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TABLE OF CONTENTS</w:t>
            </w:r>
          </w:p>
        </w:tc>
        <w:tc>
          <w:tcPr>
            <w:tcW w:w="1120" w:type="dxa"/>
            <w:vAlign w:val="bottom"/>
          </w:tcPr>
          <w:p>
            <w:pPr>
              <w:spacing w:after="0"/>
              <w:rPr>
                <w:sz w:val="16"/>
                <w:szCs w:val="16"/>
                <w:color w:val="auto"/>
              </w:rPr>
            </w:pPr>
          </w:p>
        </w:tc>
      </w:tr>
      <w:tr>
        <w:trPr>
          <w:trHeight w:val="346"/>
        </w:trPr>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3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29"/>
        </w:trPr>
        <w:tc>
          <w:tcPr>
            <w:tcW w:w="10160" w:type="dxa"/>
            <w:vAlign w:val="bottom"/>
            <w:gridSpan w:val="30"/>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EE"/>
              </w:rPr>
              <w:t>INTRODUCTION</w:t>
            </w:r>
          </w:p>
        </w:tc>
        <w:tc>
          <w:tcPr>
            <w:tcW w:w="1120" w:type="dxa"/>
            <w:vAlign w:val="bottom"/>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ii</w:t>
            </w:r>
          </w:p>
        </w:tc>
      </w:tr>
      <w:tr>
        <w:trPr>
          <w:trHeight w:val="23"/>
        </w:trPr>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iii</w:t>
            </w:r>
          </w:p>
        </w:tc>
      </w:tr>
      <w:tr>
        <w:trPr>
          <w:trHeight w:val="178"/>
        </w:trPr>
        <w:tc>
          <w:tcPr>
            <w:tcW w:w="4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right w:val="single" w:sz="8" w:color="CCEEFF"/>
            </w:tcBorders>
            <w:shd w:val="clear" w:color="auto" w:fill="CCEEFF"/>
          </w:tcPr>
          <w:p>
            <w:pPr>
              <w:spacing w:after="0"/>
              <w:rPr>
                <w:sz w:val="15"/>
                <w:szCs w:val="15"/>
                <w:color w:val="auto"/>
              </w:rPr>
            </w:pPr>
          </w:p>
        </w:tc>
        <w:tc>
          <w:tcPr>
            <w:tcW w:w="500" w:type="dxa"/>
            <w:vAlign w:val="bottom"/>
            <w:tcBorders>
              <w:top w:val="single" w:sz="8" w:color="0000EE"/>
            </w:tcBorders>
            <w:shd w:val="clear" w:color="auto" w:fill="CCEEFF"/>
          </w:tcPr>
          <w:p>
            <w:pPr>
              <w:spacing w:after="0"/>
              <w:rPr>
                <w:sz w:val="15"/>
                <w:szCs w:val="15"/>
                <w:color w:val="auto"/>
              </w:rPr>
            </w:pPr>
          </w:p>
        </w:tc>
        <w:tc>
          <w:tcPr>
            <w:tcW w:w="38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right w:val="single" w:sz="8" w:color="CCEEFF"/>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right w:val="single" w:sz="8" w:color="CCEEFF"/>
            </w:tcBorders>
            <w:shd w:val="clear" w:color="auto" w:fill="CCEEFF"/>
          </w:tcPr>
          <w:p>
            <w:pPr>
              <w:spacing w:after="0"/>
              <w:rPr>
                <w:sz w:val="15"/>
                <w:szCs w:val="15"/>
                <w:color w:val="auto"/>
              </w:rPr>
            </w:pPr>
          </w:p>
        </w:tc>
        <w:tc>
          <w:tcPr>
            <w:tcW w:w="480" w:type="dxa"/>
            <w:vAlign w:val="bottom"/>
            <w:tcBorders>
              <w:top w:val="single" w:sz="8" w:color="0000EE"/>
            </w:tcBorders>
            <w:shd w:val="clear" w:color="auto" w:fill="CCEEFF"/>
          </w:tcPr>
          <w:p>
            <w:pPr>
              <w:spacing w:after="0"/>
              <w:rPr>
                <w:sz w:val="15"/>
                <w:szCs w:val="15"/>
                <w:color w:val="auto"/>
              </w:rPr>
            </w:pPr>
          </w:p>
        </w:tc>
        <w:tc>
          <w:tcPr>
            <w:tcW w:w="32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36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PART I</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1</w:t>
            </w:r>
          </w:p>
        </w:tc>
      </w:tr>
      <w:tr>
        <w:trPr>
          <w:trHeight w:val="178"/>
        </w:trPr>
        <w:tc>
          <w:tcPr>
            <w:tcW w:w="440" w:type="dxa"/>
            <w:vAlign w:val="bottom"/>
            <w:tcBorders>
              <w:top w:val="single" w:sz="8" w:color="0000EE"/>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 IDENTITY OF DIRECTORS, SENIOR MANAGEMENT AND ADVISERS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1</w:t>
            </w:r>
          </w:p>
        </w:tc>
      </w:tr>
      <w:tr>
        <w:trPr>
          <w:trHeight w:val="158"/>
        </w:trPr>
        <w:tc>
          <w:tcPr>
            <w:tcW w:w="4900" w:type="dxa"/>
            <w:vAlign w:val="bottom"/>
            <w:tcBorders>
              <w:top w:val="single" w:sz="8" w:color="0000EE"/>
            </w:tcBorders>
            <w:gridSpan w:val="24"/>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2. OFFER STATISTICS AND EXPECTED TIMETABLE</w:t>
            </w:r>
          </w:p>
        </w:tc>
        <w:tc>
          <w:tcPr>
            <w:tcW w:w="5260" w:type="dxa"/>
            <w:vAlign w:val="bottom"/>
            <w:gridSpan w:val="6"/>
            <w:shd w:val="clear" w:color="auto" w:fill="CCEEFF"/>
          </w:tcPr>
          <w:p>
            <w:pPr>
              <w:spacing w:after="0"/>
              <w:rPr>
                <w:sz w:val="13"/>
                <w:szCs w:val="13"/>
                <w:color w:val="auto"/>
              </w:rPr>
            </w:pP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w:t>
            </w:r>
          </w:p>
        </w:tc>
      </w:tr>
      <w:tr>
        <w:trPr>
          <w:trHeight w:val="140"/>
        </w:trPr>
        <w:tc>
          <w:tcPr>
            <w:tcW w:w="3640" w:type="dxa"/>
            <w:vAlign w:val="bottom"/>
            <w:tcBorders>
              <w:top w:val="single" w:sz="8" w:color="0000EE"/>
            </w:tcBorders>
            <w:gridSpan w:val="15"/>
          </w:tcPr>
          <w:p>
            <w:pPr>
              <w:spacing w:after="0" w:line="140" w:lineRule="exact"/>
              <w:rPr>
                <w:sz w:val="20"/>
                <w:szCs w:val="20"/>
                <w:color w:val="auto"/>
              </w:rPr>
            </w:pPr>
            <w:r>
              <w:rPr>
                <w:rFonts w:ascii="Times New Roman" w:cs="Times New Roman" w:eastAsia="Times New Roman" w:hAnsi="Times New Roman"/>
                <w:sz w:val="14"/>
                <w:szCs w:val="14"/>
                <w:color w:val="0000EE"/>
              </w:rPr>
              <w:t>Item 3. KEY INFORMATION</w:t>
            </w:r>
          </w:p>
        </w:tc>
        <w:tc>
          <w:tcPr>
            <w:tcW w:w="6520" w:type="dxa"/>
            <w:vAlign w:val="bottom"/>
            <w:tcBorders>
              <w:top w:val="single" w:sz="8" w:color="CCEEFF"/>
            </w:tcBorders>
            <w:gridSpan w:val="15"/>
          </w:tcPr>
          <w:p>
            <w:pPr>
              <w:spacing w:after="0"/>
              <w:rPr>
                <w:sz w:val="12"/>
                <w:szCs w:val="12"/>
                <w:color w:val="auto"/>
              </w:rPr>
            </w:pPr>
          </w:p>
        </w:tc>
        <w:tc>
          <w:tcPr>
            <w:tcW w:w="1120" w:type="dxa"/>
            <w:vAlign w:val="bottom"/>
            <w:tcBorders>
              <w:top w:val="single" w:sz="8" w:color="CCEEFF"/>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1</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6"/>
        </w:trPr>
        <w:tc>
          <w:tcPr>
            <w:tcW w:w="10160" w:type="dxa"/>
            <w:vAlign w:val="bottom"/>
            <w:gridSpan w:val="3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4. INFORMATION ON THE COMPANY</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36</w:t>
            </w:r>
          </w:p>
        </w:tc>
      </w:tr>
      <w:tr>
        <w:trPr>
          <w:trHeight w:val="32"/>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6"/>
        </w:trPr>
        <w:tc>
          <w:tcPr>
            <w:tcW w:w="2840" w:type="dxa"/>
            <w:vAlign w:val="bottom"/>
            <w:tcBorders>
              <w:bottom w:val="single" w:sz="8" w:color="0000EE"/>
            </w:tcBorders>
            <w:gridSpan w:val="13"/>
          </w:tcPr>
          <w:p>
            <w:pPr>
              <w:spacing w:after="0" w:line="140" w:lineRule="exact"/>
              <w:rPr>
                <w:sz w:val="20"/>
                <w:szCs w:val="20"/>
                <w:color w:val="auto"/>
              </w:rPr>
            </w:pPr>
            <w:r>
              <w:rPr>
                <w:rFonts w:ascii="Times New Roman" w:cs="Times New Roman" w:eastAsia="Times New Roman" w:hAnsi="Times New Roman"/>
                <w:sz w:val="14"/>
                <w:szCs w:val="14"/>
                <w:color w:val="0000EE"/>
              </w:rPr>
              <w:t>Item 4A. UNRESOLVED STAFF COMMENTS</w:t>
            </w:r>
          </w:p>
        </w:tc>
        <w:tc>
          <w:tcPr>
            <w:tcW w:w="7320" w:type="dxa"/>
            <w:vAlign w:val="bottom"/>
            <w:gridSpan w:val="17"/>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51</w:t>
            </w:r>
          </w:p>
        </w:tc>
      </w:tr>
      <w:tr>
        <w:trPr>
          <w:trHeight w:val="158"/>
        </w:trPr>
        <w:tc>
          <w:tcPr>
            <w:tcW w:w="4160" w:type="dxa"/>
            <w:vAlign w:val="bottom"/>
            <w:tcBorders>
              <w:bottom w:val="single" w:sz="8" w:color="0000EE"/>
            </w:tcBorders>
            <w:gridSpan w:val="18"/>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5. OPERATING AND FINANCIAL REVIEW AND PROSPECTS</w:t>
            </w:r>
          </w:p>
        </w:tc>
        <w:tc>
          <w:tcPr>
            <w:tcW w:w="6000" w:type="dxa"/>
            <w:vAlign w:val="bottom"/>
            <w:tcBorders>
              <w:bottom w:val="single" w:sz="8" w:color="CCEEFF"/>
            </w:tcBorders>
            <w:gridSpan w:val="12"/>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52</w:t>
            </w:r>
          </w:p>
        </w:tc>
      </w:tr>
      <w:tr>
        <w:trPr>
          <w:trHeight w:val="140"/>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6. DIRECTORS, SENIOR MANAGEMENT AND EMPLOYEES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76</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8"/>
        </w:trPr>
        <w:tc>
          <w:tcPr>
            <w:tcW w:w="10160" w:type="dxa"/>
            <w:vAlign w:val="bottom"/>
            <w:gridSpan w:val="3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7. MAJOR SHAREHOLDERS AND RELATED PARTY TRANSACTIONS</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81</w:t>
            </w:r>
          </w:p>
        </w:tc>
      </w:tr>
      <w:tr>
        <w:trPr>
          <w:trHeight w:val="146"/>
        </w:trPr>
        <w:tc>
          <w:tcPr>
            <w:tcW w:w="4720" w:type="dxa"/>
            <w:vAlign w:val="bottom"/>
            <w:tcBorders>
              <w:top w:val="single" w:sz="8" w:color="0000EE"/>
            </w:tcBorders>
            <w:gridSpan w:val="22"/>
          </w:tcPr>
          <w:p>
            <w:pPr>
              <w:spacing w:after="0" w:line="140" w:lineRule="exact"/>
              <w:rPr>
                <w:sz w:val="20"/>
                <w:szCs w:val="20"/>
                <w:color w:val="auto"/>
              </w:rPr>
            </w:pPr>
            <w:r>
              <w:rPr>
                <w:rFonts w:ascii="Times New Roman" w:cs="Times New Roman" w:eastAsia="Times New Roman" w:hAnsi="Times New Roman"/>
                <w:sz w:val="14"/>
                <w:szCs w:val="14"/>
                <w:color w:val="0000EE"/>
              </w:rPr>
              <w:t>Item 8. FINANCIAL INFORMATION</w:t>
            </w:r>
          </w:p>
        </w:tc>
        <w:tc>
          <w:tcPr>
            <w:tcW w:w="5440" w:type="dxa"/>
            <w:vAlign w:val="bottom"/>
            <w:tcBorders>
              <w:top w:val="single" w:sz="8" w:color="CCEEFF"/>
            </w:tcBorders>
            <w:gridSpan w:val="8"/>
          </w:tcPr>
          <w:p>
            <w:pPr>
              <w:spacing w:after="0"/>
              <w:rPr>
                <w:sz w:val="12"/>
                <w:szCs w:val="12"/>
                <w:color w:val="auto"/>
              </w:rPr>
            </w:pPr>
          </w:p>
        </w:tc>
        <w:tc>
          <w:tcPr>
            <w:tcW w:w="1120" w:type="dxa"/>
            <w:vAlign w:val="bottom"/>
            <w:tcBorders>
              <w:top w:val="single" w:sz="8" w:color="CCEEFF"/>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84</w:t>
            </w:r>
          </w:p>
        </w:tc>
      </w:tr>
      <w:tr>
        <w:trPr>
          <w:trHeight w:val="146"/>
        </w:trPr>
        <w:tc>
          <w:tcPr>
            <w:tcW w:w="2240" w:type="dxa"/>
            <w:vAlign w:val="bottom"/>
            <w:tcBorders>
              <w:top w:val="single" w:sz="8" w:color="0000EE"/>
            </w:tcBorders>
            <w:gridSpan w:val="8"/>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9. THE OFFER AND LISTING</w:t>
            </w:r>
          </w:p>
        </w:tc>
        <w:tc>
          <w:tcPr>
            <w:tcW w:w="7920" w:type="dxa"/>
            <w:vAlign w:val="bottom"/>
            <w:gridSpan w:val="22"/>
            <w:shd w:val="clear" w:color="auto" w:fill="CCEEFF"/>
          </w:tcPr>
          <w:p>
            <w:pPr>
              <w:spacing w:after="0"/>
              <w:rPr>
                <w:sz w:val="12"/>
                <w:szCs w:val="12"/>
                <w:color w:val="auto"/>
              </w:rPr>
            </w:pP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85</w:t>
            </w:r>
          </w:p>
        </w:tc>
      </w:tr>
      <w:tr>
        <w:trPr>
          <w:trHeight w:val="32"/>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6"/>
        </w:trPr>
        <w:tc>
          <w:tcPr>
            <w:tcW w:w="2480" w:type="dxa"/>
            <w:vAlign w:val="bottom"/>
            <w:tcBorders>
              <w:bottom w:val="single" w:sz="8" w:color="0000EE"/>
            </w:tcBorders>
            <w:gridSpan w:val="10"/>
          </w:tcPr>
          <w:p>
            <w:pPr>
              <w:spacing w:after="0" w:line="140" w:lineRule="exact"/>
              <w:rPr>
                <w:sz w:val="20"/>
                <w:szCs w:val="20"/>
                <w:color w:val="auto"/>
              </w:rPr>
            </w:pPr>
            <w:r>
              <w:rPr>
                <w:rFonts w:ascii="Times New Roman" w:cs="Times New Roman" w:eastAsia="Times New Roman" w:hAnsi="Times New Roman"/>
                <w:sz w:val="14"/>
                <w:szCs w:val="14"/>
                <w:color w:val="0000EE"/>
              </w:rPr>
              <w:t>Item 10. ADDITIONAL INFORMATION</w:t>
            </w:r>
          </w:p>
        </w:tc>
        <w:tc>
          <w:tcPr>
            <w:tcW w:w="7680" w:type="dxa"/>
            <w:vAlign w:val="bottom"/>
            <w:gridSpan w:val="20"/>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86</w:t>
            </w:r>
          </w:p>
        </w:tc>
      </w:tr>
      <w:tr>
        <w:trPr>
          <w:trHeight w:val="158"/>
        </w:trPr>
        <w:tc>
          <w:tcPr>
            <w:tcW w:w="5320" w:type="dxa"/>
            <w:vAlign w:val="bottom"/>
            <w:tcBorders>
              <w:bottom w:val="single" w:sz="8" w:color="0000EE"/>
            </w:tcBorders>
            <w:gridSpan w:val="2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11. QUANTITATIVE AND QUALITATIVE DISCLOSURE ABOUT MARKET RISK</w:t>
            </w:r>
          </w:p>
        </w:tc>
        <w:tc>
          <w:tcPr>
            <w:tcW w:w="4840" w:type="dxa"/>
            <w:vAlign w:val="bottom"/>
            <w:tcBorders>
              <w:bottom w:val="single" w:sz="8" w:color="CCEEFF"/>
            </w:tcBorders>
            <w:gridSpan w:val="5"/>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95</w:t>
            </w: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12. DESCRIPTION OF SECURITIES OTHER THAN EQUITY SECURITIES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96</w:t>
            </w:r>
          </w:p>
        </w:tc>
      </w:tr>
      <w:tr>
        <w:trPr>
          <w:trHeight w:val="178"/>
        </w:trPr>
        <w:tc>
          <w:tcPr>
            <w:tcW w:w="4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right w:val="single" w:sz="8" w:color="CCEEFF"/>
            </w:tcBorders>
            <w:shd w:val="clear" w:color="auto" w:fill="CCEEFF"/>
          </w:tcPr>
          <w:p>
            <w:pPr>
              <w:spacing w:after="0"/>
              <w:rPr>
                <w:sz w:val="15"/>
                <w:szCs w:val="15"/>
                <w:color w:val="auto"/>
              </w:rPr>
            </w:pPr>
          </w:p>
        </w:tc>
        <w:tc>
          <w:tcPr>
            <w:tcW w:w="500" w:type="dxa"/>
            <w:vAlign w:val="bottom"/>
            <w:tcBorders>
              <w:top w:val="single" w:sz="8" w:color="0000EE"/>
            </w:tcBorders>
            <w:shd w:val="clear" w:color="auto" w:fill="CCEEFF"/>
          </w:tcPr>
          <w:p>
            <w:pPr>
              <w:spacing w:after="0"/>
              <w:rPr>
                <w:sz w:val="15"/>
                <w:szCs w:val="15"/>
                <w:color w:val="auto"/>
              </w:rPr>
            </w:pPr>
          </w:p>
        </w:tc>
        <w:tc>
          <w:tcPr>
            <w:tcW w:w="38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right w:val="single" w:sz="8" w:color="CCEEFF"/>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right w:val="single" w:sz="8" w:color="CCEEFF"/>
            </w:tcBorders>
            <w:shd w:val="clear" w:color="auto" w:fill="CCEEFF"/>
          </w:tcPr>
          <w:p>
            <w:pPr>
              <w:spacing w:after="0"/>
              <w:rPr>
                <w:sz w:val="15"/>
                <w:szCs w:val="15"/>
                <w:color w:val="auto"/>
              </w:rPr>
            </w:pPr>
          </w:p>
        </w:tc>
        <w:tc>
          <w:tcPr>
            <w:tcW w:w="480" w:type="dxa"/>
            <w:vAlign w:val="bottom"/>
            <w:tcBorders>
              <w:top w:val="single" w:sz="8" w:color="0000EE"/>
            </w:tcBorders>
            <w:shd w:val="clear" w:color="auto" w:fill="CCEEFF"/>
          </w:tcPr>
          <w:p>
            <w:pPr>
              <w:spacing w:after="0"/>
              <w:rPr>
                <w:sz w:val="15"/>
                <w:szCs w:val="15"/>
                <w:color w:val="auto"/>
              </w:rPr>
            </w:pPr>
          </w:p>
        </w:tc>
        <w:tc>
          <w:tcPr>
            <w:tcW w:w="32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36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PART II</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97</w:t>
            </w:r>
          </w:p>
        </w:tc>
      </w:tr>
      <w:tr>
        <w:trPr>
          <w:trHeight w:val="178"/>
        </w:trPr>
        <w:tc>
          <w:tcPr>
            <w:tcW w:w="4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40"/>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13. DEFAULTS, DIVIDEND ARREARAGES AND DELINQUENCIES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97</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8"/>
        </w:trPr>
        <w:tc>
          <w:tcPr>
            <w:tcW w:w="6780" w:type="dxa"/>
            <w:vAlign w:val="bottom"/>
            <w:tcBorders>
              <w:bottom w:val="single" w:sz="8" w:color="0000EE"/>
            </w:tcBorders>
            <w:gridSpan w:val="2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14. MATERIAL MODIFICATIONS TO THE RIGHTS OF SECURITY HOLDERS AND USE OF PROCEEDS</w:t>
            </w:r>
          </w:p>
        </w:tc>
        <w:tc>
          <w:tcPr>
            <w:tcW w:w="33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97</w:t>
            </w: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15. CONTROLS AND PROCEDURES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97</w:t>
            </w:r>
          </w:p>
        </w:tc>
      </w:tr>
      <w:tr>
        <w:trPr>
          <w:trHeight w:val="146"/>
        </w:trPr>
        <w:tc>
          <w:tcPr>
            <w:tcW w:w="2580" w:type="dxa"/>
            <w:vAlign w:val="bottom"/>
            <w:tcBorders>
              <w:top w:val="single" w:sz="8" w:color="0000EE"/>
            </w:tcBorders>
            <w:gridSpan w:val="11"/>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 RESERVED</w:t>
            </w:r>
          </w:p>
        </w:tc>
        <w:tc>
          <w:tcPr>
            <w:tcW w:w="7580" w:type="dxa"/>
            <w:vAlign w:val="bottom"/>
            <w:gridSpan w:val="19"/>
            <w:shd w:val="clear" w:color="auto" w:fill="CCEEFF"/>
          </w:tcPr>
          <w:p>
            <w:pPr>
              <w:spacing w:after="0"/>
              <w:rPr>
                <w:sz w:val="12"/>
                <w:szCs w:val="12"/>
                <w:color w:val="auto"/>
              </w:rPr>
            </w:pP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98</w:t>
            </w:r>
          </w:p>
        </w:tc>
      </w:tr>
      <w:tr>
        <w:trPr>
          <w:trHeight w:val="32"/>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16A. AUDIT COMMITTEE FINANCIAL EXPERT</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98</w:t>
            </w:r>
          </w:p>
        </w:tc>
      </w:tr>
      <w:tr>
        <w:trPr>
          <w:trHeight w:val="158"/>
        </w:trPr>
        <w:tc>
          <w:tcPr>
            <w:tcW w:w="1760" w:type="dxa"/>
            <w:vAlign w:val="bottom"/>
            <w:tcBorders>
              <w:top w:val="single" w:sz="8" w:color="0000EE"/>
              <w:bottom w:val="single" w:sz="8" w:color="0000EE"/>
            </w:tcBorders>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16B. CODE OF ETHICS</w:t>
            </w:r>
          </w:p>
        </w:tc>
        <w:tc>
          <w:tcPr>
            <w:tcW w:w="1560" w:type="dxa"/>
            <w:vAlign w:val="bottom"/>
            <w:tcBorders>
              <w:top w:val="single" w:sz="8" w:color="0000EE"/>
              <w:bottom w:val="single" w:sz="8" w:color="CCEEFF"/>
            </w:tcBorders>
            <w:gridSpan w:val="8"/>
            <w:shd w:val="clear" w:color="auto" w:fill="CCEEFF"/>
          </w:tcPr>
          <w:p>
            <w:pPr>
              <w:spacing w:after="0"/>
              <w:rPr>
                <w:sz w:val="13"/>
                <w:szCs w:val="13"/>
                <w:color w:val="auto"/>
              </w:rPr>
            </w:pPr>
          </w:p>
        </w:tc>
        <w:tc>
          <w:tcPr>
            <w:tcW w:w="6840" w:type="dxa"/>
            <w:vAlign w:val="bottom"/>
            <w:tcBorders>
              <w:bottom w:val="single" w:sz="8" w:color="CCEEFF"/>
            </w:tcBorders>
            <w:gridSpan w:val="16"/>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98</w:t>
            </w:r>
          </w:p>
        </w:tc>
      </w:tr>
      <w:tr>
        <w:trPr>
          <w:trHeight w:val="140"/>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16C. PRINCIPAL ACCOUNTANT FEES AND SERVICES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99</w:t>
            </w:r>
          </w:p>
        </w:tc>
      </w:tr>
      <w:tr>
        <w:trPr>
          <w:trHeight w:val="26"/>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6"/>
        </w:trPr>
        <w:tc>
          <w:tcPr>
            <w:tcW w:w="10160" w:type="dxa"/>
            <w:vAlign w:val="bottom"/>
            <w:gridSpan w:val="3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16D. EXEMPTIONS FROM THE LISTING STANDARDS FOR AUDIT COMMITTEES</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99</w:t>
            </w:r>
          </w:p>
        </w:tc>
      </w:tr>
      <w:tr>
        <w:trPr>
          <w:trHeight w:val="32"/>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6"/>
        </w:trPr>
        <w:tc>
          <w:tcPr>
            <w:tcW w:w="6300" w:type="dxa"/>
            <w:vAlign w:val="bottom"/>
            <w:tcBorders>
              <w:bottom w:val="single" w:sz="8" w:color="0000EE"/>
            </w:tcBorders>
            <w:gridSpan w:val="28"/>
          </w:tcPr>
          <w:p>
            <w:pPr>
              <w:spacing w:after="0" w:line="140" w:lineRule="exact"/>
              <w:rPr>
                <w:sz w:val="20"/>
                <w:szCs w:val="20"/>
                <w:color w:val="auto"/>
              </w:rPr>
            </w:pPr>
            <w:r>
              <w:rPr>
                <w:rFonts w:ascii="Times New Roman" w:cs="Times New Roman" w:eastAsia="Times New Roman" w:hAnsi="Times New Roman"/>
                <w:sz w:val="14"/>
                <w:szCs w:val="14"/>
                <w:color w:val="0000EE"/>
              </w:rPr>
              <w:t>Item 16E. PURCHASES OF EQUITY SECURITIES BY THE ISSUER AND AFFILIATED PURCHASERS</w:t>
            </w:r>
          </w:p>
        </w:tc>
        <w:tc>
          <w:tcPr>
            <w:tcW w:w="3860" w:type="dxa"/>
            <w:vAlign w:val="bottom"/>
            <w:gridSpan w:val="2"/>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99</w:t>
            </w:r>
          </w:p>
        </w:tc>
      </w:tr>
      <w:tr>
        <w:trPr>
          <w:trHeight w:val="158"/>
        </w:trPr>
        <w:tc>
          <w:tcPr>
            <w:tcW w:w="4320" w:type="dxa"/>
            <w:vAlign w:val="bottom"/>
            <w:tcBorders>
              <w:bottom w:val="single" w:sz="8" w:color="0000EE"/>
            </w:tcBorders>
            <w:gridSpan w:val="2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16F. CHANGE IN REGISTRANT’S CERTIFYING ACCOUNTANT</w:t>
            </w:r>
          </w:p>
        </w:tc>
        <w:tc>
          <w:tcPr>
            <w:tcW w:w="5840" w:type="dxa"/>
            <w:vAlign w:val="bottom"/>
            <w:tcBorders>
              <w:bottom w:val="single" w:sz="8" w:color="CCEEFF"/>
            </w:tcBorders>
            <w:gridSpan w:val="10"/>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100</w:t>
            </w:r>
          </w:p>
        </w:tc>
      </w:tr>
      <w:tr>
        <w:trPr>
          <w:trHeight w:val="146"/>
        </w:trPr>
        <w:tc>
          <w:tcPr>
            <w:tcW w:w="2480" w:type="dxa"/>
            <w:vAlign w:val="bottom"/>
            <w:tcBorders>
              <w:bottom w:val="single" w:sz="8" w:color="0000EE"/>
            </w:tcBorders>
            <w:gridSpan w:val="10"/>
          </w:tcPr>
          <w:p>
            <w:pPr>
              <w:spacing w:after="0" w:line="140" w:lineRule="exact"/>
              <w:rPr>
                <w:sz w:val="20"/>
                <w:szCs w:val="20"/>
                <w:color w:val="auto"/>
              </w:rPr>
            </w:pPr>
            <w:r>
              <w:rPr>
                <w:rFonts w:ascii="Times New Roman" w:cs="Times New Roman" w:eastAsia="Times New Roman" w:hAnsi="Times New Roman"/>
                <w:sz w:val="14"/>
                <w:szCs w:val="14"/>
                <w:color w:val="0000EE"/>
              </w:rPr>
              <w:t>Item 16G. CORPORATE GOVERNANCE</w:t>
            </w:r>
          </w:p>
        </w:tc>
        <w:tc>
          <w:tcPr>
            <w:tcW w:w="7680" w:type="dxa"/>
            <w:vAlign w:val="bottom"/>
            <w:gridSpan w:val="20"/>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101</w:t>
            </w:r>
          </w:p>
        </w:tc>
      </w:tr>
      <w:tr>
        <w:trPr>
          <w:trHeight w:val="146"/>
        </w:trPr>
        <w:tc>
          <w:tcPr>
            <w:tcW w:w="10160" w:type="dxa"/>
            <w:vAlign w:val="bottom"/>
            <w:gridSpan w:val="3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16H. MINE SAFETY DISCLOSURE</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101</w:t>
            </w:r>
          </w:p>
        </w:tc>
      </w:tr>
      <w:tr>
        <w:trPr>
          <w:trHeight w:val="32"/>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6"/>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Item 16I. DISCLOSURE REGARDING FOREIGN JURISDICTIONS THAT PREVENT INSPECTIONS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101</w:t>
            </w:r>
          </w:p>
        </w:tc>
      </w:tr>
      <w:tr>
        <w:trPr>
          <w:trHeight w:val="158"/>
        </w:trPr>
        <w:tc>
          <w:tcPr>
            <w:tcW w:w="6100" w:type="dxa"/>
            <w:vAlign w:val="bottom"/>
            <w:tcBorders>
              <w:top w:val="single" w:sz="8" w:color="0000EE"/>
            </w:tcBorders>
            <w:gridSpan w:val="27"/>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16J. INSIDER TRADING POLICIES</w:t>
            </w:r>
          </w:p>
        </w:tc>
        <w:tc>
          <w:tcPr>
            <w:tcW w:w="4060" w:type="dxa"/>
            <w:vAlign w:val="bottom"/>
            <w:gridSpan w:val="3"/>
            <w:shd w:val="clear" w:color="auto" w:fill="CCEEFF"/>
          </w:tcPr>
          <w:p>
            <w:pPr>
              <w:spacing w:after="0"/>
              <w:rPr>
                <w:sz w:val="13"/>
                <w:szCs w:val="13"/>
                <w:color w:val="auto"/>
              </w:rPr>
            </w:pP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101</w:t>
            </w:r>
          </w:p>
        </w:tc>
      </w:tr>
      <w:tr>
        <w:trPr>
          <w:trHeight w:val="146"/>
        </w:trPr>
        <w:tc>
          <w:tcPr>
            <w:tcW w:w="2480" w:type="dxa"/>
            <w:vAlign w:val="bottom"/>
            <w:tcBorders>
              <w:top w:val="single" w:sz="8" w:color="0000EE"/>
            </w:tcBorders>
            <w:gridSpan w:val="10"/>
          </w:tcPr>
          <w:p>
            <w:pPr>
              <w:spacing w:after="0" w:line="140" w:lineRule="exact"/>
              <w:rPr>
                <w:sz w:val="20"/>
                <w:szCs w:val="20"/>
                <w:color w:val="auto"/>
              </w:rPr>
            </w:pPr>
            <w:r>
              <w:rPr>
                <w:rFonts w:ascii="Times New Roman" w:cs="Times New Roman" w:eastAsia="Times New Roman" w:hAnsi="Times New Roman"/>
                <w:sz w:val="14"/>
                <w:szCs w:val="14"/>
                <w:color w:val="0000EE"/>
              </w:rPr>
              <w:t>Item 16K CYBERSECURITY</w:t>
            </w:r>
          </w:p>
        </w:tc>
        <w:tc>
          <w:tcPr>
            <w:tcW w:w="7680" w:type="dxa"/>
            <w:vAlign w:val="bottom"/>
            <w:tcBorders>
              <w:top w:val="single" w:sz="8" w:color="CCEEFF"/>
            </w:tcBorders>
            <w:gridSpan w:val="20"/>
          </w:tcPr>
          <w:p>
            <w:pPr>
              <w:spacing w:after="0"/>
              <w:rPr>
                <w:sz w:val="12"/>
                <w:szCs w:val="12"/>
                <w:color w:val="auto"/>
              </w:rPr>
            </w:pPr>
          </w:p>
        </w:tc>
        <w:tc>
          <w:tcPr>
            <w:tcW w:w="1120" w:type="dxa"/>
            <w:vAlign w:val="bottom"/>
            <w:tcBorders>
              <w:top w:val="single" w:sz="8" w:color="CCEEFF"/>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101</w:t>
            </w:r>
          </w:p>
        </w:tc>
      </w:tr>
      <w:tr>
        <w:trPr>
          <w:trHeight w:val="178"/>
        </w:trPr>
        <w:tc>
          <w:tcPr>
            <w:tcW w:w="4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right w:val="single" w:sz="8" w:color="CCEEFF"/>
            </w:tcBorders>
            <w:shd w:val="clear" w:color="auto" w:fill="CCEEFF"/>
          </w:tcPr>
          <w:p>
            <w:pPr>
              <w:spacing w:after="0"/>
              <w:rPr>
                <w:sz w:val="15"/>
                <w:szCs w:val="15"/>
                <w:color w:val="auto"/>
              </w:rPr>
            </w:pPr>
          </w:p>
        </w:tc>
        <w:tc>
          <w:tcPr>
            <w:tcW w:w="500" w:type="dxa"/>
            <w:vAlign w:val="bottom"/>
            <w:tcBorders>
              <w:top w:val="single" w:sz="8" w:color="0000EE"/>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2"/>
        </w:trPr>
        <w:tc>
          <w:tcPr>
            <w:tcW w:w="1016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PART III</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103</w:t>
            </w:r>
          </w:p>
        </w:tc>
      </w:tr>
      <w:tr>
        <w:trPr>
          <w:trHeight w:val="172"/>
        </w:trPr>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46"/>
        </w:trPr>
        <w:tc>
          <w:tcPr>
            <w:tcW w:w="2320" w:type="dxa"/>
            <w:vAlign w:val="bottom"/>
            <w:tcBorders>
              <w:bottom w:val="single" w:sz="8" w:color="0000EE"/>
            </w:tcBorders>
            <w:gridSpan w:val="9"/>
          </w:tcPr>
          <w:p>
            <w:pPr>
              <w:spacing w:after="0" w:line="140" w:lineRule="exact"/>
              <w:rPr>
                <w:sz w:val="20"/>
                <w:szCs w:val="20"/>
                <w:color w:val="auto"/>
              </w:rPr>
            </w:pPr>
            <w:r>
              <w:rPr>
                <w:rFonts w:ascii="Times New Roman" w:cs="Times New Roman" w:eastAsia="Times New Roman" w:hAnsi="Times New Roman"/>
                <w:sz w:val="14"/>
                <w:szCs w:val="14"/>
                <w:color w:val="0000EE"/>
              </w:rPr>
              <w:t>ITEM 17. FINANCIAL STATEMENTS</w:t>
            </w:r>
          </w:p>
        </w:tc>
        <w:tc>
          <w:tcPr>
            <w:tcW w:w="7840" w:type="dxa"/>
            <w:vAlign w:val="bottom"/>
            <w:gridSpan w:val="21"/>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103</w:t>
            </w:r>
          </w:p>
        </w:tc>
      </w:tr>
      <w:tr>
        <w:trPr>
          <w:trHeight w:val="158"/>
        </w:trPr>
        <w:tc>
          <w:tcPr>
            <w:tcW w:w="2320" w:type="dxa"/>
            <w:vAlign w:val="bottom"/>
            <w:tcBorders>
              <w:bottom w:val="single" w:sz="8" w:color="0000EE"/>
            </w:tcBorders>
            <w:gridSpan w:val="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18. FINANCIAL STATEMENTS</w:t>
            </w:r>
          </w:p>
        </w:tc>
        <w:tc>
          <w:tcPr>
            <w:tcW w:w="7840" w:type="dxa"/>
            <w:vAlign w:val="bottom"/>
            <w:tcBorders>
              <w:bottom w:val="single" w:sz="8" w:color="CCEEFF"/>
            </w:tcBorders>
            <w:gridSpan w:val="21"/>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103</w:t>
            </w:r>
          </w:p>
        </w:tc>
      </w:tr>
      <w:tr>
        <w:trPr>
          <w:trHeight w:val="146"/>
        </w:trPr>
        <w:tc>
          <w:tcPr>
            <w:tcW w:w="1260" w:type="dxa"/>
            <w:vAlign w:val="bottom"/>
            <w:tcBorders>
              <w:bottom w:val="single" w:sz="8" w:color="0000EE"/>
            </w:tcBorders>
            <w:gridSpan w:val="5"/>
          </w:tcPr>
          <w:p>
            <w:pPr>
              <w:spacing w:after="0" w:line="140" w:lineRule="exact"/>
              <w:rPr>
                <w:sz w:val="20"/>
                <w:szCs w:val="20"/>
                <w:color w:val="auto"/>
              </w:rPr>
            </w:pPr>
            <w:r>
              <w:rPr>
                <w:rFonts w:ascii="Times New Roman" w:cs="Times New Roman" w:eastAsia="Times New Roman" w:hAnsi="Times New Roman"/>
                <w:sz w:val="14"/>
                <w:szCs w:val="14"/>
                <w:color w:val="0000EE"/>
                <w:w w:val="99"/>
              </w:rPr>
              <w:t>ITEM 19. EXHIBITS</w:t>
            </w:r>
          </w:p>
        </w:tc>
        <w:tc>
          <w:tcPr>
            <w:tcW w:w="8900" w:type="dxa"/>
            <w:vAlign w:val="bottom"/>
            <w:gridSpan w:val="25"/>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105</w:t>
            </w:r>
          </w:p>
        </w:tc>
      </w:tr>
      <w:tr>
        <w:trPr>
          <w:trHeight w:val="146"/>
        </w:trPr>
        <w:tc>
          <w:tcPr>
            <w:tcW w:w="10160" w:type="dxa"/>
            <w:vAlign w:val="bottom"/>
            <w:gridSpan w:val="3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SIGNATURES</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105</w:t>
            </w:r>
          </w:p>
        </w:tc>
      </w:tr>
      <w:tr>
        <w:trPr>
          <w:trHeight w:val="32"/>
        </w:trPr>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0"/>
        </w:trPr>
        <w:tc>
          <w:tcPr>
            <w:tcW w:w="10160" w:type="dxa"/>
            <w:vAlign w:val="bottom"/>
            <w:gridSpan w:val="30"/>
          </w:tcPr>
          <w:p>
            <w:pPr>
              <w:spacing w:after="0" w:line="140" w:lineRule="exact"/>
              <w:rPr>
                <w:sz w:val="20"/>
                <w:szCs w:val="20"/>
                <w:color w:val="auto"/>
              </w:rPr>
            </w:pPr>
            <w:r>
              <w:rPr>
                <w:rFonts w:ascii="Times New Roman" w:cs="Times New Roman" w:eastAsia="Times New Roman" w:hAnsi="Times New Roman"/>
                <w:sz w:val="14"/>
                <w:szCs w:val="14"/>
                <w:color w:val="0000EE"/>
              </w:rPr>
              <w:t>CONSOLIDATED FINANCIAL STATEMENTS</w:t>
            </w: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During the financial year ended February 28, 2022, Karooooo Ltd. (“Karooooo” or the “Company”) listed on the Nasdaq (April 1, 2021) and concluded an inward secondary listing on the Johannesburg Stock Exchange (“JSE”) by April 21, 2021.</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at February 28, 2021, Karooooo was a privately owned company fully owned by Isaias (Zak) Jose Calisto (founder and CEO of Karooooo) and Cartrack Holdings Proprietary Limited, previously known as Cartrack Holdings Limited (“CTK”) listed as a public company on the JSE. Karooooo was a non-operating entity, with its only asset being its ownership of 203,328,943 ordinary shares, or 68.1%, of CTK’s 298,766,000 ordinary shares in issue.</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Karooooo listed on the Nasdaq on April 1, 2021 in connection with its initial public offering (“IPO”) in the United States. Following the IPO, Karooooo had 21,540,394 shares in issue of which 20,332,894 were founder held shares. By April 21, 2021 Karooooo had bought out all of the minority shareholders of CTK pursuant to a scheme of arrangement in South Africa and had delisted CTK from the JSE. Karooooo concluded an inward secondary listing on the JSE on this date (April 21, 2021) and issued a further 9,410,712 shares to eligible CTK shareholders who elected to reinvest the proceeds of the sale of their CTK shares pursuant to the scheme, in shares of Karooooo, representing 99% of all minority CTK shareholders bought out by Karooooo.</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PRESENTATION OF FINANCIAL INFORMATION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Unless otherwise indicated, all financial information contained in this annual report is prepared and presented in accordance with IFRS® Accounting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historical consolidated financial statements were prepared to give effect to</w:t>
      </w:r>
    </w:p>
    <w:p>
      <w:pPr>
        <w:spacing w:after="0" w:line="183" w:lineRule="exact"/>
        <w:rPr>
          <w:sz w:val="20"/>
          <w:szCs w:val="20"/>
          <w:color w:val="auto"/>
        </w:rPr>
      </w:pPr>
    </w:p>
    <w:p>
      <w:pPr>
        <w:ind w:left="520" w:hanging="256"/>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control transaction in which Karooooo acquired a controlling stake in CTK and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a shareholder loan from our founder and chief executive officer, Isaias (Zak) Jose Calisto, to Karooooo into ordinary shares of Karooooo, which took place on November 18, 2020.</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There is currently no specific guidance on accounting for common control transactions under IFRS as issued by the IASB. In the absence of specific guidance Karooooo elected to apply the “pooling of interests” method of accounting. Under “pooling of interests” the assets and liabilities of CTK were carried over at their book values with no adjustment made for the acquisition price and prior periods are restated as if the common control transaction had occurred at the beginning of the earliest period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references in this annual report to “Group” or “Company” refer to Karooooo and its subsidiaries.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All references in this annual report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annual report are in rand. Our financial year ends on February 28 or February 29 of each year. References in this annual report to a financial year, such as “financial year 2025,” relate to our financial year ended on February 28 or February 29, as applicable, of that calendar year.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annual report contains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annual report. In addition, even if our results of operations, financial condition and liquidity, the development of the industry in which we operate and the effect of acquisitions on us are consistent with the forward-looking statements contained in this annual report, those results or developments may not be indicative of results or developments in subsequent periods.</w:t>
      </w:r>
    </w:p>
    <w:p>
      <w:pPr>
        <w:spacing w:after="0" w:line="1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Factors that may cause our actual results to differ materially from those expressed or implied by the forward-looking statements in this annual report include, but are not limited to, the risks described under “Risk Factors.” For example, factors that could cause actual results to vary from projected results include, but are not limited to:</w:t>
      </w:r>
    </w:p>
    <w:p>
      <w:pPr>
        <w:spacing w:after="0" w:line="124" w:lineRule="exact"/>
        <w:rPr>
          <w:sz w:val="20"/>
          <w:szCs w:val="20"/>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customers and retain existing customers;</w:t>
      </w:r>
    </w:p>
    <w:p>
      <w:pPr>
        <w:spacing w:after="0" w:line="182" w:lineRule="exact"/>
        <w:rPr>
          <w:rFonts w:ascii="Times New Roman" w:cs="Times New Roman" w:eastAsia="Times New Roman" w:hAnsi="Times New Roman"/>
          <w:sz w:val="14"/>
          <w:szCs w:val="14"/>
          <w:color w:val="auto"/>
        </w:rPr>
      </w:pPr>
    </w:p>
    <w:p>
      <w:pPr>
        <w:jc w:val="both"/>
        <w:ind w:left="520" w:hanging="256"/>
        <w:spacing w:after="0" w:line="271"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effects of a pandemic or widespread outbreak of an illness, the Russia-Ukraine conflict, conflict in the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upon our and our customers’ and partners’ respective businesses;</w:t>
      </w:r>
    </w:p>
    <w:p>
      <w:pPr>
        <w:spacing w:after="0" w:line="31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growth strategies, including our ability to increase sales to existing customers, the introduction of new solutions and international expansion;</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adapt to rapid technological change in our industry;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cellular networks;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industry consolidation;</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adoption of software-as-a-service (“SaaS”) fleet management platform;</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automotive market conditions and the evolving nature of the automotive industry towards autonomous vehicles;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changes in our profitability and certain cost or expense items as a percentage of our revenue;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certain key suppliers and vendors;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enhance our brand recognition;</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key personnel or attract, train and retain other highly qualified personnel;</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evolving nature of laws and regulations relating to the internet, including cybersecurity and data privacy;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proprietary technologies and address any infringement claims;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disruption in service on, or security breaches of, our websites or computer systems;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technology and licenses;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value of the South African rand and inflation rates in the countries in which we conduct business;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the capital markets in the future;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discussed under “Risk Factors”.</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Forward-looking statements speak only as at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 IDENTITY OF DIRECTORS, SENIOR MANAGEMENT AND ADVISERS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2. OFFER STATISTICS AND EXPECTED TIMETABLE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3. KEY INFORMATION</w:t>
      </w:r>
    </w:p>
    <w:p>
      <w:pPr>
        <w:spacing w:after="0" w:line="183" w:lineRule="exact"/>
        <w:rPr>
          <w:sz w:val="20"/>
          <w:szCs w:val="20"/>
          <w:color w:val="auto"/>
        </w:rPr>
      </w:pPr>
    </w:p>
    <w:p>
      <w:pPr>
        <w:ind w:left="520" w:hanging="256"/>
        <w:spacing w:after="0"/>
        <w:tabs>
          <w:tab w:leader="none" w:pos="5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RESERVED</w:t>
      </w:r>
    </w:p>
    <w:p>
      <w:pPr>
        <w:spacing w:after="0" w:line="182" w:lineRule="exact"/>
        <w:rPr>
          <w:rFonts w:ascii="Times New Roman" w:cs="Times New Roman" w:eastAsia="Times New Roman" w:hAnsi="Times New Roman"/>
          <w:sz w:val="14"/>
          <w:szCs w:val="14"/>
          <w:b w:val="1"/>
          <w:bCs w:val="1"/>
          <w:color w:val="auto"/>
        </w:rPr>
      </w:pPr>
    </w:p>
    <w:p>
      <w:pPr>
        <w:ind w:left="520" w:hanging="256"/>
        <w:spacing w:after="0"/>
        <w:tabs>
          <w:tab w:leader="none" w:pos="5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CAPITALIZATION AND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  REASONS FOR THE OFFER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RISK FACTORS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Additional risks and uncertainties not currently known to us, or which we currently deem immaterial, may also adversely affect our business, financial condition or results of operations.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annual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summary of the risk factors is followed by a detailed description of each risk factor.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Operations</w:t>
      </w:r>
    </w:p>
    <w:p>
      <w:pPr>
        <w:spacing w:after="0" w:line="185" w:lineRule="exact"/>
        <w:rPr>
          <w:sz w:val="20"/>
          <w:szCs w:val="20"/>
          <w:color w:val="auto"/>
        </w:rPr>
      </w:pPr>
    </w:p>
    <w:p>
      <w:pPr>
        <w:ind w:left="520" w:hanging="25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add new customers and retain existing customers, which could have a material adverse effect on our ability to grow our business and increase revenue.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retain or drive margin expansion with our existing customers, which could adversely affect our financial results.</w:t>
      </w:r>
    </w:p>
    <w:p>
      <w:pPr>
        <w:spacing w:after="0" w:line="182" w:lineRule="exact"/>
        <w:rPr>
          <w:rFonts w:ascii="Times New Roman" w:cs="Times New Roman" w:eastAsia="Times New Roman" w:hAnsi="Times New Roman"/>
          <w:sz w:val="14"/>
          <w:szCs w:val="14"/>
          <w:color w:val="auto"/>
        </w:rPr>
      </w:pPr>
    </w:p>
    <w:p>
      <w:pPr>
        <w:jc w:val="both"/>
        <w:ind w:left="520" w:hanging="256"/>
        <w:spacing w:after="0" w:line="268"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pandemic or widespread outbreak of an illness, the Russia-Ukraine conflict, conflict in the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could have a material adverse effect on our business, financial condition and results of operations.</w:t>
      </w:r>
    </w:p>
    <w:p>
      <w:pPr>
        <w:spacing w:after="0" w:line="140"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adapt to rapid technological change in our industry and related industries could impair our ability to remain competitive and adversely affect the results of our operations.</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recover should we experience a disaster or other business continuity issue could cause material financial loss, loss of human capital, regulatory actions, reputational harm and/or legal liability.</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global market for SaaS fleet management solutions is highly fragmented and competitive. If we do not compete effectively in such markets, our operating results may be harmed.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factory-fitted or embedded telematics technology in new vehicles in our markets could result in reduced demand for our SaaS platform, which could have a material adverse effect on our revenue.</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various lead generation programs could adversely affect our operating results if we are required to pay more for such programs or we are unable to attract new customers at the same historic rate.</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successfully convert customer sales leads into customer sales on a cost-effective basis, our revenue and results of operations would be adversely affected.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Risks Relating to Our Reliance on Third Parties</w:t>
      </w:r>
    </w:p>
    <w:p>
      <w:pPr>
        <w:spacing w:after="0" w:line="185" w:lineRule="exact"/>
        <w:rPr>
          <w:sz w:val="20"/>
          <w:szCs w:val="20"/>
          <w:color w:val="auto"/>
        </w:rPr>
      </w:pPr>
    </w:p>
    <w:p>
      <w:pPr>
        <w:ind w:left="520" w:hanging="256"/>
        <w:spacing w:after="0" w:line="292"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conduct of third party security officers engaged in stolen vehicle recovery (“SVR”) operations in support of our services from time to time involves the use of force, which could expose the Company to reputational harm or, potentially, civil and/or criminal liability.</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certain key suppliers, telemetry and video hardware vendors and original equipment manufacturers’ (“OEM”) as part of our hardware manufacturing process, procurement and customer acquisition process. An interruption in the supply of components, third party hardware vendors and OEM fitted telemetry could impair our customer acquisition process.</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specific open-source software and third party software licenses, and the inability to license or use such software from third parties could render our platform inoperable or pose other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Growth Strategy</w:t>
      </w:r>
    </w:p>
    <w:p>
      <w:pPr>
        <w:spacing w:after="0" w:line="185" w:lineRule="exact"/>
        <w:rPr>
          <w:sz w:val="20"/>
          <w:szCs w:val="20"/>
          <w:color w:val="auto"/>
        </w:rPr>
      </w:pPr>
    </w:p>
    <w:p>
      <w:pPr>
        <w:ind w:left="520" w:hanging="256"/>
        <w:spacing w:after="0" w:line="292"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growth in recent periods. If we fail to manage our growth effectively, we may be unable to execute our business plan, maintain high levels of service or address competitive challenges adequately.</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effectively execute on our expansion strategy, which may adversely affect our ability to maintain our historical growth and earnings trends.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into our SaaS platform and technology infrastructure may not yield the desired results.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or enhance our brand recognition or reputation, our business could be harmed.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corporate culture has contributed to our success, and if we cannot maintain this culture, we could lose the innovation, creativity and teamwork fostered by our culture, which could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Intellectual Property, Data Privacy and Cybersecurity</w:t>
      </w:r>
    </w:p>
    <w:p>
      <w:pPr>
        <w:spacing w:after="0" w:line="185" w:lineRule="exact"/>
        <w:rPr>
          <w:sz w:val="20"/>
          <w:szCs w:val="20"/>
          <w:color w:val="auto"/>
        </w:rPr>
      </w:pPr>
    </w:p>
    <w:p>
      <w:pPr>
        <w:ind w:left="520" w:hanging="256"/>
        <w:spacing w:after="0" w:line="292"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regulation and changes in applicable laws relating to the Internet, data privacy and cybersecurity may increase our expenditure on compliance measures or otherwise limit the solutions we can offer, which may harm our business and adversely affect our financial condition.</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or privacy breaches in our electronic transactions or data may expose us to additional liability or result in a loss of customers, either of which events could harm our business.</w:t>
      </w:r>
    </w:p>
    <w:p>
      <w:pPr>
        <w:spacing w:after="0" w:line="182" w:lineRule="exact"/>
        <w:rPr>
          <w:rFonts w:ascii="Times New Roman" w:cs="Times New Roman" w:eastAsia="Times New Roman" w:hAnsi="Times New Roman"/>
          <w:sz w:val="14"/>
          <w:szCs w:val="14"/>
          <w:color w:val="auto"/>
        </w:rPr>
      </w:pPr>
    </w:p>
    <w:p>
      <w:pPr>
        <w:jc w:val="both"/>
        <w:ind w:left="520" w:hanging="256"/>
        <w:spacing w:after="0" w:line="274"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maintenance of systems to increase cyber resilience is costly and requires ongoing monitoring and updating to address increasing prevalence and sophistication of cyber attacks. The preventive actions we take to reduce the risks associated with cyber attacks, including protection of our systems and networks, may be insufficient to repel or mitigate the effects of a cyber attack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Legal Proceedings</w:t>
      </w:r>
    </w:p>
    <w:p>
      <w:pPr>
        <w:spacing w:after="0" w:line="185" w:lineRule="exact"/>
        <w:rPr>
          <w:sz w:val="20"/>
          <w:szCs w:val="20"/>
          <w:color w:val="auto"/>
        </w:rPr>
      </w:pPr>
    </w:p>
    <w:p>
      <w:pPr>
        <w:ind w:left="520" w:hanging="256"/>
        <w:spacing w:after="0" w:line="292"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Operations in South Africa and Other Emerging Markets</w:t>
      </w:r>
    </w:p>
    <w:p>
      <w:pPr>
        <w:spacing w:after="0" w:line="185" w:lineRule="exact"/>
        <w:rPr>
          <w:sz w:val="20"/>
          <w:szCs w:val="20"/>
          <w:color w:val="auto"/>
        </w:rPr>
      </w:pPr>
    </w:p>
    <w:p>
      <w:pPr>
        <w:ind w:left="520" w:hanging="256"/>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conduct a material amount of our business in foreign currencies, which heightens our exposure to the risk of exchange rate fluctuations.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Investments in Singapore Companies</w:t>
      </w:r>
    </w:p>
    <w:p>
      <w:pPr>
        <w:spacing w:after="0" w:line="185" w:lineRule="exact"/>
        <w:rPr>
          <w:sz w:val="20"/>
          <w:szCs w:val="20"/>
          <w:color w:val="auto"/>
        </w:rPr>
      </w:pPr>
    </w:p>
    <w:p>
      <w:pPr>
        <w:ind w:left="520" w:hanging="256"/>
        <w:spacing w:after="0" w:line="292"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incorporated in Singapore, and our shareholders may have more difficulty in protecting their interests than they would as shareholders of a corporation incorporated 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Ordinary Shares</w:t>
      </w:r>
    </w:p>
    <w:p>
      <w:pPr>
        <w:spacing w:after="0" w:line="185" w:lineRule="exact"/>
        <w:rPr>
          <w:sz w:val="20"/>
          <w:szCs w:val="20"/>
          <w:color w:val="auto"/>
        </w:rPr>
      </w:pPr>
    </w:p>
    <w:p>
      <w:pPr>
        <w:ind w:left="520" w:hanging="256"/>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may fluctuate and you could lose all or a significant part of your investment.</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for any reason, to effectively or efficiently maintain proper internal control procedures for compliance with the Sarbanes Oxley Act of 2002 (“SOX”), or Section 404 of SOX, such failure could materially and adversely affect our business, results of operations and financial condition.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add new customers and retain existing customers, which could have a material adverse effect on our ability to grow our business and increase revenue.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market and sell our mobility data analytics solutions to a wide range of customers, from consumers and sole proprietors to small and medium-sized businesses and large enterprises. To grow our revenue, we must continue to add new customers and subscribers and retain existing subscribers. Our strategy is to increase new subscription sales by increasing penetration in our existing markets and with existing customers, upgrading and enhancing our platform and solutions and by opportunistically entering new markets that represent a potential source of demand. Our success in adding new customers may be tied to a number of factors, including demand for our SaaS platform, the rate of new vehicle sales, the success of our sales and marketing campaigns, our ability to generate leads, our relationships with channel partners, price and service competition, general economic conditions and, in the case of our safety and security services, the real and perceived threat of vehicle theft and discounts offered by insurers for risk mitigation.</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Selling to consumers or sole proprietors and small business customers may, in some instances, be more difficult than selling to medium-sized businesses and large enterprise customers. Consumers and sole proprietors and small businesses may have higher default rates, are price sensitive, may be difficult to reach with targeted sales campaigns and may have higher churn rates, in part because of the scale of their businesses and the ease of switching solutions.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the other hand, the typical sales cycle for medium-sized businesses and larger enterprises may be longer than that of our consumer, sole proprietor and small business customers. These customers may have more complex business, operational, procurement, integration and contractual requirements and their scale may result in less favorable contract terms. Our sales cycle runs from lead generation to the installation of the device. Our typical sales cycle for large enterprises ranges from 3 to 24 months. Medium enterprise sales cycles run between 1 to 8 months with small business and sole proprietor sale cycles running between 1 to 90 days. The consumer sales cycle runs between 1 and 60 days.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It may be difficult for us to predict the timing of when we will enter into subscription contracts with medium-sized businesses and large enterprises and how quickly such contracts can be implemented. This could make the timing of our revenues uncertain and difficult to predict.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retain or drive margin expansion with our existing customers, which could adversely affect our financial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generally sell our SaaS platform services pursuant to subscription agreements with an initial minimum term of 36 months. The majority of these agreements provide for automatic renewal on a month-to-month basis thereafter unless the customer elects otherwise. Our customers have no obligation to renew all or any of these agreements after the expiration of the initial term or any renewal term. If our efforts to satisfy our existing customers are not successful, we may not be able to retain them or expand our relationship with them and, as a result, our revenue and growth could be materially and adversely affected. Customers may choose to cancel or not renew their subscriptions or to downsize their subscriptions for a number of reasons, including the belief that our solutions are not required for their personal or business needs or are otherwise not as cost-effective as initially anticipated, a desire to reduce discretionary spending, a belief that our competitors’ solutions provide better value, an economic downturn in their industries or the markets in which they operate, and customers may not renew their subscriptions when they refresh their fleet with new vehicles. Large enterprise customers may also decrease the number of vehicles covered by subscription contracts if their fleet sizes decrease. Additionally, our customers may cancel or not renew for reasons entirely out of our control, such as the dissolution of their business or personal financial distress.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Part of our growth strategy is to retain customers and drive margin expansion by providing enhanced and additional software solutions to existing customers while keeping our costs low. Our ability to provide an advanced software platform to existing customers in a cost-effective manner depends, in significant part, on our ability to anticipate industry evolution, practices and standards and to continue to enhance our platform and existing software solutions, such as integration with fuel cards, GPS navigation devices, as well as various third-party software and products manufactured by original equipment manufacturers (“OEMs”), or partnership with vehicle insurance providers, or to introduce or acquire new software features on a timely basis to keep pace with technological developments both within our industry and in related industries, including integration with developing technologies and platforms such as artificial intelligence (“AI”), machine learning and big data analytics. However, we may prove unsuccessful either in developing new software features or in expanding the third-party software and products with which our SaaS platform integrates, such third-party software and products may become incompatible or replace our solutions, and such efforts may not be cost-effective – See “Our platform integrates with third-party technologies and if our platform becomes incompatible with these technologies, our platform would lose functionality and flexibility and our customer acquisition and retention could be adversely affected.” In addition, the success of any enhancement or new feature depends on several factors, including the timely completion, introduction and market acceptance of the enhancement or feature. Any new software applications or features we develop or acquire might not be introduced in a timely or cost-effective manner and might not achieve the broad market acceptance necessary to generate significant revenue. If any of our competitors implements new technologies before we are able to implement them, better anticipates the innovation and integration opportunities in related industries or implements them in a more cost-effective manner, those competitors may be able to provide more effective or less expensive solutions than ours, which may also negatively affect our ability to retain our existing customers and drive margin expansion.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8" w:name="page9"/>
    <w:bookmarkEnd w:id="8"/>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effects of a pandemic or widespread outbreak of an illness, the Russia-Ukraine conflict, conflict in the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could have a material adverse effect on our business, financial condition and results of operations.</w:t>
      </w:r>
    </w:p>
    <w:p>
      <w:pPr>
        <w:spacing w:after="0" w:line="3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growth strategy involves the further expansion of our operations and customer base internationally. Any extended period of global and economic disruption resulting from a pandemic, the ongoing Russia-Ukraine conflict, conflict in the Middle East, other geopolitical tension and macroeconomic events such as financial institution failures, create increased uncertainty and strain on the global economy and could have a material adverse effect on our business, financial condition and results of operations.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Since the October 2024 elections, Mozambique has grappled with political and economic uncertainty. The ongoing instability has disrupted our customers’ normal operations in Mozambique, prompting the temporary suspension of billing for a period of time in order to support our customers during this crisis. Additionally, the depreciation of the Mozambican metical against the South African rand has further intensified the decline in reported revenue. The continued political and economic instability has made the operating environment challenging and introduced significant uncertainty regarding the near- to medium-term outlook for Mozambique. The ongoing uncertainty could continue to have an adverse effect on our business in Mozambique.</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Geopolitical tensions, including the ongoing conflict between Russia and Ukraine and conflict in the Middle East, may adversely impact the economies of neighboring countries, such as Poland, in which we have a presence. Any increase in tensions between China and Taiwan, or other countries, including threats of military actions or escalation of military activities, could adversely affect our supply chain partners’ operations in these areas – See “We depend on certain key suppliers and vendors as part of our hardware manufacturing process. An interruption in the supply chain could impair our product availability, adversely affecting distribution and growth.”</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evolving energy crisis in Europe, could continue to significantly disrupt supply chains and cause uncertainty in the global economy, which could negatively impact our business prospects. Similarly, in South Africa, protracted electricity rationing and planned blackouts, due to the government owned power utility’s inability to meet electricity demand, have had, and could continue to have an adverse effect on our business, financial condition and results of operations.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are subject to fluctuations in foreign exchange rates between the South African rand, our reporting currency, and currencies of other countries where we market our solutions or source our raw components, for example the Euro, Thai baht, Singapore dollar, U.S. dollar and Polish zloty. Such fluctuations may result in significant increases or decreases in our reported revenue and other results as expressed in South African rand, and in the reported value of our assets, liabilities and cash flows – See “Risks Relating to Our Operations in South Africa and Other Emerging Markets”.</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Trade barriers, including tariffs, import and export restrictions, and evolving geopolitical trade policies in regions where we operate may disrupt supply chain logistics, and affect the manufacturing of our core hardware, which could negatively impact our revenue growth and operating margins. In addition, the results of the 2024 United States presidential and congressional elections have led to changes in economic conditions or economic uncertainties in the United States and globally. As such, changes or uncertainties, including in international trade relations, legislation and regulations (including those related to tariffs, taxation and importation), enforcement priorities, or economic and monetary policies, could result in heightened diplomatic tensions or political and civil unrest, among other potential impacts, may have a material adverse effect on the global economy as a whole and/or our business, or may require us to significantly modify one or more of our current business practices.</w:t>
      </w:r>
    </w:p>
    <w:p>
      <w:pPr>
        <w:spacing w:after="0" w:line="1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impact of these risks may also have the effect of heightening many of the other risks described in this “Risk Factors” section or otherwise directly or indirectly impact our business in unpredictable ways.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adapt to rapid technological change in our industry and related industries could impair our ability to remain competitive and adversely affect our results of operations.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industry in which we operate, and related industries, are characterized by rapid technological change, frequent introductions of new applications and evolving industry standards. In addition to the telematics or fleet management industry, we are subject to changes in the automotive software and technology industry with rapid technological advancement to mobile handsets, multi-functional driver terminals, on-board cameras, advanced driver-assistance systems (“ADAS”) and workflow management software. As the technology used in each of these industries evolves, we will face new integration and competition challenges. For example, as mobile handsets have evolved to include GPS tracking technology, they have become competitors against our solutions. Additionally, ADAS technology, with embedded AI, may have features that are similar to or overlap with our solutions. Furthermore, major gains in fuel efficiency and electric automobiles may lead to a relative decrease in the demonstrable return on investment of our solutions as perceived by our customers. If we are unable to adapt to rapid technological change, it could have a material adverse effect on our results of operations and our ability to remain competitive.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 w:name="page10"/>
    <w:bookmarkEnd w:id="9"/>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platform integrates with third-party technologies and if our platform becomes incompatible with these technologies, our platform would lose functionality and flexibility and our customer acquisition and retention could be adversely affected.</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platform integrates with third-party software and devices to allow our platform to perform key functions. For example, we offer integration with work-flow software products, such as business intelligence software, enterprise resource planning systems, routing and scheduling and freight management logistics billing systems, among others. Although to date this integration has been accomplished using application programming interfaces (“API”), other open software interfaces and simple physical linkages, we cannot guarantee that this ease of integration will continue or that we will be able to integrate with other products as easily in future or without additional cost. Newer vehicles and devices may be developed, which include different ports and do not allow for our platform to be integrated through simple physical linkages. Further, the risk exists that undetected errors, viruses or bugs may be present in third-party software that our customers use in conjunction with our platform.</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Changes to third-party software that our customers use in conjunction with our platform could also render our platform inoperable. Customers may conclude that our software is the cause of these errors, bugs or viruses and terminate their subscriptions. The inability to easily integrate with, or any defects in, third-party software could result in increased costs, or in delays in software releases or updates to our platform until such issues have been resolved, which could have a material adverse effect on our business, financial condition, results of operations, cash flows and future prospects and could damage our reputation.</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software solutions rely on cellular (GSM/LTE) and GNSS (including GPS, Glonass, Galileo) or regionally equivalent networks (including QZSS) and any disruption, failure or increase in costs could impede our profitability and harm our financial results.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Two critical links in our current solutions are between telematics devices and GPS or equivalent Global Navigation Satellite Systems (“GNSS”) such as Glonass, Galileo and Quasi-Zenith Satellite System (“QZSS”) and between telematics devices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telematics devices, requiring retrofitting of our telematics devices, could increase our costs and impact our profitability. We have initiated a process to migrate new installations to the next generation of cellular network compatibility in order to maximize expected useful life of our telematics devices, however, cellular carriers could in the future migrate allotted bandwidth from one network to another. Also, while we have included the ability to store GPS data in our telematics devices in case of temporary cellular network connectivity failure, widespread disruptions or extended failures of the cellular networks would materially and adversely affect our solutions’ functionality and utility and harm our financial results.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GPS-equivalent services like Glonass, Galileo and QZSS are satellite-based positioning systems consisting of a constellation of orbiting satellites. These satellites and their ground support systems are complex electronic systems subject to electronic and mechanical failures and possible sabotage and it is not certain that the various government agencies will remain committed to the operation and maintenance of such satellites over a long period. In addition, technologies that rely on GPS or Glonass, Galileo and QZSS depend on the use of radio frequency bands and any modification of the permitted uses of these bands may adversely affect the functionality of such satellites and, in turn, our solutions.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Many GPS satellites currently in orbit have outlived their expected lifespans and are subject to damage by the hostile space environment in which they operate. If a significant number of satellites were to become inoperable, there could be a substantial delay before they are replaced with new satellites. A reduction in the number of operating satellites below the 24-satellite standard established for GPS may impair the utility of the GPS system and the growth of current and additional market opportunities. In addition, natural phenomena such as solar storms, software updates to GPS satellites and ground control segments, and infrequent known constellation-related events, such as GPS week number rollover, may adversely affect our products and customers. We depend on public access to open technical specifications in advance of system updates to mitigate these problems, which may not be available or complete.</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GPS satellites and their ground control and monitoring stations are maintained and operated by the U.S. Department of Defense. The Department of Defense does not currently charge users for access to the satellite signals, but we cannot provide assurance that they will not do so in the future. It is also possible that agencies that operate GPS equivalent services like Glonass, Galileo and QZSS begin to charge users for access. Any such disruption, failure or increase in costs could impede the functionality and/or cost of our solutions which could have a material adverse effect on our financial condition and results of operations.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The 5G market may take longer to materialize than we expect or, if it does materialize rapidly, we may not be able to meet customer expectations and timelines.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Growth of the 5G market and its emerging standards, including the newly defined 5G NR (New Radio) standard, is accelerating. If the market materializes faster than expected, we may have difficulty introducing new solutions in a timely manner to meet customer demands. The 5G market may require us to design hardware that meets certain technical specifications. We may have difficulty meeting such specifications and within the expected timelines. 5G markets will develop at different rates and we may encounter challenges to varying degrees in different countries. If are unable to manage challenges related to 5G markets and related opportunities, it could have a material adverse effect on our financial condition and results of operations.</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inability to successfully recover should we experience a disaster or other business continuity issue could cause material financial loss, loss of human capital, regulatory actions, reputational harm and/or legal liability.</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Should we experience a local or regional disaster or other business continuity problem, such as an earthquake, hurricane, terrorist attack, pandemic, security breach, power loss, telecommunications failure or other natural or man-made disaster, our continued success will depend, in part, on the availability of personnel, office facilities, and the proper functioning of computer, telecommunication and other related systems and operations. We could potentially experience material adverse interruptions to our operations or delivery of services to customers in a disaster recovery scenario.</w:t>
      </w: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example, due to historic levels of relative under-investment in infrastructure, in particular, electricity, the South African government owned power utility, Eskom, continues electricity rationing and planned blackouts due to its inability to meet electricity demand. Although we have made contingency arrangements for use of generators at our various locations, the lack of a constant, reliable supply of electricity could have a material adverse effect on our business, financial condition and results of operations.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Even with our disaster recovery arrangements, our services could be interrupted. Our suppliers and customers are also subject to the risk of catastrophic events. In those circumstances, our ability to deliver our services in a timely manner, as well as the demand for our solutions, may be adversely impacted by factors outside our control. If our systems were to fail or be negatively impacted as a result of a natural disaster, pandemic or other catastrophic event, the ability to deliver our services to our customers would be impaired, our reputation could suffer and we could be subject to contractual penalties.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market for SaaS fleet management solutions is highly fragmented and competitive. If we do not compete effectively in such markets, our operating results may be harmed.</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global market for SaaS fleet management solutions, including tracking and mobility solutions, is highly fragmented, competitive and rapidly changing. Competition in such markets is based primarily on the level of difficulty in installing, using and maintaining solutions, total cost of ownership, product performance, functionality, customer service, interoperability, brand and reputation, distribution channels, industries and the financial resources of the vendor. We expect competition in such markets to intensify in the future with the introduction of new technologies and market entrants.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global market for SaaS fleet management solutions is highly competitive. Our growth will depend, in part, on a combination of the continued growth in the market for these solutions, our ability to increase our market share and our customers’ continued operation in the regions in which we operate. We compete with a number of companies in each of the geographic markets in which we operate, some of which have established sizable market shares in the relevant markets. We expect competition to intensify in the future with the introduction of new technologies, the use of mobile devices and new market entrants from outside the telematics industry, such as enterprise software vendors or large technology companies expanding into the space. As competition intensifies, we expect that price competition for telematics solutions, including SaaS fleet management solutions will intensify, which could cause our revenues to decline and have a material adverse effect on our results of operations.</w:t>
      </w:r>
    </w:p>
    <w:p>
      <w:pPr>
        <w:spacing w:after="0" w:line="3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example, mobile service providers and global software platforms, such as Google, provide limited services at lower prices or at no charge, such as basic GPS based mapping, tracking and turn-by-turn navigation that could be expanded or further developed to more directly compete with our SaaS fleet management solutions. In addition, wireless carriers, such as Verizon, offer SaaS fleet management solutions that benefit from the carrier’s scale and cost advantages, which we may be unable to match. Similarly, vehicle OEMs may provide factory embedded or after-market installed devices and effectively compete against us by directly or indirectly partnering with other fleet management service providers. Furthermore, companies such as Google, Amazon and others have substantially greater financial, technical and marketing resources, relationships with large vendor partners, larger global presence, larger customer bases, longer operating histories, greater brand recognition and more established relationships than we do and may decide to compete in the market for SaaS fleet management and telematics solutions.</w:t>
      </w:r>
    </w:p>
    <w:p>
      <w:pPr>
        <w:spacing w:after="0" w:line="1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Such competition could result in reduced operating margins, increased sales and marketing expenses and the loss of market share, any of which could have a material adverse effect on our results of operations.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 consolidation may give our competitors advantages over us, which could result in a loss of customers and/or a reduction in revenue.</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competitors have made or may make acquisitions or enter into partnerships or other strategic relationships to offer more comprehensive services or achieve greater economies of scale.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competitors with more compelling service offerings or greater pricing flexibility than we have or business practices that make it more difficult for us to compete effectively, including on the basis of price, sales and marketing programs, technology or service functionality. These pressures could result in a loss of subscribers and/or a reduction in revenue.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of businesses to adopt SaaS fleet management solutions could reduce the demand for our platform.</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derive, and expect to continue to derive, substantial revenue from the sale of subscriptions to customers choosing our SaaS platform. Widespread acceptance and usage of SaaS fleet management solutions is critical to our future revenue growth and success. If the market for SaaS fleet management solutions fails to grow, or grows more slowly than we currently anticipate, demand for our solutions would be negatively affected.</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market for SaaS fleet management solutions is subject to changing customer demand and trends in preferences. Some of the potential factors that could affect interest in and demand for fleet management solutions include:</w:t>
      </w:r>
    </w:p>
    <w:p>
      <w:pPr>
        <w:spacing w:after="0" w:line="124" w:lineRule="exact"/>
        <w:rPr>
          <w:sz w:val="20"/>
          <w:szCs w:val="20"/>
          <w:color w:val="auto"/>
        </w:rPr>
      </w:pPr>
    </w:p>
    <w:p>
      <w:pPr>
        <w:ind w:left="520" w:hanging="256"/>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and reliability of the software platforms;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fuel and vehicle maintenance costs, which are significant drivers of customer demand for SaaS fleet management solutions;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regarding general mobile workforce inefficiency and the extent to which efficiency can be improved through SaaS fleet management solutions;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governmental and regulatory burden placed on the fields of transportation and occupational health and safety;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performance, features, functionality, customer service and availability of solutions that compete with ours;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high levels of customer satisfaction.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Failure of businesses to adopt SaaS fleet management solutions could have a material adverse effect on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Automotive market conditions and the evolving nature of the automotive industry towards autonomous vehicles could adversely affect demand for our solutions.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New vehicle sales may decline for various reasons, including adverse changes in the general economic environment, a reduction in our customers’ discretionary spending or an increase in new vehicle tariffs, taxes or fuel prices. A decline in vehicle production levels or labor disputes affecting the automobile industry in the markets in which we operate may also impact the volume of new vehicle sales. A decline in vehicle production levels or sales of new vehicles in the markets in which we operate could result in a long-term decrease in the overall number of vehicles and consequently, a decrease in our total addressable market, resulting in reduced demand for our solutions which could have a material adverse effect on our business, results of operations and financial condition.</w:t>
      </w:r>
    </w:p>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automotive industry is also increasingly focused on the development of Autonomous Driving (“AD”) and Advanced Driver Assistance System (“ADAS”) technologies, including the utilization of artificial intelligence, with the goal of developing and introducing a commercially viable, fully automated driving experience. There has also been an increase in consumer preferences for mobility on demand (“MoD”) services, such as vehicle and ride-sharing, as opposed to automobile ownership, which may result in a long-term reduction in the number of vehicles per capita and sales of new vehicles. A reduction in the number of vehicles per capita and sales of new vehicles could reduce our addressable market for solutions.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increase in MoD services has also attracted increased competition from entrants outside the traditional automotive industry. If we do not continue to innovate to develop or acquire new and compelling solutions that capitalize upon new technologies in response to OEM and consumer preferences, this could have a material adverse effect on our results of operations.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2" w:name="page13"/>
    <w:bookmarkEnd w:id="12"/>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 increase in factory-fitted or embedded telematics technology in new vehicles in our markets could result in reduced demand for our SaaS platform, which could have a material adverse effect on our revenue.</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Certain OEMs have begun embedding technology similar to our own technology in new vehicles prior to their initial sale, creating the potential for products and services that may overlap with our SaaS platform. This may preclude us from increasing sales to customers purchasing such vehicles. The inability to market and sell our solutions to new customers or partner with OEMs to embed our solutions into their devices prior to their initial sale could have a material adverse effect on our ability to grow our subscriber base and increase revenue.</w:t>
      </w:r>
    </w:p>
    <w:p>
      <w:pPr>
        <w:spacing w:after="0" w:line="13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dependence on various lead generation programs could adversely affect our operating results if we need to pay more for such programs or we are unable to attract new customers at the same rate.</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use a number of lead generation channels to promote our SaaS platform, along with inside sales and field sales teams. Significant increases in the costs of one or more of our lead generation channels would increase our overall lead generation costs or cause us to choose less expensive and perhaps less effective channels. For example, a portion of our potential customers locate our website through search engines and social media platforms, representing one of the most efficient means for generating cost-effective customer leads. If search engine companies modify their search algorithms in a manner that reduces the prominence of our listing, or if our competitors’ search engine optimization efforts are more successful than ours, fewer potential customers may click through to our website or lead pages. In addition, the cost of purchased listings has increased in the past and may continue to increase in the future. In regions where we are reliant on inside sales and field sales teams, an increase in labor costs may increase our lead generation costs and cost of customer acquisition. As we add to or change the mix of our lead generation strategies, we may need to expand into channels with significantly higher costs than our current channels, which could have a material adverse effect on our cost of subscriber acquisition and results of operations. If we are unable to maintain effective advertising programs, our ability to attract new customers could be materially and adversely affected and our advertising and marketing expenses could increase substantially, further affecting our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convert customer sales leads into customers on a cost-effective basis, our revenue and results of operations would be adversely affected.</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generate a substantial amount of our revenue from the sale of subscriptions to our SaaS platform. In order to grow, we must continue to efficiently and cost effectively convert customer leads, many of whom have not previously used SaaS fleet management platforms, into customers.</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rely on our inside sales teams and our field sales representatives to drive cost-effective conversion of customer leads into customers. To execute our growth plan, we must continue to attract and retain highly qualified inside sales and field sales personnel. We may experience difficulty in hiring, training and retaining highly skilled inside sales and field sales personnel. An inability to convert customer sales leads into customers on a cost-effective basis could have a material adverse effect on our financial condition and results of operations. See “—The loss of one or more of our key management team members or personnel, or our failure to attract, train and retain other highly qualified personnel, could harm our business,”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actual or perceived reduction in theft rates may adversely impact demand for certain of our applications, which could result in a loss of customers and a decline in growth.</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Demand for our vehicle tracking and asset recovery solutions is influenced by prevailing or expected theft rates. Vehicle theft rates may decline as a result of various factors, such as the availability of improved security systems, implementation of improved or more effective law enforcement measures and improved economic or political conditions in markets that have high theft rates. If vehicle theft rates in our markets decline significantly, or if vehicle owners or insurance companies believe that vehicle theft rates have declined or are expected to decline, demand for some of our SaaS platform applications may decline, which could result in a loss of customers and a decline in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 of defaults by our customers and business partners.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Entering into subscription agreements with customers, particularly consumers and sole proprietors whose credit may not be as strong as that of our large enterprise customers, exposes us to credit risk in the event of customer defaults, and we may not be paid all amounts due under our subscription agreements. In deciding whether to enter into subscription agreements with prospective customers, we may rely on information furnished by or on behalf of them. We may also rely on representations of those prospective customers as to the accuracy and completeness of that information. The inaccuracy of such information or representations affects our ability to accurately evaluate the credit risk of a customer, and an increase in the default rates of our customers could have a material adverse effect on our business, results of operations and financial condition.</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bank failures in the United States and Europe have caused uncertainty across the global banking sector and financial markets. If other banks and financial institutions wind down and liquidate, enter receivership or become insolvent in the future in response to financial conditions affecting the banking system and financial markets, our customers and business partners may face difficulties accessing cash, cash equivalents or financing, which would lead to an increase in default rates and could have an adverse effect on our business, results of operations and financial condition.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 w:name="page14"/>
    <w:bookmarkEnd w:id="13"/>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provide minimum service level commitments to certain of our customers, and our failure to meet them could cause us to issue credits for future subscriptions, which could harm our results of operations.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Certain of our subscription agreements currently, and may in the future, provide minimum service level commitments regarding items such as unit and platform uptime, functionality, platform performance or operational turnaround times. If we are unable to meet the stated service level commitments for these subscribers or suffer extended periods of service unavailability, we are or may be contractually obligated to provide these subscribers with credits for future subscriptions, or provide services at no cost, which could adversely impact our 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Reliance on Third Parties</w:t>
      </w:r>
    </w:p>
    <w:p>
      <w:pPr>
        <w:spacing w:after="0" w:line="1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conduct of third-party security officers engaged in stolen vehicle recovery (“SVR”) operations in support of our services from time to time involves the use of force, which could expose the Company to reputational harm or, potentially, civil and/or criminal liability.</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work with local law enforcement authorities and licensed third party security officers to recover our customers’ stolen vehicles. These recovery teams are armed and undergo training on recovery procedures including conflict management and the controlled use of force in response to threats, including being the target of gunfire by vehicle theft suspects.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SVR operations in South Africa, which are provided in connection with our services, are conducted under an arm’s length agreement by a third-party service provider, for which the agreement requires the service provider to comply with local law and our policies and procedures related to SVR operations.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From March 1, 2020 through February 28, 2025, 0.029% of SVR operations conducted by our service provider have resulted in injury or death as a result of weapons discharge. While in each of these incidents local law enforcement authorities determined that the security officers engaged in the action acted lawfully and in compliance with the policies and procedures outlined in our service level agreement with the service provider, there can be no assurance that a later determination will not find fault on the part of such security personnel.</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light of the nature of SVR operations, future incidents in which force is required are likely to occur. If the security officers engaged in such SVR operations are found to be at fault in any similar incident in the future, it could result in civil and/or criminal liability for us, including monetary damages or other penalties. Even if we are not found liable, we could suffer reputational harm if we are negatively associated with such incidents. While we have policies and procedures in place governing the use of force by our service provider, there can be no assurance that these policies and procedures, even if followed, would entirely mitigate any resulting reputational harm or civil and/or criminal liability that may result from an incident.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results are affected directly by the operating results of our licensees and their employees, over whom we do not have direct control.</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operations in Botswana, Malawi, Rwanda and Zimbabwe, which are conducted by independent businesses that are licensees pursuant to franchise agreements with us, comprised 0.1% of our revenue for the financial year ended February 28, 2025 and 0.1% of our revenue for the financial year ended February 29, 2024. Our licensees generate revenue in the form of hardware and subscription revenue billed to customers. Accordingly, our financial results depend in part upon the operational and financial success of our licensees. We may have to terminate licensees due to various reasons, including non-payment. Additionally, if licensees fail to renew their license agreements, or if we decide to restructure license agreements in order to induce licensees to renew these agreements, then our revenues may decrease and profitability from new licensees may be lower than in the past due to reduced royalties and other incentives we may need to provide.</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in part on our licensees and the manner in which they operate their locations to develop and promote our business in Botswana, Malawi, Rwanda and Zimbabwe. Although we have developed criteria to evaluate and screen prospective licensees, we cannot be certain that our licensees will have the business acumen or financial resources necessary to operate successful businesses in their franchise areas and local laws may limit our ability to terminate or modify these franchise agreements. Moreover, despite our training, support and monitoring, licensees may not successfully operate in a manner consistent with our standards and requirements or may not hire and train qualified employees. The failure of our licensees to operate their franchises successfully could have a material adverse effect on us, our reputation, our brand and our ability to attract prospective licensees, which could have a material adverse effect on our business, financial condition or results of operations.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Our licensees and their employees could take actions that could harm our business.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licensees are independent businesses and the employees who work for them are not our employees, nor do we exercise control over their day-to-day operations. Our licensees may not operate their businesses in a manner consistent with industry standards or may not attract and retain qualified employees. If licensees were to provide diminished quality of service to customers, engage in fraud, misappropriation, misconduct or negligence or otherwise violate the law, including with respect to any laws relating to sanctions, our brand and reputation may suffer materially, and we may become subject to liability claims based upon such actions of our licensees and their employees.</w:t>
      </w:r>
    </w:p>
    <w:p>
      <w:pPr>
        <w:spacing w:after="0" w:line="1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Brand value can be severely damaged even by isolated incidents, particularly if the incidents receive considerable negative publicity or result in litigation. Some of these incidents may relate to the way we manage our relationship with our licensees, our growth strategies or the ordinary course of our business or our licensees’ business. Other incidents may arise from events that are, or may be, beyond our control and may damage our brand, such as actions taken (or not taken) by one or more licensees or their employees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us, which may result in a decrease in our revenue, which in turn would materially and adversely affect our business, financial condition and results of operations.</w:t>
      </w:r>
    </w:p>
    <w:p>
      <w:pPr>
        <w:spacing w:after="0" w:line="1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on certain key suppliers and vendors as part of our hardware manufacturing process. An interruption in the supply chain could impair our product availability, thereby adversely affecting distribution and growth.</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manufacturing of our core hardware requires advanced production planning, including the purchase of specific components and evaluation of component-related design elements. We currently purchase the latest Global System for Mobile Communications (“GSM”), including Long-Term Evolution (“LTE”),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These modules and many of the other components used in the manufacture of our devices have extended lead times on orders. We do not have contracts or volume commitments in place with our third-party suppliers but instead place purchase orders on a periodic as-needed basis.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have in the past experienced, and may in the future experience, component shortages and the predictability of the availability of these components may be limited. For example, we utilize semiconductor chips in certain of the hardware products that we manufacture. Over the last several financial years, there was an ongoing global silicon component shortage, which resulted in increases in the cost of devices and components and delays in shipments of goods across many industries, including components used in our Internet of Things (“IoT”) devices. Although the semiconductor chip supply crisis has been largely resolved, it still carries a degree of uncertainty.</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Supply chain disruptions as a result of port congestion with the challenges facing shipping routes and shippers having to explore alternative routes, jet fuel shortages and air freight delays can impede supply chains, leading to depleted inventories and resulting in a backlog of merchandise stranded in transit. Increases in the cost of devices or components, or freight to transport those items, could negatively impact our ability to fulfill engineering design changes or customer demand, each of which could adversely impact our results of operations.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While our hardware is designed such that components may be interchanged in case of supply disruptions or unavailability, any interruptions or delays in the supply of components could require us to identify and integrate our manufacturing logistics with an alternate supplier or use a substitute component. If the facilities of one of our contract manufacturers were to suffer a major business interruption event, it could take up to three months or longer to replace production capacity. Interruption in the supply of components from our contract manufacturers could impair our production capacity, and we may not have recourse against our suppliers through contractual representations, warranties, indemnification provisions or otherwise, which could have a material adverse effect on our business, results of operations and financial condition.</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These suppliers or vendors could fail to provide equipment or service on a timely basis, or fail to meet our performance expectations, for a number of reasons, including, for example, disruption to the global supply chain as a result of geopolitical factors, effects of a pandemic, natural disasters or the potential impacts of global climate change. The introduction of tariffs by the new US administration may have significant ripple effects on global supply chains, requiring manufacturers and supply chain leaders to adjust sourcing strategies, manage cost fluctuations, and rethink global trade dependencies. This may result in higher prices of certain components and may lead to growth constraints on specific product categories.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Although we have extended our supply orders in terms of lead times and have made pre-emptive purchases to build out our inventory, we cannot guarantee that we will have sufficient inventory for our needs at all times. Any interruption or delay in the supply of any of these devices or components, or the inability to obtain these devices or components from alternate sources at acceptable prices and within a reasonable amount of time, could harm our ability to onboard new customers.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SaaS platform relies on specific third-party software and any inability to license or use such software from third parties could render our platform inoperable.</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rely on software and other intellectual property licensed from third parties, including mapping software, business intelligence tools and data from third party vendors such as Google, HERE and Sisense to develop and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or inability to obtain the right to use any such software or other intellectual property required for the development and maintenance of our solutions could result in interruptions in the provision of our solutions until equivalent technology is either developed by us, or, if available from others, is identified, obtained, and integrated, which could harm our business.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open-source software may pose particular risks to our proprietary software and systems.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open-source software in our proprietary software and systems and intend to continue using open-source software in the future. The terms of many open-source licenses to which we are subject have not been interpreted by European, Singaporean, South African or U.S. courts or courts of other jurisdictions, and there is a risk that those licenses could be construed in a manner that imposes unanticipated conditions or restrictions on our ability to commercialize our solutions. Open-source software providers may also change their open-source offerings to commercial products. The licenses applicable to our use of open-source software may require that source code that is developed using open-source software be made available to the public and that any modifications or derivative works to certain open-source software continue to be licensed under open-source licenses. Moreover, we cannot ensure that we have not incorporated additional open-source software in our software in a manner that is inconsistent with the terms of the applicable license or our current or future policies and procedures.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Although we employ open-source software license screening measures, if we were to combine our proprietary software products with open-source software in a certain manner we could, under certain open-source licenses, be required to release the source code of our proprietary software products. If we fail to comply with these licenses, we may be subject to certain requirements, including requirements that we offer our solutions that incorporate the open-source software for no cost, that we make available source code for modifications or derivative works we create based upon, incorporating or using the open-source software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open-source software and required to comply with onerous conditions or restrictions on these products, which could disrupt the distribution and sale of these products.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From time to time, there have been claims challenging the rights in open-source software against companies that incorporate it into their products. We and our customers may face claims from third parties claiming infringement of their intellectual property rights for what we believe to be permissive open-source software, or demanding the release or license of the open-source software or derivative works that we developed using such software (which could include our proprietary source code) or otherwise seeking to enforce the terms of the applicable open-source license. These claims could result in litigation that could be costly to defend, have a negative effect on our business, financial condition and results of operations, and could require us to purchase a costly license, publicly release the affected portions of our source code, be limited in or cease the sale or use of the implicated software unless and until we can re-engineer such software to avoid infringement or change the use of, or remove, the implicated open-source software, which could require us to devote additional research and development resources, or take other remedial actions.</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Some open-source projects have known vulnerabilities and architectural instabilities and are provided on an “as-is” basis which, if not properly addressed, could negatively affect the performance of our product. Our use of open-source software may also present additional security risks because the source code for open-source software is publicly available, which may make it easier for hackers and other third parties to determine how to breach our website, our software platform and systems that rely on open-source software.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risks could be difficult to eliminate or manage, and, if not addressed, could have a material adverse effect on our business, financial condition, results of operations and prospects.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Risks Relating to Our Growth Strategy</w:t>
      </w:r>
    </w:p>
    <w:p>
      <w:pPr>
        <w:spacing w:after="0" w:line="1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experienced growth in recent periods. If we fail to manage our growth effectively, we may be unable to execute our business plan, maintain high levels of service or address competitive challenges adequately.</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increased the number of our full-time employees from 4,387 as at February 29, 2024 to 5,711 as at February 28, 2025. Our subscription revenue increased from ZAR 3,535.8 million for the financial year ended February 29, 2024 to ZAR 4,068.2 million for the financial year ended February 28, 2025 and our total subscribers increased from 1,971,532 as at February 29, 2024 to 2,302,236 as at February 28, 2025. Our growth has placed, and may continue to place, significant pressure on our managerial, administrative, operational, financial and other resources. We intend to further expand our overall business, customer base, headcount and operations. Our global organization and workforce require substantial management effort to maintain.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 in any particular quarter.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effectively execute on our expansion strategy, which may adversely affect our ability to maintain our historical growth and earnings trends.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Cartrack has grown rapidly over the last several years. Companies that grow rapidly can experience significant difficulties as a result. Our primary expansion strategy focuses on organic growth, including increased regional market penetration; however, we may not be able to successfully execute on these aspects of our expansion strategy, which may cause our future growth rate to decline below our recent historical levels, or may prevent us from growing at all.</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While we operate in numerous jurisdictions and our software platform and local company websites are designed for ease of localizations, we may find it difficult to localize our company website and software platform into certain foreign languages, and we may be required to invest significant resources in order to do so in markets in which we do not yet operate. Furthermore, in addition to the expansion of our business into new geographical markets, we seek to develop a range of mobility and monitoring solutions in select markets. We may not succeed in these efforts or achieve our customer acquisition, customer retention or other goals. In some international markets, customer preferences and buying behaviors may be different, and we may use business or pricing models that are different from our traditional subscription model to provide our mobility data analytics solutions to customers in those markets, or we may be unsuccessful in implementing the appropriate business model. Our revenue from new markets may not exceed the costs of establishing, marketing, and maintaining our offerings.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conducting expanded international operations would subject us to new risks. These risks include:</w:t>
      </w:r>
    </w:p>
    <w:p>
      <w:pPr>
        <w:spacing w:after="0" w:line="183" w:lineRule="exact"/>
        <w:rPr>
          <w:sz w:val="20"/>
          <w:szCs w:val="20"/>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localization of our SaaS platform and the specific features and applications, including the addition of foreign languages and adaptation to new local practices and regulatory requirements;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in other geographic markets;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local competitors;</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burden of complying with, lack of familiarity with, and unexpected changes in, foreign legal and regulatory requirements, including, but not limited to, changes in international trade policy, cybersecurity and AI regulation, or labor regulations;</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and staffing international operations;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or restrictions on foreign currency;</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adverse tax consequences, including the complexities of transfer pricing, value-added or other tax systems, double taxation and restrictions and/or taxes on the repatriation of earnings;</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 parties, including commercial partners with whom we do not have extensive experience;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financial accounting and reporting burdens and complexities;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 economic instability, terrorist attacks, pandemics and other natural disasters, extreme weather or climate events and security concerns in general;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or varied protection for intellectual property rights in some countries.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7" w:name="page18"/>
    <w:bookmarkEnd w:id="17"/>
    <w:p>
      <w:pPr>
        <w:jc w:val="both"/>
        <w:spacing w:after="0" w:line="292" w:lineRule="auto"/>
        <w:rPr>
          <w:sz w:val="20"/>
          <w:szCs w:val="20"/>
          <w:color w:val="auto"/>
        </w:rPr>
      </w:pPr>
      <w:r>
        <w:rPr>
          <w:rFonts w:ascii="Times New Roman" w:cs="Times New Roman" w:eastAsia="Times New Roman" w:hAnsi="Times New Roman"/>
          <w:sz w:val="14"/>
          <w:szCs w:val="14"/>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Various other factors, such as economic conditions and competition may impede or restrict the growth of our operations. The success of our strategy also depends on our ability to manage our growth effectively, which in turn depends on a number of factors, including our ability to adapt our credit, operational, technology and governance infrastructure to accommodate expanded operations. Even if we are successful in continuing our growth, such growth may not offer the same levels of potential profitability and we may not be successful in controlling costs relative to revenue. As such, we may not be able to achieve our long-term targets for expense management and profitability. Accordingly, our inability to maintain growth or to effectively manage growth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into our SaaS platform and technology infrastructure may not yield the desired results.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developed a scalable and proprietary SaaS platform to facilitate and integrate our business operations, data gathering analysis and online marketing capabilities and have invested significant capital and time into building and enhancing our SaaS platform and infrastructure. In order to remain competitive, we expect to continue to make significant investments into our technology. However, there is no guarantee that the capital and resources we have invested or will invest in the future will allow us to develop suitable SaaS platform enhancements or software applications or maintain and expand our SaaS platform and technology infrastructure as intended, which could have a material adverse effect on our ability to compete or require us to purchase expensive software solutions from third-party developers.</w:t>
      </w:r>
    </w:p>
    <w:p>
      <w:pPr>
        <w:spacing w:after="0" w:line="1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If our investments in our SaaS platform and technology infrastructure do not yield the desired results, it could have a material adverse effect on our business, financial condition, results of operations and prospects.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or enhance our brand recognition or reputation, our business could be harmed.</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believe that maintaining, enhancing and protecting our brand and our reputation are critical to our relationships with our customers and to our ability to attract new customers. We also believe that our brand and reputation will be increasingly important as competition in our market continues to develop. Our success in this area will depend on a wide range of factors, some of which are beyond our control, including the following:</w:t>
      </w:r>
    </w:p>
    <w:p>
      <w:pPr>
        <w:spacing w:after="0" w:line="136" w:lineRule="exact"/>
        <w:rPr>
          <w:sz w:val="20"/>
          <w:szCs w:val="20"/>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of our marketing efforts;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offer stable, high-quality, innovative and error- and bug-free applications;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existing customers and attract new customers;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high customer service levels and satisfaction;</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technology developments that minimize demand for our solutions;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differentiate our applications from those of our competitors;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of competitors and other third parties;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or negative publicity;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misuse or perceived misuse of our applications;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delays or attacks on our platform or applications;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legislative or regulatory-related developments.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If our brand promotion activities are not successful, our growth and results of operations may be harmed. Furthermore, negative publicity, whether or not justified, relating to events or activities attributed to us, our employees, our partners or others associated with any of these parties, may tarnish our reputation and reduce the value of our brand. Damage to our reputation and loss of brand equity may reduce demand for our applications and could have a material adverse effect on our business, financial condition and results of operations. Moreover, any attempts to rebuild our reputation and restore the value of our brand may be costly and time consuming, and such efforts may not ultimately be successful.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one or more of our key management team members or personnel, or our failure to attract, train and retain other highly qualified personnel, could harm our business.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depend on the continued service and performance of our senior management team, including our founder and Chief Executive Officer, Isaias (Zak) Jose Calisto. In addition, the sales, customer service-driven and research and development focus of our business is vital to our growth plan and the loss of key personnel could disrupt our operations. To execute our growth plan, we must attract and retain highly qualified employees. Competition for these employees is intense, and we may not be successful in attracting and retaining qualified employees with appropriate skills. This is particularly the case in Southeast Asia where there is increased competition for qualified employees with the appropriate language skills. In addition, new hires require significant training and, in most cases, take significant time before they achieve full productivity. Our recent and planned hires may not become as productive as we expect, and we may be unable to hire or retain sufficient numbers of qualified employees. If we fail to attract, hire and train new employees, or fail to retain, focus and motivate our current employees, it could have a material adverse effect on our business and growth prospects.</w:t>
      </w:r>
    </w:p>
    <w:p>
      <w:pPr>
        <w:spacing w:after="0" w:line="1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corporate culture has contributed to our success, and if we cannot maintain this culture, we could lose the innovation, creativity and teamwork fostered by our culture, which could harm our business.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believe that our vertically integrated and customer-centric corporate culture is key to our success, which we believe fosters innovation, creativity and teamwork among our employees. As we continue to grow, we may encounter difficulties in maintaining or adapting our culture to sufficiently meet the needs of our future and evolving operations, and we must be able to effectively integrate, develop and motivate a growing number of employees. In addition, our ability to maintain our culture as a publicly listed company in the United States, with the attendant changes in policies, practices, corporate governance and management requirements may be challenging. Any failure to preserve our culture, particularly if we are unable to preserve our culture across the various markets in which we operate, could also negatively affect our ability to retain and recruit employees, maintain our performance or execute on our business strategy, which could have a material adverse effect on our business, financial condition, results of operations and prospects.</w:t>
      </w:r>
    </w:p>
    <w:p>
      <w:pPr>
        <w:spacing w:after="0" w:line="1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expand by acquiring or investing in other companies, which may divert our management’s attention, result in dilution to our shareholders, and consume resources that are necessary to sustain our business.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may in the future acquire complementary platforms, solutions, technologies, or businesses. We also may enter into relationships with other businesses to expand our portfolio of solutions or our ability to provide our solutions in foreign jurisdictions. Negotiating these transactions can be time-consuming, difficult and expensive, and our ability to complete these transactions may often be subject to conditions or approvals that are beyond our control. Consequently, these transactions, even if undertaken and announced, may not close.</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 acquisition, investment, joint venture, alliance or new business relationship may result in unforeseen operating difficulties and expenditures. In particular, we may encounter difficulties assimilating or integrating the businesses, technologies, solutions, employees, or operations of acquired companies, particularly if the key employees of the acquired company choose not to work for us, or display a conflicting corporate culture or work ethic, the acquired company’s technology is not easily adapted to be compatible with ours, or we have difficulty retaining the customers of any acquired business due to changes in management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 including litigation against the companies we may acquire. For one or more of those transactions, we may:</w:t>
      </w:r>
    </w:p>
    <w:p>
      <w:pPr>
        <w:spacing w:after="0" w:line="144" w:lineRule="exact"/>
        <w:rPr>
          <w:sz w:val="20"/>
          <w:szCs w:val="20"/>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additional equity securities that would dilute our shareholders;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cash that we may need in the future to operate our business;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key employees of any acquired business;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face challenges in successfully integrating, operating and managing acquired businesses and workforce and instilling our culture and work ethic into new management and employees;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debt on terms unfavorable to us or that we are unable to repay or that may place burdensome restrictions on our operations;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large charges or substantial liabilities; or</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 subject to adverse tax consequences, or substantial depreciation, deferred compensation or other acquisition-related accounting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risks could harm our business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entered, and expect to continue to enter, into collaboration agreements or partnerships and these activities involve risks and uncertainties.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entered, and expect to continue to enter, into collaboration agreements with local partners to the extent required pursuant to local laws and regulations in order to penetrate certain geographic regions to effectively grow our business. Entering into collaborations or partnerships involves risks and uncertainties, including the risk that a given partner could fail to satisfy its obligations, which may result in certain liabilities to us for guarantees and other commitments. Further, since we may not exercise control over our current or future partners, we may not be able to require our partners to take the actions that we believe are necessary to implement our business strategy. Additionally, differences in views among partners may result in delayed decision-making or failure to agree on major issues. If any of these difficulties cause any of our partners to deviate from our business strategy, or if this leads any of our collaborations or partnerships to fail to attract the intended customer base, it could have a material adverse effect on our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Intellectual Property, Data Privacy and Cybersecurity</w:t>
      </w:r>
    </w:p>
    <w:p>
      <w:pPr>
        <w:spacing w:after="0" w:line="1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Evolving regulation and changes in applicable laws relating to the Internet and data privacy may increase our expenditure related to compliance efforts or otherwise limit the solutions we can offer, which may harm our business and adversely affect our financial condition.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transmission of data over the Internet and cellular networks is a critical component of our SaaS business model. As Internet commerce continues to evolve, increased regulation by federal, state or foreign agencies becomes more likely, particularly in the areas of data privacy, and data security. We are subject to this complex and evolving patchwork of data privacy and data security laws and regulations in the jurisdictions in which we operate. These laws and regulations impose numerous obligations on our business, including those relating to the collection, use, disclosure, transfer, destruction and security of personal information. The requirements under these laws are often complex, vary by jurisdiction and can be subject to unclear or conflicting interpretations. These laws may also carry significant penalties for non-compliance, including substantial fines and private litigation. Despite our efforts to comply with these obligations, our products, services and operations may not fully comply with all applicable laws and regulations at all times.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profitability and viability of Internet-based services, which could harm our business.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solutions enable us to collect, manage and store a wide range of data related to fleet management, vehicle location and tracking and other telematics services such as fuel usage, engine temperature, speed and mileage and, in the case of our field service application, includes customer information, job data, schedule and invoice information. A valuable component of our solutions is our ability to analyze this data and present the user with actionable business intelligence, including AI-powered decision making tools. We expect AI to play an increasingly important role in our future product and service offerings. As with many developing technologies, AI presents risks and challenges that could affect its further development, adoption, and use, and therefore our business. The use of AI technologies could lead to the unauthorized disclosure of sensitive, proprietary, or confidential information and could lead to new potential cyberattack methods or increase the frequency or intensity of such attacks. We obtain our data from a variety of sources, including our customers and third-party sources or service providers. We cannot assure you that the data we require for our proprietary data sets will be available from these sources in the future or that the cost of such data will not increase. The United States and various state governments have adopted or proposed limitations on the collection, distribution and use of personal information. Several foreign jurisdictions, including South Africa, Singapore and the European Union, have adopted legislation (including directives or regulations) that increase or change the requirements governing data collection and storage in these jurisdictions. Further, such data privacy laws and regulations may be amended in the future. Any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results of operations and prospects.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current European Union legislation related to data protection is the General Data Protection Regulation (“GDPR”). While we appointed a Data Protection Officer to oversee and supervise our compliance with European data protection regulations and have taken steps to mitigate the risks of GDPR, we cannot provide any assurance that we are in compliance with all aspects of European data protection regulations, including GDPR. Despite our ongoing efforts to bring practices into compliance, we may not be successful either due to various factors within our control, such as limited financial or human resources, or other factors outside of our control. For example, while we seek to enter into data processing agreements with third-parties with whom we share data, or who share data with us, we may be unable to execute agreements with all such third-parties. It is also possible that local data protection authorities may have different interpretations of the GDPR, leading to potential inconsistencies amongst various EU member states. The Artificial Intelligence Act of the European Union, also known as the EU AI Act or the AI Act came into force on August 1, 2024, with different provisions of the law going into effect in different stages in 2025.</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Singapore, the Personal Data Protection Act 2012, No. 26 of 2012 generally requires organizations to give notice and obtain consents prior to collection, use or disclosure of personal data (data, whether true or not, about an individual who can be identified from that data or other accessible information). The Protection of Personal Information Act, No. 4 of 2013 (the “POPI Act”) applies to our South African subsidiaries.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2023, China issued its Interim Measures for the Administration of Generative Artificial Intelligence Services. Under the law, the provision and use of generative AI services must “respect the legitimate rights and interests of others” and are required to “not endanger the physical and mental health of others, and do not infringe upon others' portrait rights, reputation rights, honor rights, privacy rights, and personal information rights”.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have updated and will continue to evaluate our Group data protection and security policies, charters, and procedures to assist in maintaining data privacy and data security in line with international practices. If our privacy or data security measures fail to comply, or are perceived to fail to comply, with current or future laws and regulations, we may be subject to litigation, regulatory investigations or other liabilities.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0" w:name="page21"/>
    <w:bookmarkEnd w:id="20"/>
    <w:p>
      <w:pPr>
        <w:jc w:val="both"/>
        <w:spacing w:after="0" w:line="292" w:lineRule="auto"/>
        <w:rPr>
          <w:sz w:val="20"/>
          <w:szCs w:val="20"/>
          <w:color w:val="auto"/>
        </w:rPr>
      </w:pPr>
      <w:r>
        <w:rPr>
          <w:rFonts w:ascii="Times New Roman" w:cs="Times New Roman" w:eastAsia="Times New Roman" w:hAnsi="Times New Roman"/>
          <w:sz w:val="14"/>
          <w:szCs w:val="14"/>
          <w:color w:val="auto"/>
        </w:rPr>
        <w:t>Moreover, if future laws and regulations limit our customers’ ability to use and share this data or our ability to store, process and share data with our clients over the Internet, demand for our solution could decrease, our costs could increase, and our results of operations and financial condition could be harmed.</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U.S. treatment of data protection is accomplished by legislation at the federal level within sector-specific contexts and so definitions of what kinds of data are covered will vary from one law to the next. In recent years, a proliferation of comprehensive state data privacy laws was enacted in several jurisdictions in the US, in addition to those already in effect. Furthermore, as regulations continue to develop, enforcement actions may increase. As such, businesses are required to allocate adequate resources to ensure compliance with data privacy laws.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addition, AI has seen a significant expansion in terms of technology, adoption, proposed regulation and enforcement. In 2022, the White House Office of Science and Technology Policy (OSTP) released its “Blueprint for an AI Bill of Rights.” This nonbinding framework delineates five principles to guide the development of AI, including a section dedicated to data privacy, encouraging AI professionals to seek individuals’ consent on data use. The expansion of AI policies and regulation, particularly at the U.S. state level, is possible.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U.S. federal level, despite the American Data Privacy and Protection Act in 2022, there has not been significant advancement toward an omnibus privacy law.</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also run an insurance agency and brokerage unit that sells short-term insurance policies and selected insurance-related value-add vehicle products to our customers. This results in us receiving personally identifiable information with the customer’s consent. This information is increasingly subject to legislation and regulation. This legislation and regulation are generally intended to protect individual privacy and the privacy and security of personal information. We could be adversely affected if government regulations require us to significantly change our business practices with respect to this type of information or if the insurance providers who use our marketplace violate applicable laws and regulations.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Changes in applicable laws and regulations may materially increase our direct and indirect compliance and other expenses of doing business, having a material adverse effect on our business, financial condition and results of operations. If there were to be changes to statutory or regulatory requirements, we may be unable to comply fully with or maintain all required licenses and approvals. Regulatory authorities have relatively broad discretion to grant, renew and revoke licenses and approvals. If we do not have all requisite licenses and approvals, or do not comply with applicable statutory and regulatory requirements, the regulatory authorities could preclude or temporarily suspend us from carrying on some or all of our activities or institute financial penalties on us, which could have a material adverse effect on our business, results of operations and financial condition.</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cannot predict whether any proposed legislation or regulatory changes will be adopted, or what impact, if any, such proposals or, if enacted, such laws could have on our business, results of operations and financial condition. If we fail to comply with applicable laws and regulations, we may be subject to investigations, criminal penalties or civil remedies, including fines, injunctions, loss of an operating license or approval, increased scrutiny or oversight by regulatory authorities, the suspension of individual employees, limitations on engaging in a particular business or redress to customers. The cost of compliance and the consequences of non-compliance could have a material adverse effect on our business, results of operations and financial condition. In addition, a failure to comply with applicable laws and regulations could have a material adverse effect on our business, results of operations and financial condition by exposing us to negative publicity and reputational damage or by harming our customer or employee relationships.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most jurisdictions, government regulatory authorities have the power to interpret and amend applicable laws and regulations, and have discretion to grant, renew and revoke the various licenses and approvals we need to conduct our activities. Such authorities may require us to incur substantial costs in order to comply with such laws and regulations. Regulatory statutes are broad in scope and subject to differing interpretation. In some areas of our businesses, we act on our own or the industry’s interpretations of applicable laws or regulations, which may differ by jurisdiction. In the event those interpretations are different from the interpretations of regulatory authorities, we may be penalized or precluded from carrying on our previous activities.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1" w:name="page22"/>
    <w:bookmarkEnd w:id="21"/>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software platform may contain undetected defects or software errors, which could result in damage to our reputation, market rejection of our products, or adversely affect our business, financial condition and results of operations.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continued growth depends in part on the ability of our existing and potential customers to access our solutions and platform capabilities at any time and within an acceptable period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security-related incidents. We must update our SaaS platform quickly to keep pace with the rapidly changing market including the third-party software and devices with which our solutions integrate, and we have a history of frequently introducing new versions. Our solutions could contain undetected errors or defects, especially when first introduced or when new versions are released that are difficult to detect and correct despite third-party testing. Our solutions, including software, may not be free from errors or defects, which could result in damage to our reputation or a material adverse effect on our results of operations.</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It may become increasingly difficult to maintain and improve our performance, especially during peak usage times and as our solutions and platform capabilities become more complex and our user traffic increases. If our platform is unavailable or if our users are unable to access our solutions and platform capabilities within a reasonable amount of time or at all, we may experience a loss of customers, lost or delayed market acceptance of our platform and solutions, delays in payment to us by customers, harm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operation of our hardware is controlled by the firmware loaded on the hardware. We generally provide firmware updates to our customers by “over-the-air” wireless communication directly to our customers’ telematics devices. If the firmware does not function as expected and prevents the uploading of updated firmware, it would require direct servicing of the installed on-board computer by trained employees resulting in significant costs. Variations among communications protocols in the markets in which we operate enhance the risk of error in the remote installation of firmware. Although we attempt to manage this risk by introducing firmware updates in stages so that the success of deployment to a small number of telematics devices can be assessed before the installment risk is expanded to a larger customer base, there can be no assurance that we will be successful in detecting firmware operation and integration problems or otherwise in managing our exposure to remediation expense related to the deployment of firmware updates.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AI and generative AI tools presents risks and challenges that could adversely affect our business and require that we incur substantial costs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use AI and generative AI tools in certain of our products, services and operations, including customer service, data analytics, product development and code creation. AI is a rapidly evolving and disruptive technology and the long-term implications of its use are still uncertain. We expect that the increasing adoption and use of AI technologies will continue to accelerate and have significant impacts on our business and the industries we serve. Our competitors may incorporate AI more quickly or successfully and our solutions could become less competitive as a result. AI-related laws and regulations in the U.S., EU and a variety of other countries and jurisdictions are rapidly evolving and are subject to significant uncertainty and could impose significant compliance costs, restrict certain AI applications, or require us to alter our AI-related practices.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AI may also produce erroneous or misleading content and outputs that infringe on the intellectual property or data privacy rights of others. Although we take measures to address the accuracy and appropriate use of generative AI content, including through internal policies and training, these efforts may not always be successful. Any failure by our personnel, contractors, or partners to adhere to our policies, or otherwise use AI in an inappropriate manner, could result in violations of confidentiality obligations and laws or regulations, jeopardize our IP rights, or expose our products or business systems to defects and malware, any of which could damage our business and result in reputational, technical, or competitive harm.</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“over-the-air” transmission of firmware updates could permit a third party to disable our customers’ telematics devices or introduce malware into our customers’ telematics devices, which could expose us to customer claims.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“Over-the-air” transmission of our firmware updates potentially provides the opportunity for a third party to modify or disable our customers’ operating systems or introduce malware into our customers’ operating systems. While no such incidents have occurred to date, there can be no assurance that they will not occur in the future. For example, a third party could attempt to introduce software modifications providing incorrect location data and functionality or the deletion of data. Damage to our customers’ telematics devices as a result of such incidents could only be remedied through direct servicing of their installed telematics devices by trained employees resulting in significant costs, particularly if the incidents were to be widespread. Moreover, such incidents could expose us to various claims by our customers, the outcome of which would be uncertain. Third party interference with our over-the-air transmission of firmware or with our customers’ telematics devices during such processes could have a material adverse effect our business, financial condition and results of operations.</w:t>
      </w:r>
    </w:p>
    <w:p>
      <w:pPr>
        <w:spacing w:after="0" w:line="1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brand, reputation, and ability to attract, retain, and serve our customers are dependent upon the reliable performance of our service and our customers’ ability to access our solutions at all times. Our customers rely on our solutions to make operating decisions related to their fleet,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results of operations, including reducing our revenue, causing us to issue credits to customers, subjecting us to potential liability, increasing our churn rates, or increasing our cost of acquiring new customers.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4"/>
          <w:szCs w:val="14"/>
          <w:color w:val="auto"/>
        </w:rPr>
        <w:t>We host our solutions and serve all of our customers from our network servers, which are principally located at third-party data center facilities in South Africa, Singapore, the Netherlands, United Arab Emirates and France. While we control and have access to our servers and all of the components of our network that are located in our external data centers, we do not control the operation of these facilities. Problems faced by our third-party data centers with the telecommunications network providers with whom we or they contract, or with the systems by which our telecommunications providers allocate capacity among their customers, including us,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the nature and extent of which are difficult to predict. Our disaster recovery systems are located at third-party hosting facilities. While we are increasing our back-up capability, our systems have not been tested under actual disaster conditions and may not have sufficient capacity to recover all data and services in the event of an outage. In the event of a disaster in which our disaster recovery systems are irreparably damaged or destroyed, we could experience interruptions in access to our solutions.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customer retention rate. Compliance with the various data protection laws across nations is challenging due to the complex and sometimes contradictory nature of the different regulatory regimes. Because data protection regulations are not uniform among the various nations in which we operate, our ability to transmit consumer information across borders is limited by our ability to comply with conditions and restrictions that vary from country to country. In countries with particularly strict data protection laws, we might not be able to transmit data out of the country at all and may be required to host individual servers in each such country where we collect data.</w:t>
      </w:r>
    </w:p>
    <w:p>
      <w:pPr>
        <w:spacing w:after="0" w:line="3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experienced, and may experience in the future, disruptions, outages, and other performance problems due to a variety of factors, including infrastructure changes, introductions of new functionality, human or software errors, capacity constraints due to an overwhelming number of users accessing our solutions and platform capabilities simultaneously, denial of service attacks, or other security-related incidents. It may become increasingly difficult to maintain and improve our performance, especially during peak usage times and as our solutions and platform capabilities become more complex and our user traffic increases. If our solutions and platform capabilities are unavailable or if our users are unable to access our solutions and platform capabilities within a reasonable amount of time or at all, we may experience a loss of customers, lost or delayed market acceptance of our platform and solutions, delays in payment to us by customers, harm to our reputation and brand, legal claims against us, and the diversion of our resources. The systems we rely upon also remain vulnerable to damage or interruption from a number of other factors, including access to the internet, the failure of our network or software systems, or significant variability in visitor traffic on our product websites, earthquakes, floods, fires, power loss, telecommunication failures, computer viruses, human error and similar events or disruptions. Some of our systems are not fully redundant and our disaster recovery planning is not sufficient for all eventualities. Our systems are also subject to intentional acts of vandalism. Despite any precautions we may take, the occurrence of a natural disaster, a decision by any of our third-party hosting providers to close a facility we use without adequate notice for financial or other reasons, or other unanticipated problems at our hosting facilities could cause system interruptions and delays, and result in loss of critical data and lengthy interruptions in our services.</w:t>
      </w:r>
    </w:p>
    <w:p>
      <w:pPr>
        <w:spacing w:after="0" w:line="15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Cybersecurity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adverse effect on our business, financial condition, results of operations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Security or privacy breaches in our electronic transactions or data may expose us to additional liability or result in a loss of customers, either of which events could harm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3" w:name="page24"/>
    <w:bookmarkEnd w:id="23"/>
    <w:p>
      <w:pPr>
        <w:jc w:val="both"/>
        <w:spacing w:after="0" w:line="260" w:lineRule="auto"/>
        <w:rPr>
          <w:sz w:val="20"/>
          <w:szCs w:val="20"/>
          <w:color w:val="auto"/>
        </w:rPr>
      </w:pPr>
      <w:r>
        <w:rPr>
          <w:rFonts w:ascii="Times New Roman" w:cs="Times New Roman" w:eastAsia="Times New Roman" w:hAnsi="Times New Roman"/>
          <w:sz w:val="14"/>
          <w:szCs w:val="14"/>
          <w:color w:val="auto"/>
        </w:rPr>
        <w:t>Use of our solutions involve the storage, transmission and processing of our customers’ proprietary data, including potentially personal or identifying information. We may experience data security breaches or unauthorized disclosures of personal, confidential or proprietary information. Any inability on our part to protect the information security of our SaaS platform or the privacy of confidential information could have a material adverse effect on our profitability by exposing us to additional liability, increasing our expenses relating to resolution of these breaches and deterring users from using our solutions. Further, unauthorized access to, or security breaches of, our solutions could result in the loss, compromise or corruption of data, loss of business, severe reputational damage adversely affecting customer or investor confidence, regulatory investigations and orders, litigation, indemnity obligations, damages for contract breach, penalties for violation of applicable laws or regulations, significant costs for remediation and other liabilities. For example, under the GDPR, substantial penalties for failure to comply with the regulations can be imposed, including a fine of up to €20 million or up to 4% of the annual worldwide turnover, whichever is greater. We have incurred and expect to incur significant expenses to prevent security breaches and achieve compliance with all applicable laws and regulations including the GDPR, such as deploying additional employees and protection technologies, training employees, and engaging third-party experts and consultants. Our errors and omissions insurance coverage mitigating certain security and privacy damages and claim expenses may not be sufficient to compensate for all liabilities we may incur.</w:t>
      </w: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our and our third-party vendors’ systems, operations and information technology systems are vulnerable to damage or interruption from human error, physical break- ins, unauthorized access, computer hackers, computer viruses, worms, malicious applications, distributed denial of service attacks, spurious spam attacks, intentional acts of vandalism and similar events. The availability and use of AI-enabled technologies also increase the sophistication and threat posed to information technology systems. We cannot guarantee that our current security methods and measures will effectively counter evolving security risks, prevent future slowdowns or disruptions, protect against extraordinary attacks while addressing the security and privacy requirements of existing and future users. Any physical or electronic break-in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 Although we have developed systems and processes that are designed to protect customer information and prevent data loss and other security breaches, including systems and processes designed to reduce the impact of a security breach at a third-party vendor, such measures cannot provide absolute security. It is also possible that, despite existing safeguards, our employees could misappropriate our customers’ proprietary information or data, exposing us to a risk of loss or litigation and possible liability. Customers and other end-users who rely on our solutions for applications that are integral to their businesses may have a greater sensitivity to security vulnerabilities than customers for software solutions generally. Any such access, breach, or other loss of information could result in legal claims or proceedings, liability under applicable federal or state laws and regulatory penalties. Under certain applicable law, notice of breaches must be made to affected individuals, and for extensive breaches, notice may need to be made to the media or state attorneys general. Such a notice could harm our reputation and our ability to compete. Unauthorized access, loss, or dissemination could also damage our reputation or disrupt our operations, including our ability to conduct our analyses, deliver results, provide customer assistance, conduct research and development activities, collect, process, and prepare company financial information, and manage the administrative aspects of our business. Further, any system failures, slowdowns or disruptions will likely result in unanticipated disruptions in service to our users, decreased levels of user satisfaction and significant negative effects on our reputation, which could have a material adverse effect on our business.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rely on third-party encryption and authentication technology to provide secure transmission of confidential information over the Internet, including customer bank account numbers. Advances in technological capabilities, new discoveries in the field of cryptography or other events or developments could result in a compromise or breach of the technology we use to protect sensitive transaction data. If we are unable to detect and prevent unauthorized use of bank account numbers, our business could suffer. If any such compromise of our security, or the security of our customers, were to occur, it could result in misappropriation of proprietary information or interruptions in operations and have a material adverse effect on our reputation or the reputation of our customers.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4" w:name="page25"/>
    <w:bookmarkEnd w:id="24"/>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SaaS platform does not comply with quality standards set forth under our subscription agreements or we breach our obligations under our subscription agreements, our subscribers may assert claims for reduced payments or seek damages from us.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Under our subscription contracts, we typically provide certain representations and warranties to our subscribers, including, among others, that we have not knowingly incorporated any intellectual property which infringes the rights of any third-party, the software being delivered has been developed as per the specifications provided and is free from any patent defects and services will be provided with reasonable care.</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the case of any breach of these representations and warranties, we would be required to take certain remedial steps, including: modifying the solution, defending our subscribers in any litigation arising from an intellectual property rights infringement claim by a third-party, providing functionally equivalent replacements to the subscribers, rectifying the defect and indemnifying our subscribers for any direct losses arising from such a breach of representations and warranties.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Such steps may involve significant monetary costs and management time. Any inability to predict our performance and measure our productivity would further compound these risks and expose us to additional liabilities. Our subscribers could seek significant compensation from us for the losses they suffer. Although our subscription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costly and could seriously damage our reputation in the marketplace, making it harder for us to sell our solutions.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assertion by a third party that we are infringing on its intellectual property could subject us to costly and time-consuming litigation or expensive licenses and our business could be harmed.</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industries in which we operate are characterized by the existence of entities, including leading companies, competitors, patent holding companies and non-practicing entities that hold a large number of patents, copyrights, trademarks and trade secrets. Further, the industries are characterized by frequent litigation based on allegations of infringement or other violations of intellectual property rights. Such entities may assert patent, copyright, trademark or other intellectual property claims against us, our customers and partners, and those from whom we license technology and intellectual property. Much of this litigation involves patent holding companies or other adverse patent owners who have no relevant product revenues of their own. We do not have a patent portfolio of our own and even if we did, a patent portfolio may provide little or no deterrence to such patent holding companies or non-practicing entities.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5" w:name="page26"/>
    <w:bookmarkEnd w:id="25"/>
    <w:p>
      <w:pPr>
        <w:jc w:val="both"/>
        <w:spacing w:after="0" w:line="260" w:lineRule="auto"/>
        <w:rPr>
          <w:sz w:val="20"/>
          <w:szCs w:val="20"/>
          <w:color w:val="auto"/>
        </w:rPr>
      </w:pPr>
      <w:r>
        <w:rPr>
          <w:rFonts w:ascii="Times New Roman" w:cs="Times New Roman" w:eastAsia="Times New Roman" w:hAnsi="Times New Roman"/>
          <w:sz w:val="14"/>
          <w:szCs w:val="14"/>
          <w:color w:val="auto"/>
        </w:rPr>
        <w:t>Legal proceedings involving intellectual property rights are highly uncertain, and can involve complex legal and scientific questions. We cannot assure you that we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Insurance may not cover or be insufficient for any such claim. In addition, we could be obligated to indemnify our customers against third parties’ claims of intellectual property infringement based on our solutions. If our solutions violate any third-party intellectual property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results of operations. Withdrawal of any of our solutions from the market could also harm our business, financial condition and results of operations. Further, we may not have the ability to terminate or amend our supplier contracts in connection with such solutions being withdrawn from the market, nor may we have recourse through representations, warranties, indemnification provisions or otherwise in such supplier contracts.</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we incorporate open-source software into our platform. Given the nature of open-source software, third parties might assert copyright and other intellectual property infringement claims against us based on our use of certain open-source software programs, particularly in the United States. The terms of many open-source licenses to which we are subject have not been interpreted by U.S. courts or courts of other jurisdictions,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our intellectual property and proprietary technologies, our business may be adversely affected.</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future success and competitive position depend in large part on our ability to protect our intellectual property and proprietary technologies. We rely on a combination of trademark, copyright, and trade secret laws, as well as confidentiality procedures and contractual restrictions, to establish and protect our intellectual property rights, all of which provide only limited protection and may not currently or in the future provide us with a competitive advantage.</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enter into confidentiality agreements with our employees, independent contractors and other individual advisors and enter into confidentiality agreements with licensees and other third parties, including suppliers and partners. We have not entered into invention assignment agreements with licensees and third parties. However, we cannot guarantee that we have entered into such agreements with each party that has or may have had access to our proprietary information, know-how and trade secrets. Moreover, no assurances can be given that these agreements effectively prevent access to, distribution, use, misuse, misappropriation, reverse engineering or disclosure of confidential or proprietary information. Further, these agreements may not provide adequate remedy in the event of unauthorized disclosure of confidential or proprietary information. In addition, others may independently discover our trade secrets or develop similar technologies and processes, and, in either event we would not be able to assert trade secret rights.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4"/>
          <w:szCs w:val="14"/>
          <w:color w:val="auto"/>
        </w:rPr>
        <w:t>We also rely to a limited extent on trademark and copyright law. We have no patents or patent applications. We cannot make any assurances that any future trademark registrations will be issued for pending or future applications or that any registered trademarks will be enforceable or provide adequate protection of our proprietary rights. Intellectual property rights protection is territorial in nature and therefore, successfully obtaining intellectual property rights protection in one jurisdiction may not necessarily provide protection in another jurisdiction. For example, while we have obtained certain registered trademarks in South Africa, Namibia, Nigeria and Tanzania, we have not obtained registered trademarks in all of the jurisdictions in which we operate or plan to operate. Accordingly, we rely primarily on common law or unregistered rights in such jurisdictions, which may not provide the same scope of protection as registered trademarks and may be insufficient for our business. In addition, third-parties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cannot guarantee that any patents or trademarks will issue from any future patent or trademark applications, that any patents or trademarks that issue from such applications will give us the protection that we seek, or that any such patents or trademarks will not be challenged, invalidated, or circumvented. Any patents or trademarks that may be issued in the future from future patent and trademark applications may not provide sufficiently broad protection and may not be enforceable in actions against alleged infringers.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Even upon intellectual property rights registration, 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results of operations and prospects and the legal remedies available to us may not adequately compensate us.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cannot guarantee that the steps we take will be adequate to protect our technologies and intellectual property, that any patent and trademark applications will lead to issued patents or registered trademarks, that others will not develop or patent similar or superior technologies or solutions, or that our trademarks and other intellectual property will not be challenged, invalidated, or circumvented by others. Furthermore, effective patent, trademark, copyright, and trade secret protection may not be available in every country in which our solutions are available or where we have employees or independent contractors. In addition, the legal standards relating to the validity, enforceability, and scope of protection of intellectual property rights in Internet-related industries are uncertain and still evolving. The steps we have taken and will take may not prevent unauthorized use, reverse engineering, or misappropriation of our technologies and we may not be able to detect any of the foregoing. Defending and enforcing our intellectual property rights may result in litigation, which can be costly and divert management attention and resources. Any such litigation may not be successful even if such rights have been infringed and an adverse decision could limit the scope of such rights. If our efforts to protect our technologies and intellectual property are inadequate, the value of our intangible assets may be diminished and competitors may be able to replicate our solutions and methods of operations. Any of the foregoing events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Legal Proceedings</w:t>
      </w:r>
    </w:p>
    <w:p>
      <w:pPr>
        <w:spacing w:after="0" w:line="1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exposed to product liability and product warranty claims in the normal course of business, in the event that our solutions actually or allegedly fail to perform as expected, or the use of our solutions results, or is alleged to result, in non-compliance with applicable regulations, bodily injury and/or property damage. Our safety and security services may be disabled or prove to be ineffective as a result of techniques employed by car thieves or the discovery of technological weaknesses by such persons. We could experience material product warranty or product liability costs in the future.</w:t>
      </w: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Effective January 24, 2025, our third-party recovery service provider offers a service recovery warranty on certain contracts to our clients, payable in the event that they fail to recover a stolen vehicle and provided the client has met a list of contractual obligations. If the recovery rate for stolen vehicles decreases, our service provider may be subject to an increased number of claims. We may incur considerable costs in relation to future litigation should the service provider fail to honor the service recovery warranty.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4"/>
          <w:szCs w:val="14"/>
          <w:color w:val="auto"/>
        </w:rPr>
        <w:t>If there were a systematic failure of any of our solutions, we could suffer significant damage to our reputation and any product liability insurance we maintain might not be sufficient to prevent us from suffering a material economic loss. While we carry insurance and maintain reserves for product liability claims, we have not established a liability reserve under these warranties. Our insurance coverage may be inadequate if such claims do arise, and any defense costs and liability not covered by insurance could have a material adverse impact on our financial condition, results of operations or cash flow. A future claim could involve the imposition of punitive damages, the award of which, pursuant to local laws, may not be covered by insurance. In addition, warranty and certain other claims are not typically covered by insurance. Any product liability or warranty issues may adversely impact our reputation as a manufacturer of high-quality, effective and safe solutions and could have a material adverse effect on our business, results of operations and financial condition.</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Furthermore, 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Internal fraud, which may include the stealing and dissemination of customers’ personally identifiable information, may also create significant customer distrust and result in litigation against us. Actions taken by third-party security officers involved in SVR operations as part of our services may also result in legal proceedings and claims which could then result in reputational harm to us or criminal and/or civil liability, including monetary damages or other penalties. See “Risk Factors— Risks Relating to Our Reliance on Third Parties—The conduct of third-party security officers engaged in SVR operations in support of our services from time to time involves the use of force, which could expose the Company to reputational harm or, potentially, civil and/or criminal liability.”</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are unable to predict the outcome of such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resulting in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Operations in South Africa and Other Emerging Markets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conduct a material amount of our business in foreign currencies, which heightens our exposure to the risk of exchange rate fluctuations.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subject to fluctuations in foreign exchange rates between the South African rand, our reporting currency, and currencies of other countries where we market our solutions or source our raw components, for example the Euro, Thai baht, the Singapore dollar, Polish zloty and U.S. dollar. Such fluctuations may result in significant increases or decreases in our reported revenue and other results as expressed in South African rand, and in the reported value of our assets, liabilities and cash flows. In addition, currency fluctuation may adversely affect receivables, payables, debt, firm commitments and forecast transactions denominated in foreign currencies. In particular, translation risks arise where parts of the cost of revenue are not denominated in the same currency of such sales. The U.S. dollar/South African rand exchange rates have historically been volatile and we expect this volatility to continue. Fluctuation in exchange rates, depreciation of local currencies, changes in monetary and/or fiscal policy or inflation in the countries in which we operate could negatively impact the prices at which the ordinary shares trade and have a material adverse effect on our business, financial condition, results of operations and prospects.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controls may restrict the ability of our subsidiaries to convert or transfer sums in foreign currencies.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ability to generate operating cash flows at the holding company level depends on the ability of our subsidiaries, including Cartrack Holdings Proprietary Limited, to upstream funds. In particular, companies operating in South Africa are subject to exchange control limitations. Exchange controls in South Africa are administered by the South African Reserve Bank (“SARB”) pursuant to the Exchange Control Regulations, 1961, as amended, which regulates transactions between South African residents and non-residents. While exchange controls have been relaxed in recent years and may continue to be relaxed, South African companies remain subject to restrictions on their ability to export capital outside of the Common Monetary Area, which includes South Africa, Namibia, Lesotho and Eswatini. In addition, as the cash flows of certain countries are highly dependent on the export of certain raw materials, the ability to convert such currencies can be limited by the timing of payments for such exports, which may require us to organize our currency conversions around such constraints. These restrictions may affect the manner in which we finance our transactions outside South Africa and the geographic distribution of our debt.</w:t>
      </w:r>
    </w:p>
    <w:p>
      <w:pPr>
        <w:spacing w:after="0" w:line="1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can offer no assurance that additional restrictions on currency exchange will not be implemented in the future or that these restrictions will not limit the ability of our subsidiaries to transfer cash to us, which could have a material adverse effect on our business, financial condition, results of operations and prospects.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markets in which we operate are exposed to high inflation and interest rates which could increase our operating costs and thereby reduce our profitability.</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economies of countries in which we operate, including South Africa, Mozambique, Tanzania and Kenya in the past have been, and in the future may continue to be, characterized by rates of inflation and interest rates that are substantially higher than those prevailing in the United States and other highly developed economies. High rates of inflation could increase our costs in such regions and decrease our operating margins. In particular, the inflation rate in South Africa, where we have significant operations, is relatively high compared to developed, industrialized countries. As at February 2025, the annual CPI stood at 3.2% compared to 5.6% in February 2024. Inflation in South Africa generally results in an increase in our operational costs in rand. Higher and sustained inflation in the future, with a consequent increase in operational costs could have a material adverse effect on our results of operations and our financial condition and could result in operations being discontinued or reduced or rationalized, which could have a material adverse effect on our business, financial condition and results of operations.</w:t>
      </w:r>
    </w:p>
    <w:p>
      <w:pPr>
        <w:spacing w:after="0" w:line="1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Although higher interest rates would increase the amount of income we earn on our cash balances, they would also adversely affect our ability to obtain cost-effective debt financing in certain countries in which we operate.</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laws and regulations which we are subject to, such as U.S. and other anti-corruption laws, trade controls, economic sanctions and similar laws and regulations in the jurisdictions which we operate, are complex and the regulatory and political regimes under which we operate are volatile. Our failure to comply with the relevant laws, regulations, executive orders and directives could subject us to civil, criminal and administrative penalties and harm our reputation.</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Doing business on a worldwide basis requires us to comply with the laws and regulations of various foreign jurisdictions, including those not specifically related to our industry. These laws, regulations, executive orders, directives and enforcement priorities place restrictions on our operations, trade practices, partners and investment decisions. In particular, our operations are subject to U.S. and foreign anti-corruption and trade control laws and regulations, such as the Foreign Corrupt Practices Act (the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As part of our business, we may deal with state-owned business enterprises, the employees of which are considered foreign officials for purposes of the FCPA. In addition, the United Kingdom Bribery Act (the “Bribery Act”) extends beyond bribery of foreign public officials and also apply to transactions with individuals not employed by a government. The provisions of the Bribery Act are also more onerous than the FCPA in a number of other respects, including jurisdiction, non- exemption of facilitation payments and penalties. Some of the international locations in which we operate lack a developed legal system and have higher than normal levels of corruption.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Economic sanctions programs restrict our business dealings with certain sanctioned countries, persons and entities, such as Zimbabwe, a country in which we have a licensee.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partners take inside or outside of the United States, even though our partners may not be subject to these laws. Such a violation, even if our policies prohibit it, could have a material adverse effect on our reputation, business, results of operations and financial condition.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9" w:name="page30"/>
    <w:bookmarkEnd w:id="29"/>
    <w:p>
      <w:pPr>
        <w:jc w:val="both"/>
        <w:spacing w:after="0" w:line="265" w:lineRule="auto"/>
        <w:rPr>
          <w:sz w:val="20"/>
          <w:szCs w:val="20"/>
          <w:color w:val="auto"/>
        </w:rPr>
      </w:pPr>
      <w:r>
        <w:rPr>
          <w:rFonts w:ascii="Times New Roman" w:cs="Times New Roman" w:eastAsia="Times New Roman" w:hAnsi="Times New Roman"/>
          <w:sz w:val="14"/>
          <w:szCs w:val="14"/>
          <w:color w:val="auto"/>
        </w:rPr>
        <w:t>Our continued international expansion, including in developing countries, and our development of new partnerships and joint venture relationships worldwide, could increase the risk of FCPA, OFAC or Bribery Act violations in the future. Additionally, 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export regulations, including restrictions on future export activities, which could harm our business and results of operations. Regulatory restrictions could impair our access to technologies needed to improve our solutions and may also limit or reduce the demand for our solutions in certain geographic regions.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Furthermore, we currently market regulated insurance products as an intermediary agent in South Africa through an authorized Financial Services Provider (“FSP”) that is a wholly owned subsidiary of ours. FSPs are subject to a variety of regulations, including the Financial Advisory and Intermediary Services Act, No. 37 of 2002. We may from time to time face challenges resulting from changes in applicable law and regulations in South Africa, or changes in approach to oversight of our business from insurance or other regulators in South Africa.</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Additionally, we have to comply with the South African anti-corruption law, the Prevention and Combating of Corrupt Activities Act, No. 12 of 2004, as amended (“PRECCA”). This law prohibits public and private bribery and criminalizes various categories of corrupt activities. PRECCA also contains a reporting obligation to authorities of known or suspected corrupt activities which is triggered when the value of any known or suspected acts of corruption exceeds ZAR 100,000. Failure to report said corrupt activities is a criminal offense under PRECCA and imposes significant penalties on those convicted of corrupt activities. Regulation 43 of the South African Companies Act No. 71 of 2008 (“South African Companies Act”) also contains a number of anti-corruption compliance obligations that we must adhere to.</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Although we have policies and procedures in place to comply with financial crime regulation, these policies and procedures may not prevent all situations of money laundering, bribery, fraud or corruption, including actions by our employees, for which we might be held responsible. Any such event may have severe consequences, including sanctions, fines and reputational consequences, which could have a material adverse effect on our business, financial condition, results of operations and prospects.</w:t>
      </w:r>
    </w:p>
    <w:p>
      <w:pPr>
        <w:spacing w:after="0" w:line="13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Operating in emerging markets, such as South Africa, subjects us to greater political, economic and market risks than those we would face if we only operated in more developed markets, which could increase our operating costs.</w:t>
      </w:r>
    </w:p>
    <w:p>
      <w:pPr>
        <w:spacing w:after="0" w:line="1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For the financial year ended February 28, 2025, 74% (FY 2024: 75%) of our revenue was derived from South Africa. Emerging markets, including South Africa, are subject to greater risks than more developed markets. The political, economic and market conditions in many emerging markets present risks that could make it more difficult to operate our business successfully. These risks include:</w:t>
      </w:r>
    </w:p>
    <w:p>
      <w:pPr>
        <w:spacing w:after="0" w:line="305" w:lineRule="exact"/>
        <w:rPr>
          <w:sz w:val="20"/>
          <w:szCs w:val="20"/>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emerging market economies;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including higher rates of inflation and currency fluctuations;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levels of crime and unemployment;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inconsistent supply or failure of infrastructure;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levels of corruption, including bribery of public officials;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due to civil strife, acts of war or terrorism, guerrilla activities and insurrection;</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lack of well-developed legal systems which could make it difficult for us to enforce our intellectual property and contractual rights;</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adverse changes in laws and regulatory practices, including import and export license requirements and restrictions, tariffs, taxation and other laws or policies affecting foreign trade or investment;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30" w:name="page31"/>
    <w:bookmarkEnd w:id="30"/>
    <w:p>
      <w:pPr>
        <w:ind w:left="520" w:hanging="25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right to convert or repatriate currency or export assets;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or changes to indigenization and empowerment programs;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logistical and communications challenges;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operations and ensuring the safety of our employees;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risk of uncollectible accounts and longer collection cycles; and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downgrades of the debt ratings of the countries in which we operate, particularly in South Africa, where the current sovereign debt credit rating is below investment grade, with a predominantly stable outlook;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are unable to effectively manage these risks, it could have a material adverse effect on our business, financial condition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operations in other African and Asian countries, and governments in Africa and Asia have in the past intervened in the economies of their respective countries and occasionally made significant changes in policy and regulations. Governmental actions have often involved, among other measures, nationalizations and expropriations, price controls, currency devaluations, mandatory increases on wages and employee benefits, capital controls, limits on imports and arbitrary interference with private ownership of contract rights. Our business, financial condition and results of operations may be adversely affected by changes in government policies or regulations, including such factors as exchange rate and exchange control policies, inflation control policies, price control policies, consumer protection policies, import duties and restrictions, liquidity of domestic capital and lending markets, electricity rationing, tax policies, including tax increases and retroactive tax claims, and other political, diplomatic, social and economic developments in or affecting the countries in which we operate. In the future, the level of intervention by African and Asian governments may continue to increase. It is difficult to predict the future political, economic and market environment in these countries, and these or other measures could have a material adverse effect on the economy of the countries in which we operate and, consequently,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the risk of disruption from labor disputes and changes to labor laws, which could result in significant additional operating costs or alter our relationship with our employees.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are required to comply with extensive labor regulations in each of the countries in which we have employees, including with respect to wages, social security benefits and termination payments. In particular, 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significant costs.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Labor legislation in South Africa has stringent requirements in relation to the relationship with employees. For example, under the Labour Relations Amendment Act, No. 66 of 1995 (as amended) (the “LRA”), an employee on a fixed term contract must be permanently employed unless the employer can establish justification for employment on a fixed term basis. The reasons available to an employer for justifying a fixed term contract are limited. Temporary employees are required to be given the same pay and benefits as permanent employees, including pensions and medical insurance coverage. The LRA provides strict penalties for failure to comply with its provisions and in certain instances breach of the legislation amounts to a criminal offense.</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Furthermore, the Employment Equity Act, No. 55 of 1998 (as amended) (the “EEA”) creates obligations and administrative requirements in respect of non-discrimination and equity in employment matters. Fines of up to 10% of revenue may be imposed in the event of non-compliance with certain provisions of the EEA.</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addition, future changes to South African legislation and regulations relating to labor may increase our costs or alter our relationship with our employees. Resulting disruptions could have a material adverse effect on our business, results of operations and financial condition.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31" w:name="page32"/>
    <w:bookmarkEnd w:id="31"/>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applicable black economic empowerment objectives in our South African operations, we risk early termination of certain of our subscription contracts and the loss of the corresponding revenue.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South African government, through the Broad-Based Black Economic Empowerment Act No, 53 of 2003 (as amended), and the codes of good practice and industry charters published pursuant thereto, has established a legislative framework for the promotion of broad-based black economic empowerment, or “B-BBEE”. Achievement of specified B- BBEE objectives is measured by a scorecard which establishes a weighting for the various objectives of B-BBEE, which include procuring goods and services from black-owned businesses (or from businesses that have earned good B-BBEE scores) and achieving certain levels of black South African employment and management participation, which is then translated to an entity’s “contributor level”. Compliance may affect the ability of a company to secure contracts in the public and private sectors in South Africa. We have some customers that require us to maintain specific/specified B-BBEE contributor levels as measured under the Amended Broad-Based Black Economic Empowerment Information and Communication Technology Sector Code. We currently maintain a level 8 B-BBEE contributor level.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government has set, and is in the process of setting, specific equity targets by sector and region, where transformation initiatives have lagged.</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Failing to achieve or maintain a specified B-BBEE contributor level could affect our ability to maintain existing customers or to sell to large enterprise customers in South Africa, which could have an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regulations and challenges by tax authorities could have a material adverse effect on us and we may be subject to challenges by tax authorities.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operate in a number of countries and are therefore regularly examined by and remain subject to numerous tax regulations. Changes in our global mix of earnings could affect our effective tax rate.</w:t>
      </w:r>
    </w:p>
    <w:p>
      <w:pPr>
        <w:spacing w:after="0" w:line="3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Furthermore, changes in tax laws could result in higher tax-related expenses and payments. Legislative changes in any of the countries in which our businesses operate could materially impact our tax receivables and liabilities as well as deferred tax assets and deferred tax liabilities. Additionally, the uncertain tax environment in some regions in which our businesses operate may limit our ability to successfully challenge adverse determination by any local tax authorities. Some of our businesses operate in countries with complex tax rules, which may be interpreted in a variety of ways and could affect our effective tax rate. Future interpretations or developments of tax regimes or a higher than anticipated effective tax rate could have a material adverse effect on our tax liability, return on investments and business operations.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we and our businesses operate in, are incorporated in and are tax residents of, various jurisdictions. The tax authorities in the various jurisdictions in which we and our businesses operate, or are incorporated, may disagree with and challenge our assessments of our transactions, tax position, deductions, exemptions, where we or our subsidiaries or businesses are tax resident, or other matters. If we, or our businesses, are unsuccessful in responding to any such challenge from a tax authority, we, or our businesses, may be required to pay additional taxes, interest, fines or penalties, we, or our businesses, may be subject to taxes for the same business in more than one jurisdiction or may also be subject to higher tax rates, withholding or other taxes. A successful challenge could potentially result in payments to the relevant tax authority of substantial amounts that could have a material adverse effect on our financial condition and results of operations.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Even if we, or our businesses, are successful in responding to challenges by taxing authorities, responding to such challenges may be expensive, consume time and other resources, or divert management’s time and focus from our operations or businesses or from the operations of our businesses. Therefore, a challenge as to our, or our businesses’, tax position or status or transactions, even if unsuccessful, may have a material adverse effect on our business, financial condition, results of operations or liquidity of our businesses.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2" w:name="page33"/>
    <w:bookmarkEnd w:id="32"/>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 breach of any of the covenants or other provisions contained in funding facilities could result in an event of default, which could result in amounts outstanding under these facilities becoming immediately due and payable as well as foreclosure by our lenders upon our critical assets.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wholly-owned subsidiary, Cartrack (Pty) Ltd, entered into a short-term facility with Capitec Bank Limited and Purple Rain Properties No 444 Proprietary Limited, also a wholly-owned subsidiary, entered into a mortgage bond in favor of First Rand Bank Limited and a short-term facility with The Standard Bank of South Africa Limited. These facilities are more fully described under Item 5.B. “Operating and Financial Review and Prospects - Liquidity and Capital Resources - Loan and Funding Facilities.”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Similarly, Cartrack Portugal, S.A., secured a EUR 2.0 million loan from Banco Comercial Português, S.A.</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the event that we enter into a funding facility with any of our bankers, it is customary for obligations under such credit facility agreement to be guaranteed by one or more of our significant subsidiaries and to be secured by a lien on bank accounts, cash and cash equivalent investments, intellectual property, insurance policies, insurance proceeds and a pledge of the shares of certain of our subsidiaries incorporated in South Africa. A breach of any of these covenants or other provisions of credit facilities could result in an event of default, which if not cured or waived, could result in amounts outstanding under such credit facilities becoming immediately due and payable. In the event that some or all of the amounts outstanding under such credit facilities are accelerated and become immediately due and payable, we may not have the funds to repay, or the ability to refinance, such outstanding amounts under the credit facilities, or our lenders could foreclose upon critical assets, which could have a material adverse effect on our business, results of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practices of insurance companies in the markets in which we provide our solutions could have an adverse effect on demand for products and services.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depend in part on the practices of insurance companies in some of our markets to support demand for our SaaS platform. For example, in South Africa, which is currently our largest market based on new subscriber additions,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40" w:lineRule="exact"/>
        <w:rPr>
          <w:sz w:val="20"/>
          <w:szCs w:val="20"/>
          <w:color w:val="auto"/>
        </w:rPr>
      </w:pPr>
    </w:p>
    <w:p>
      <w:pPr>
        <w:ind w:left="520" w:hanging="256"/>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accepting mobile asset location technologies such as ours as a preferred security product;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premium discounts for using location and recovery products and services such as ours;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mandating the use of our products and services, or similar products and services, for certain vehicles.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If any of these policies or practices change, revenues from the sale of our solutions could decline, which could have a material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Investments in Singapore Companies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3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corporate affairs are governed by our constitution and by the laws governing companies incorporated in Singapore. The rights of our shareholders and the responsibilities of the members of our board of directors under Singapore law may be different from those applicable to a corporation incorporated in the United States. Therefore, our public shareholders may have more difficulty in protecting their interests in connection with actions taken by us, our management, members of our board of directors or our controlling shareholder than they would as shareholders of a corporation incorporated in the United States. For example, controlling shareholders in corporations incorporated in Delaware are subject to fiduciary duties while controlling shareholders in Singapore companies are not subject to such duties.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only persons who are registered as shareholders in our register of members are recognized under Singapore law as our shareholders. Only registered shareholders have legal standing to institute shareholder actions against us or otherwise seek to enforce their rights as shareholders. Investors in our ordinary shares who are not specifically registered as shareholders in our register of members (for example, where such shareholders hold ordinary shares indirectly through the depository trust company “DTC”) are required to be registered as shareholders in our register of members in order to institute or enforce any legal proceedings or claims against us, our directors or our executive officers relating to shareholder rights. The administrative process of becoming a registered shareholder could result in delays prejudicial to any such legal proceeding or enforcement action. See Exhibit 2.2 “Description of Ordinary Shares—Comparison of Shareholder Rights” for a discussion of certain differences between Singapore and Delaware corporation law.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It may be difficult for you to enforce any judgment obtained in the United States against us, our directors, officers or our affiliates.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majority of our directors and officers reside outside the United States. In addition, a majority of our assets and the assets of those persons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spacing w:after="0" w:line="3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an action brought in the Singapore courts against us or such persons with respect to a violation solely of the federal securities laws of the United States.</w:t>
      </w:r>
    </w:p>
    <w:p>
      <w:pPr>
        <w:spacing w:after="0" w:line="1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holders of book-entry interests in the ordinary shares (for example, where such shareholders hold ordinary shares indirectly through the DTC) will be required to be registered shareholders as reflected in our register of members in order to have standing to bring a shareholder action and, if successful, to enforce a foreign judgment against us, our directors or our executive officers in the Singapore courts. Any such enforcement action would be subject to applicable Singapore laws. The administrative process of becoming a registered shareholder could result in delays that could be prejudicial to any legal proceeding or enforcement action. In making a determination as to enforceability of a judgment of a state court or a federal court of the United States, the Singapore courts would have regard to, among others, whether the judgment was final and conclusive, given by a court of law of competent jurisdiction, expressed to be for a fixed sum of money, whether it was procured by fraud, or in breach of principles of natural justice, or whether the enforcement thereof would be contrary to public policy.</w:t>
      </w:r>
    </w:p>
    <w:p>
      <w:pPr>
        <w:spacing w:after="0" w:line="1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Accordingly, there can be no assurance that the Singapore courts would enforce against us, our directors or our officers, judgments obtained in the United States which are predicated upon the civil liability provisions of the federal securities laws of the United States.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Subject to the general authority to allot and issue new ordinary shares provided by our shareholders, the Singapore Companies Act and our constitution, our directors may allot and issue new ordinary shares on terms and conditions and for such purposes as may be determined by our board of directors in its sole discretion. Any issuance of new shares would dilute the percentage ownership of existing shareholders and could adversely impact the market price of our ordinary shares.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Under Singapore law, we may only allot and issue new ordinary shares with the prior approval of our shareholders in a general meeting. Subject to the general authority to allot and issue new ordinary shares provided by our shareholders, the provisions of the Singapore Companies Act, and our constitution, we may allot and issue new ordinary shares on such terms and conditions as our directors may think fit to impose. Such terms and conditions may be adverse to the rights of holders of our ordinary shares. Any additional issuances of new ordinary shares could dilute the percentage ownership of our existing shareholders and may adversely impact the market price of our ordinary shares.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Because new issuances of ordinary shares are subject to shareholder approval, if a sufficient number of shares have not been approved for issuance in any given year, we may be delayed in raising capital through equity offerings or delayed or prevented from consummating an acquisition using our ordinary shares.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Assuming shareholders have approved the issuance of new shares, we may seek to raise capital in the future, including to fund acquisitions, future investments and other growth opportunities. We may, for these and other purposes, issue additional ordinary shares or securities convertible into ordinary shares. Any additional issuances of new ordinary shares could dilute the percentage ownership of our existing shareholders and may also adversely impact the market price of our ordinary shares.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laws of Singapore, which differ in certain material respects from the laws of the United States.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a Singapore-incorporated company, we are required to comply with the laws of Singapore, certain of which are capable of extra-territorial application, as well as our constitution. In particular, we are required to comply with certain provisions of the Securities and Futures Act, Chapter 289 of Singapore, which prohibit certain forms of market conduct and information disclosures, and impose criminal and civil penalties on corporations, directors and officers in respect of any breach of such provisions. In addition, the Singapore Code on Take-Overs and Mergers, or “Singapore Take-Over Code”, which specifies, among other things, certain circumstances in which a general offer is to be made upon a change in control of a Singapore-incorporated public company, and further specifies the manner and price at which voluntary and mandatory general offers are to be made.</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laws of Singapore and of the United States differ in certain significant respects. The rights of our shareholders and the obligations of our directors and officers under Singapore law may be different from those applicable to U.S. corporations, including those incorporated in Delaware, in material respects, and our shareholders may have more difficulty and less clarity in protecting their interests in connection with actions taken by our management, members of our board of directors or our controlling shareholders than would otherwise apply to U.S. corporations, including those incorporated in Delaware. See Exhibit 2.2 “Description of Ordinary Shares—Comparison of Shareholder Rights” for a discussion of certain differences between Singapore and Delaware corporation law.</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 application of Singapore law, in particular, the Singapore Companies Act may, in certain circumstances, impose more restrictions on us, our shareholders, directors and officers than would otherwise be applicable to U.S. corporations, including those incorporated in Delaware. For example, the Singapore Companies Act requires a director to act with a reasonable degree of diligence in the discharge of the duties of his office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as at the date of the deposit carrying the right of voting at general meetings (disregarding paid-up shares held as treasury shares) may by depositing a requisition, require our directors to convene an extraordinary general meeting. If our directors do not within 21 days after the date of deposit of the requisition proceed to convene a meeting, the requisitioning shareholders, or any of them representing more than 50% of the total voting rights represented of all of them, may themselves, proceed to convene such meeting, and we will be liable for the reasonable expenses incurred by such requisitioning shareholders. We are also required by the Singapore Companies Act to deduct corresponding amounts from fees or other remuneration payable by us to such of the directors who are in default.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Singapore take-over laws contain provisions that may vary from those in other jurisdictions.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Singapore Take-Over Code applies to, among others, corporations with a primary listing of their equity securities in Singapore. While the Singapore Take-Over Code is drafted with, among others, listed public companies in mind, unlisted public companies with more than 50 (fifty) shareholders and net tangible assets of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at the date of this annual report, no application has been made to SIC to waive the application of the Singapore Take-Over Code in relation to us.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this regard, the Singapore Take-Over Code contains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shares is required to extend a take-over offer for all remaining voting shares in accordance with the procedural and other requirements under the Singapore Take-Over Code.</w:t>
      </w:r>
    </w:p>
    <w:p>
      <w:pPr>
        <w:spacing w:after="0" w:line="3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Except with the consent of SIC, such a take-over offer is also required to be made if a person holding between 30% and 50% (both inclusive) of our voting shares, either on his own or together with parties acting in concert with him, acquires additional voting shares representing more than 1% of our voting shares in any six-month period.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ordinary shares and the ability to realize any benefit from a potential change of control.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Risks Relating to Our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fluctuate and you could lose all or a significant part of your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ordinary shares may be influenced by many factors, some of which are beyond our control, including:</w:t>
      </w:r>
    </w:p>
    <w:p>
      <w:pPr>
        <w:spacing w:after="0" w:line="183" w:lineRule="exact"/>
        <w:rPr>
          <w:sz w:val="20"/>
          <w:szCs w:val="20"/>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operating results;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financial analysts to cover our ordinary shares;</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by financial analysts, or any failure by us to meet or exceed any of these estimates, or changes in the recommendations of any financial analysts that elect to follow our ordinary shares or the shares of our competitors;</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contracts, acquisitions, strategic partnerships or joint ventures;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shares by us or our shareholders;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hedging and other derivative transactions involving our ordinary shares and the publication of short seller and similar reports;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perceptions of us and the industry in which we operate;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or market conditions;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addition, the stock market in general has experienced substantial price and volume fluctuations that have often been unrelated or disproportionate to the operating performance of the particular companies affected. These broad market and industry factors may materially harm the market price of our ordinary shares, regardless of our operating performance. In the past, following periods of volatility in the market price of certain companies’ securities, securities class action litigation has been instituted against these companies. This type of litigation, if instituted against us, could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ordinary shares are traded on more than one stock exchange and this may result in price variations between the markets.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ordinary shares are listed on each of the Nasdaq and the JSE. Trading in the ordinary shares therefore will take place in different currencies (U.S. dollars on the Nasdaq and South African Rand on the JSE), and at different times (resulting from different time zones, different trading days and different public holidays in the United States and South Africa). The trading prices of the ordinary shares on these two markets may differ as a result of these, or other, factors. Any decrease in the price of ordinary shares on either one of these markets could cause a decrease in the trading prices of ordinary shares on the other market.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We are authorized to issue an unlimited number of shares as there is no concept of authorized share capital under Singapore law. Moreover, we have entered into a registration rights agreement pursuant to which we have granted demand and piggyback registration rights to our Chief Executive Officer, Isaias (Zak) Jose Calisto.</w:t>
      </w:r>
    </w:p>
    <w:p>
      <w:pPr>
        <w:spacing w:after="0" w:line="1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Although we have paid dividends in the past, our ability to pay dividends in the future depends on many factors and we cannot guarantee you that we will continue to pay dividends in the future.</w:t>
      </w:r>
    </w:p>
    <w:p>
      <w:pPr>
        <w:spacing w:after="0" w:line="3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We aim to reinvest retained earnings to the extent that it aligns with the Group’s required return on incrementally reinvested capital, return on equity, and short- to medium-term growth strategy.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cannot provide assurances regarding the amount or timing of dividend payments and may decide not to pay dividends in the future. As a result, you should not rely on an investment in our ordinary shares to provide dividend income and if we do not pay dividends, capital appreciation, if any, of our ordinary shares will be a shareholder’s sole source of gain in the near future. See “Dividends and Dividend Policy.”</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the price of our ordinary shares and our trading volume could decline.</w:t>
      </w:r>
    </w:p>
    <w:p>
      <w:pPr>
        <w:spacing w:after="0" w:line="3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affected. In the event securities or industry analysts initiate coverage, if one or more of the analysts who cover us downgrade our ordinary shares or publish inaccurate or unfavorable research about our business,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Requirements associated with being a public company in the United States require significant company resources and management attention.</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a U.S. public company, we incur significant additional legal, accounting, reporting, compliance and other expenses as a result of having publicly traded ordinary shares in the United States. We also incur costs including, but not limited to, costs and expenses for directors’ fees, increased directors and officers insurance, investor relations, and various other costs relating to being a public company registered in the United States.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also incur costs associated with United States corporate governance requirements, including requirements under SOX, as well as rules implemented by the SEC, Nasdaq and the JSE. These rules and regulations increase our legal and financial compliance costs and make some management and corporate governance activities more time-consuming and costly, particularly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retain a qualified independent board.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7" w:name="page38"/>
    <w:bookmarkEnd w:id="37"/>
    <w:p>
      <w:pPr>
        <w:jc w:val="both"/>
        <w:spacing w:after="0" w:line="265" w:lineRule="auto"/>
        <w:rPr>
          <w:sz w:val="20"/>
          <w:szCs w:val="20"/>
          <w:color w:val="auto"/>
        </w:rPr>
      </w:pPr>
      <w:r>
        <w:rPr>
          <w:rFonts w:ascii="Times New Roman" w:cs="Times New Roman" w:eastAsia="Times New Roman" w:hAnsi="Times New Roman"/>
          <w:sz w:val="14"/>
          <w:szCs w:val="14"/>
          <w:color w:val="auto"/>
        </w:rPr>
        <w:t>Our senior management and other employees have devoted, and will need to continue to devote, a substantial amount of time and attention away from revenue producing activities to management and administrative oversight, adversely affecting our ability to attract and complete business opportunities and increasing the difficulty in both retaining professionals and managing and growing our businesses. Furthermore, new rules and regulations relating to disclosure, financial reporting and controls and corporate governance, or varying interpretations of existing rules and regulations, could be adopted by the SEC, Nasdaq or other regulatory bodies and exchange entities from time to time, and could result in a significant increase in legal, accounting and compliance costs and make certain activities more time-consuming and costly. Any of these effects could have a material adverse effect on our business, financial condition and results of operations.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as long as we are an “emerging growth company” under the JOBS Act, our independent registered public accounting firm will not be required to attest to the effectiveness of our internal control over financial reporting pursuant to Section 404 of SOX. We could be an emerging growth company for up to five years from our IPO. See “Summary— Implications of Being an Emerging Growth Company,” below.</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 over financial reporting is effective, our independent registered public accounting firm may still decline to attest to our management’s assessment or may issue an adverse opinion report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404(b). Failure to comply with Section 404(b) could subject us to regulatory scrutiny and sanctions, impair our ability to raise capital, cause investors to lose confidence in the accuracy and completeness of our financial reports and negatively affect our share price.</w:t>
      </w:r>
    </w:p>
    <w:p>
      <w:pPr>
        <w:spacing w:after="0" w:line="1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Nasdaq’s corporate governance rules require listed companies to have, among other things, a majority of independent directors and independent director oversight of executive compensation, nomination of directors and corporate governance matters. As a foreign private issuer, we are permitted to, and we will, follow home country practice in lieu of the above requirements. While a majority of the directors on our board of directors are independent directors and all of our board committees consist entirely of independent directors, as long as we rely on the foreign private issuer exemption to certain of the Nasdaq corporate governance standards, a majority of the directors on our board of directors are not required to be independent directors, and that certain of our board committees do not have to consist entirely of independent directors. Therefore, to the extent we rely on such exemptions in the future, our board of directors’ approach to governance may be different from that of a board of directors consisting of a majority of independent directors, and, as a result, the management oversight of our company may be more limited than if we were subject to all of the Nasdaq corporate governance standards.</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controls a majority of the combined voting power of our outstanding ordinary shares, making us a “controlled company” within the meaning of the Nasdaq corporate governance rules. As a controlled company, we would be eligible to elect not to comply with certain of the Nasdaq corporate governance standards, including the requirement that a majority of directors on our board of directors are independent directors and that certain of our board committees consist entirely of independent directors. We may utilize some of these exemptions.</w:t>
      </w:r>
    </w:p>
    <w:p>
      <w:pPr>
        <w:spacing w:after="0" w:line="1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Accordingly, our shareholders will not have the same protection afforded to shareholders of companies that are subject to all of the Nasdaq corporate governance standards, and the ability of our independent directors to influence our business policies and affairs may be reduced.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38" w:name="page39"/>
    <w:bookmarkEnd w:id="38"/>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for any reason, to effectively or efficiently maintain proper internal control procedures, such failure could materially and adversely affect our business, results of operations and financial condition.</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Section 404(a) of SOX, requires that management assess and report annually on the effectiveness of our internal control over financial reporting and identify any material weaknesses in our internal control over financial reporting. Although Section 404(b) of SOX,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U.S. Securities and Exchange Commission (“SEC”) rules that implement Section 404(b) until such time as we are no longer an EGC.</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it is determined that we are not in compliance with Section 404(a), we will be required to implement new internal control procedures and re-evaluate our financial reporting. We may experience higher than anticipated operating expenses as well as outside auditor fees during the implementation of these changes and thereafter. We may need to hire additional qualified employees in order for us to maintain compliance with Section 404. During the course of documenting and testing our internal control procedures, in order to satisfy the requirements of Section 404(a), we may identify weaknesses and deficiencies in our internal control over financial reporting. For example, as part of these procedures, we noted that material weaknesses were identified in relation to privileged user access and change management controls relating to certain of our systems as well as journal processing control in one of our subsidiaries as at February 28, 2025. See Item 15. “Controls and Procedures.” If we fail, for any reason, to implement these changes effectively or efficiently, such failure could harm our operations, financial reporting or financial results and the trading price of our ordinary shares, expose us to increased risk of fraud or misuse of corporate assets, subject us to regulatory investigations and civil or criminal sanctions and could result in our conclusion that our internal control over financial reporting is not effective.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Insiders have substantial control over us and may have interests that are different from the interests of our other shareholders.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Certain of our major shareholders may have interests that are different from, or are in addition to, the interests of our other shareholders. In particular, our Chief Executive Officer and certain of his affiliates may be deemed to beneficially own approximately 73.48 % of outstanding shares as at May 9, 2025. For so long as such shareholders continue to own a significant percentage of our ordinary shares, they will be able to significantly influence the composition of our board of directors and the approval of actions requiring shareholder approval through their voting power. Additionally, as a consequence of our “staggered” board of directors, as further described in Item 6.C. “Board Practices—Board Composition,” only a minority of the board of directors will be considered for election at any annual meeting and such shareholders, because of their ownership position, will have considerable influence regarding the outcome of the election. Accordingly, for such period of time, they will have significant influence with respect to our management, business plans and policies, including the appointment and removal of our officers. In particular, for so long as such shareholders continue to own a significant percentage of our ordinary shares, they may be able to cause or prevent a change of control of our company and could preclude any unsolicited acquisition of our company. The concentration of ownership could deprive other shareholders of an opportunity to receive a premium for their ordinary shares as part of a sale of our company and ultimately might affect the market price of our ordinary shares.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9" w:name="page40"/>
    <w:bookmarkEnd w:id="39"/>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maintain our current status as a foreign private issuer, either (a) more than 50% of our outstanding voting securities must be either directly or indirectly owned of record by non-residents of the United States or (b) if more than 50% of our outstanding voting securities are owned either directly or indirectly owned of record by residents of the United States, (i)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would be required under current SEC rules to prepare our financial statements in accordance with GAAP, rather than IFRS, and modify certain of our policies to comply with corporate governance practices associated with U.S. domestic issuers. Such conversion of our financial statements to GAAP would involve significant time and cost.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31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disclosure requirements applicable to emerging growth companies will make our ordinary shares less attractive to investors.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SOX. We cannot predict if investors will find our ordinary shares less attractive because we will rely on these exemptions. If some investors find our ordinary shares less attractive as a result, there may be a less active trading market for our ordinary shares and our share price may be more volatile.</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not be a passive foreign investment company, or PFIC, for any taxable year, which could result in adverse U.S. federal income tax consequences to U.S. investors in our ordinary shares.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Based on the composition of our income and assets and the value of our assets, including the estimated value of our goodwill and other intangible assets, we believe that we were not a PFIC for our taxable year ended February 28, 2025. However, our PFIC status for any taxable year is an annual factual determination that can be made only after the end of that year, and depends on the composition of our income and assets and the value of our assets from time to time (including the value of our goodwill and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other intangible assets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 If we were a PFIC for any taxable year during which a U.S. taxpayer owned ordinary shares, the U.S. taxpayer generally would be subject to adverse U.S. federal income tax consequences, including increased tax liability on disposition gains and “excess distributions” and additional reporting requirements. See “Tax Considerations—Material U.S. Federal Income Tax Considerations—Passive Foreign Investment Company Rules.”</w:t>
      </w:r>
    </w:p>
    <w:p>
      <w:pPr>
        <w:spacing w:after="0" w:line="14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Under certain attribution rules, our non-U.S. subsidiaries are expected to be treated as controlled foreign corporations for U.S. federal income tax purposes, and, as a result, there could be adverse U.S. federal income tax consequences to U.S. investors that own our shares (directly or indirectly) and are treated as “Ten Percent Shareholders.”</w:t>
      </w:r>
    </w:p>
    <w:p>
      <w:pPr>
        <w:spacing w:after="0" w:line="3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Certain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 taxed income,” even if the CFC has made no distributions to its shareholders.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believe we are not a CFC. However, the determination of CFC status is complex and includes certain “downward attribution” rules pursuant to which our non-U.S. subsidiaries are expected to be treated as constructively controlled by our U.S. subsidiary and therefore our non-U.S. subsidiaries are expected to be treated as CFCs. We do not intend to provide information to Ten Percent Shareholders that may be required in order for those shareholders to properly report their U.S. taxable income with respect to our or our subsidiaries’ operation.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Item 4. INFORMATION ON THE COMPANY</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HISTORY AND DEVELOPMENT OF THE COMPANY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were founded in 2001 in South Africa with an initial focus on SVR services in the region. We have strategically grown our business and are now a global provider of a leading operations management SaaS platform. Through our cloud platform, we empower businesses to conquer operations including fleet maintenance, fuel management and asset utilization, workforce management, logistics, safety, compliance, risk and environmental impact. Our differentiated insights and analytics simplify day-to-day operations and enable businesses to decrease costs, increase efficiency, improve safety and strengthen workforce and customer satisfaction.</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2020, we moved our global headquarters to Singapore, where we believe we have access to the talent and capital to maintain and further our technological and operational leadership in the industry. Since our founding, we have gained vast expertise and enhanced our business in the following areas:</w:t>
      </w:r>
    </w:p>
    <w:p>
      <w:pPr>
        <w:spacing w:after="0" w:line="124" w:lineRule="exact"/>
        <w:rPr>
          <w:sz w:val="20"/>
          <w:szCs w:val="20"/>
          <w:color w:val="auto"/>
        </w:rPr>
      </w:pPr>
    </w:p>
    <w:p>
      <w:pPr>
        <w:ind w:left="520" w:hanging="256"/>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new software applications such as fleet management, mobile asset tracking, workforce management, video solutions, logistics management;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capabilities in data management at scale as well as a broad range of communication technologies and protocols;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sales and marketing focus to include commercial fleets of all sizes;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geographic footprint to meet the needs of our customers who are increasingly global with larger, more complex fleets and requirements.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single user interface and fully integrated cloud-based platform runs agnostically on a multitude of leading IoT devices, including internally developed cutting-edge devices, direct integrations to OEM devices and strategically cost-effective smart IoT devices from third parties and customer pre-owned devices. This enables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our customers’ entire mobile asset fleet.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part of a limited strategy to distribute our SaaS platform through independent business owners, our solutions are sold through independent licensees in Botswana, Malawi, Rwanda and Zimbabwe, who enter into franchise agreements and have exclusive geographic licenses to market and sell our solutions in exchange for royalty payments. Revenue generated by licensees was 0.1% of our total revenue for the financial year ended February 28, 2025, 0.1% of our total revenue for the financial year ended February 29, 2024 and 0.1% of our total revenue for the financial year ended February 28, 2023.</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are subject to the information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 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is https://karooooo.com/. The information on these websites, and any other website referenced herein, is not part of this report except as specifically incorporated by reference herein.</w:t>
      </w:r>
    </w:p>
    <w:p>
      <w:pPr>
        <w:spacing w:after="0" w:line="140" w:lineRule="exact"/>
        <w:rPr>
          <w:sz w:val="20"/>
          <w:szCs w:val="20"/>
          <w:color w:val="auto"/>
        </w:rPr>
      </w:pPr>
    </w:p>
    <w:p>
      <w:pPr>
        <w:ind w:right="9220" w:firstLine="264"/>
        <w:spacing w:after="0" w:line="513" w:lineRule="auto"/>
        <w:tabs>
          <w:tab w:leader="none" w:pos="515"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OVERVIEW Overview</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provide a leading operations management SaaS platform that maximizes the value of operations and workflow data by providing insightful real-time data analytics to thousands of enterprise customers. Our platform simplifies decision-making by seamlessly unifying and contextualizing data from a wide range of sources, including OEM devices and proprietary devices, as well as open APIs. By consolidating business operations into a single, centralized hub, we enable our customers to overcome complex operational challenges related to safety, compliance, productivity, service delivery, cost control, fuel management, maintenance, routing, resource allocation, and workforce retention.</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41" w:name="page42"/>
    <w:bookmarkEnd w:id="41"/>
    <w:p>
      <w:pPr>
        <w:jc w:val="both"/>
        <w:spacing w:after="0" w:line="274" w:lineRule="auto"/>
        <w:rPr>
          <w:sz w:val="20"/>
          <w:szCs w:val="20"/>
          <w:color w:val="auto"/>
        </w:rPr>
      </w:pPr>
      <w:r>
        <w:rPr>
          <w:rFonts w:ascii="Times New Roman" w:cs="Times New Roman" w:eastAsia="Times New Roman" w:hAnsi="Times New Roman"/>
          <w:sz w:val="14"/>
          <w:szCs w:val="14"/>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serve customers in more than 20 countries across five continents, supporting more than 2.3 million subscribers as at February 28, 2025 and over 2.3 million connected vehicles and equipment on the Cartrack cloud platform. Our highly scalable platform serves large multinational enterprises and individual consumers alike, enabling us to address a large, growing and underpenetrated global market. We collect more than 200 billion data points per month and have maintained a consistent platform uptime of 99.9%.</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 We define customers at the enterprise or consumer level and subscribers as each vehicle or asset we service.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principal expenditure includes costs related to Sales and Marketing, General and Administration and Research and Development, as more fully described further on in this annual report.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expenditure, including commitments, are also described further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Platform and its Key Strengths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built one platform with vertically integrated operations and we offer a:-</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Broad array of mobility applications</w:t>
      </w:r>
      <w:r>
        <w:rPr>
          <w:rFonts w:ascii="Times New Roman" w:cs="Times New Roman" w:eastAsia="Times New Roman" w:hAnsi="Times New Roman"/>
          <w:sz w:val="14"/>
          <w:szCs w:val="14"/>
          <w:color w:val="auto"/>
        </w:rPr>
        <w:t>. We offer real-time connectivity services through mobile devices to manage the deployment of people, vehicles and the tasks that they are required to perform.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This includes communications, analytics, accounting, live video streaming, workforce management and an array of medical and roadside assistance services that are applicable to taxi/ridesharing, public transit systems and logistics businesses. With fleet management, mobile asset accounting, workforce management, and a broad set of additional software features, we offer a highly functional, unified platform for smart transportation management and analytics delivered through a single screen.</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Highly scalable vertical SaaS platform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cloud architecture enables us to quickly and reliably add thousands of mobile subscriptions and integrate their corresponding data streams each month,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data from sources such as OEMs and other third-party devices. Our easy-to-use interfaces for iOS and Android, as well as our online desktop platform, make it seamless for users to switch between devices, and our internally developed SaaS platform caters to all types of vehicle propulsion methods (internal combustion, hybrid, and electric) and allows for flexible integration with all major OEM hardware and software platforms.</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Large and growing global infrastructure. </w:t>
      </w:r>
      <w:r>
        <w:rPr>
          <w:rFonts w:ascii="Times New Roman" w:cs="Times New Roman" w:eastAsia="Times New Roman" w:hAnsi="Times New Roman"/>
          <w:sz w:val="14"/>
          <w:szCs w:val="14"/>
          <w:color w:val="auto"/>
        </w:rPr>
        <w:t>Our business is vertically integrated in the design, development, production, and deployment of our hardware and software offerings. Unlike many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competitors, almost all of our systems and products that we use are proprietary. Our vertically integrated model allows us to provide our customers with the benefits of lower costs and greater flexibility without third-party vendor lock-in. Our R&amp;D center in Singapore is staffed exclusively by our employees and is positioned to ensure our continued access to world-class talent in Southeast Asia. To provide leading service in installations, customer support, and vehicle recovery, we have established a comprehensive branch network of automotive technicians with rapid-response capabilities in more than 20 countries in which we or our licensees operate and more than 1,000 mobile workshops to serve customers globally around-the-clock. Our customer focused approach to service is key to our leadership position in the industry.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Deep domain expertise, industry knowledge, and institutional intellectual property</w:t>
      </w:r>
      <w:r>
        <w:rPr>
          <w:rFonts w:ascii="Times New Roman" w:cs="Times New Roman" w:eastAsia="Times New Roman" w:hAnsi="Times New Roman"/>
          <w:sz w:val="14"/>
          <w:szCs w:val="14"/>
          <w:color w:val="auto"/>
        </w:rPr>
        <w:t>. Our experienced R&amp;D and management teams have accumulated vast experience in the fields of data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GSM, radio frequency, and satellites, as well as emerging and next-generation technologies such as LPWAN and V2X communications. Each of our proprietary smart devices is compact, facilitating effective concealment, and is transferable from one vehicle to another. Personal safety considerations, specialized fleet management, and regulatory compliance will continue to require the design and development of proprietary hardware. Our trained automotive technicians carry out installations with electronic connections kept at a minimum so as not to interfere with the vehicle’s electronic systems. Our products and installations are endorsed by a number of insurers and motor vehicle manufacturers.</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Culture of service and innovation. </w:t>
      </w:r>
      <w:r>
        <w:rPr>
          <w:rFonts w:ascii="Times New Roman" w:cs="Times New Roman" w:eastAsia="Times New Roman" w:hAnsi="Times New Roman"/>
          <w:sz w:val="14"/>
          <w:szCs w:val="14"/>
          <w:color w:val="auto"/>
        </w:rPr>
        <w:t>The values at the heart of our culture — accountability, integrity, service orientation, relationships, and an entrepreneurial mindset — are core drivers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success. As we have grown from a small South African company to a global enterprise with more than 2.3 million subscribers, we have maintained a start-up culture that eschews hierarchy and where individual ownership, agility and an entrepreneurial mindset remain key features of our everyday behaviors and operations. We have a highly proven service delivery track record and are known for being quick to deploy and fast to respond.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Benefits to Our Customers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relatively low monthly cost and material return on investment realized by our customers favorably positions us in both weak and strong macroeconomic environments. Our platform provides the following key benefits to our customers: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Increased safety: </w:t>
      </w:r>
      <w:r>
        <w:rPr>
          <w:rFonts w:ascii="Times New Roman" w:cs="Times New Roman" w:eastAsia="Times New Roman" w:hAnsi="Times New Roman"/>
          <w:sz w:val="14"/>
          <w:szCs w:val="14"/>
          <w:color w:val="auto"/>
        </w:rPr>
        <w:t>According to Frost &amp; Sullivan, Video Telematics can lower driver distraction by 80%, reduce speeding by 65% increase seatbelt use by 70% and reduce collisions by 60%.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Furthermore, the implementation of forward-looking collision avoidance technology could reduce rear-end crashes by 28%, fatalities by 44% and injuries by 47%. In addition, Video Telematics can reduce accident claims by 25%.( Frost &amp; Sullivan – Video Telematics is a New Safety Norm for Commercial Fleets: AI Powered Video Telematics – The Revolutionary Safety Tool; June 2020).</w:t>
      </w:r>
    </w:p>
    <w:p>
      <w:pPr>
        <w:spacing w:after="0" w:line="3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Lower operating costs. </w:t>
      </w:r>
      <w:r>
        <w:rPr>
          <w:rFonts w:ascii="Times New Roman" w:cs="Times New Roman" w:eastAsia="Times New Roman" w:hAnsi="Times New Roman"/>
          <w:sz w:val="14"/>
          <w:szCs w:val="14"/>
          <w:color w:val="auto"/>
        </w:rPr>
        <w:t>Research by the U.S. Department of Transportation shows that implementing telematics can reduce unsafe driving by 60%, which can translate into profit margin increases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30% in commercial fleets as well as reduced emissions. (Study of the Impact of a Telematics System on Safe and Fuel-Efficient Driving in Trucks, by Boodlal, Leverson ; Chiang, Kun-Hung; 2014-04-01).</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a recent survey of fleet managers by Samba Safety, 39% of respondents indicated they have experienced reduced insurance premiums through insurer offered discounts and 25% have benefited from reduced premiums as a result of a reduction in accidents. (2024 Telematics Report Connecting the Dots on Strategies &amp; Adoption). We believe that the AI-enabled real-time feedback through our platform supports coaching of drivers to engage in behavior that lowers fuel consumption, reduces maintenance costs and improves on-road safety.</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Increased workforce and asset productivity</w:t>
      </w:r>
      <w:r>
        <w:rPr>
          <w:rFonts w:ascii="Times New Roman" w:cs="Times New Roman" w:eastAsia="Times New Roman" w:hAnsi="Times New Roman"/>
          <w:sz w:val="14"/>
          <w:szCs w:val="14"/>
          <w:color w:val="auto"/>
        </w:rPr>
        <w:t>. Real-time fleet oversight and analysis of data can assist fleet managers in planning better routes and times for vehicles to be on the road,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planning maintenance through alerting and scheduling. Route management and traffic mapping, powered by our platform, can reduce the distance traveled by each vehicle. By providing an integrated platform for data, analytics and communications, driver and dispatch teams can work together more efficiently and empower management with greater insight into key performance indicators of asset and employee performance such as utilization, service intervals and billable hours.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Stability and reliability. </w:t>
      </w:r>
      <w:r>
        <w:rPr>
          <w:rFonts w:ascii="Times New Roman" w:cs="Times New Roman" w:eastAsia="Times New Roman" w:hAnsi="Times New Roman"/>
          <w:sz w:val="14"/>
          <w:szCs w:val="14"/>
          <w:color w:val="auto"/>
        </w:rPr>
        <w:t>Cartrack utilizes the GSM/LTE network to facilitate reliable communication between our platform and telematics devices. This technology enables recovery teams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accurately locate stolen vehicles and allows customers to track the movement of their vehicles via the web or mobile applications. GPS satellite technology provides users with accurate positioning and monitoring of the vehicle fleet. Secondary radio homing beacons enable air and ground response teams to locate vehicles in areas where coverage may be sparse. Customers also further benefit from our consistent 99.9% system uptime for the financial year ended February 28, 2025.</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Road safety and accident management. </w:t>
      </w:r>
      <w:r>
        <w:rPr>
          <w:rFonts w:ascii="Times New Roman" w:cs="Times New Roman" w:eastAsia="Times New Roman" w:hAnsi="Times New Roman"/>
          <w:sz w:val="14"/>
          <w:szCs w:val="14"/>
          <w:color w:val="auto"/>
        </w:rPr>
        <w:t>The World Health Organization estimates that road traffic crashes cost most countries 3% of their gross domestic product, illustrating the importance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improving driver habits and monitoring commercial vehicles. Powered by industry leading AI, we provide comprehensive driver behavior monitoring and measurement applications which are easily integrated into vehicles to extract and analyze significant amounts of data to improve driver behavior. In addition, deployment of in-vehicle telematics sensors to monitor activity on-road and within a vehicle provides performance benefits and critical data in the event of a collision.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Our Opportunity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There is a significantly underpenetrated global opportunity in mobility data analytics for smart transportation. According to Allied Market Research, the automotive OEM telematics global market opportunity is expected to grow from $96.3 billion in 2024, and is projected to reach $321.3 billion by 2032, registering a CAGR of 16.3% from 2024 to 2032. On-the-ground operations present an attractive opportunity and may account for more than 40% of global GDP, based on market research and analysis from multiple third-party sources including the World Bank and the CIA. We believe a large portion of spending in the sector today is for outdated telematics offerings that do not provide the next-generation capabilities required by today’s customers across a broad range of transportation and mobility use cases. In 2024, Fitch Solutions estimated there will be more than 1.7 billion vehicles in the world, including more than 438 million commercial vehicles, increasing to 2.1 billion total vehicles by 2032, including more than 544 million commercial vehicles. According to Frost &amp; Sullivan and Berg Insight, approximately 26% and 16% of commercial vehicles in South Africa and Southeast Asia were equipped with telematics devices and services in 2023, which suggest an underpenetrated market opportunity with significant growth runway. There is also a large global opportunity in video telematics solutions that improve driver safety and reduce operating costs. According to Mordor Intelligence, the installed base of video telematics is expected to grow from 9.74 million units in 2025 to 22.19 million units in 2030, a CAGR of 17.8%. Additionally, we are identifying new avenues of growth from our data analysis and monetization.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long-term growth is driven by five key factors:</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Growth of OEM connected devices. </w:t>
      </w:r>
      <w:r>
        <w:rPr>
          <w:rFonts w:ascii="Times New Roman" w:cs="Times New Roman" w:eastAsia="Times New Roman" w:hAnsi="Times New Roman"/>
          <w:sz w:val="14"/>
          <w:szCs w:val="14"/>
          <w:color w:val="auto"/>
        </w:rPr>
        <w:t>Our SaaS platform is device agnostic and we currently have agreements with more than 10 OEM platforms whereby we collect vehicles diagnostic and safety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data from the OEM telemetry devices. Increasing global access to these OEM devices will further drive demand for our complementary solutions and services. Further, we conduct aftermarket installations in collaboration with OEMs.</w:t>
      </w:r>
    </w:p>
    <w:p>
      <w:pPr>
        <w:spacing w:after="0" w:line="13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Deeper insights from data and platform. </w:t>
      </w:r>
      <w:r>
        <w:rPr>
          <w:rFonts w:ascii="Times New Roman" w:cs="Times New Roman" w:eastAsia="Times New Roman" w:hAnsi="Times New Roman"/>
          <w:sz w:val="14"/>
          <w:szCs w:val="14"/>
          <w:color w:val="auto"/>
        </w:rPr>
        <w:t>Our customers increasingly rely on our SaaS platform to optimize and manage their physical operations. In response to this growing demand, we remain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committed to ongoing innovation. We focus on improving and expanding platform and product capabilities, and enhancing operational capacity to support growth across our target markets.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Global demand. </w:t>
      </w:r>
      <w:r>
        <w:rPr>
          <w:rFonts w:ascii="Times New Roman" w:cs="Times New Roman" w:eastAsia="Times New Roman" w:hAnsi="Times New Roman"/>
          <w:sz w:val="14"/>
          <w:szCs w:val="14"/>
          <w:color w:val="auto"/>
        </w:rPr>
        <w:t>We are experiencing increased global demand for connected vehicles, devices, and mobility data, which supports our geographic expansion efforts. Market penetration remains low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moderate across all regions, presenting a significant growth opportunity. We are focused on delivering scalable, customer-centric solutions that provide rapid and measurable value to both enterprise and consumer customers.</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platform enhancements. </w:t>
      </w:r>
      <w:r>
        <w:rPr>
          <w:rFonts w:ascii="Times New Roman" w:cs="Times New Roman" w:eastAsia="Times New Roman" w:hAnsi="Times New Roman"/>
          <w:sz w:val="14"/>
          <w:szCs w:val="14"/>
          <w:color w:val="auto"/>
        </w:rPr>
        <w:t>We continue to expand our platform to address our customers’ most critical operational and business priorities. Our investments in research and development focus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meeting customer expectations. Our product portfolio includes MiFleet, an intuitive administrative and vehicle cost accounting solution, and Delivery, a mobile-enabled workforce management application. Delivery supports key business processes such as stock control, electronic proof of delivery, invoicing, business intelligence, OEM integrations, job dispatch, and advanced messaging through its routing capabilities.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barriers to entry. </w:t>
      </w:r>
      <w:r>
        <w:rPr>
          <w:rFonts w:ascii="Times New Roman" w:cs="Times New Roman" w:eastAsia="Times New Roman" w:hAnsi="Times New Roman"/>
          <w:sz w:val="14"/>
          <w:szCs w:val="14"/>
          <w:color w:val="auto"/>
        </w:rPr>
        <w:t>We operate in a market characterized by significant barriers to entry, which contribute to our competitive advantage. These include the fragmented nature of the global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substantial upfront capital requirements to develop and deploy infrastructure at scale, and the need for sustained investment in research and development to remain at the forefront of technological innovation. Additionally, the capital required to fund device and installation costs further elevates the barrier for new entrants. Our strong execution culture and customer-centric approach further differentiate us in the marketplace. The industry has increasingly transitioned from upfront hardware and installation payments to recurring SaaS subscription models, where service providers retain ownership of the deployed telemetry devices. The rising demand for solutions with no upfront costs presents a challenge for smaller vendors and new entrants lacking the scale and financial resources to compete effectively. Further, it is difficult for new entrants to ensure a high level of service without scale of technical personnel capable of servicing customers whose operations span multiple cities and require IoT device installations across various assets.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We intend to pursue the following growth strategies: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Expand our customer base. </w:t>
      </w:r>
      <w:r>
        <w:rPr>
          <w:rFonts w:ascii="Times New Roman" w:cs="Times New Roman" w:eastAsia="Times New Roman" w:hAnsi="Times New Roman"/>
          <w:sz w:val="14"/>
          <w:szCs w:val="14"/>
          <w:color w:val="auto"/>
        </w:rPr>
        <w:t>Our global market penetration remains relatively low to moderate, which we believe presents a significant opportunity to expand our customer base across international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markets. We anticipate that future demand growth will be driven by the continued proliferation of mobile assets and a diverse range of emerging smart mobility use cases. These include ongoing customer needs to enhance efficiency, reduce costs, improve safety, mitigate risk, compliance and governance. We expect this demand to outpace overall global fleet growth as broader adoption of mobility solutions accelerates in response to demonstrated value. Additionally, we foresee increased demand from governments, businesses, and consumers, particularly in regions experiencing increased regulations. We serve a wide spectrum of customers across multiple industries and remain focused on expanding our subscriber base.</w:t>
      </w:r>
    </w:p>
    <w:p>
      <w:pPr>
        <w:spacing w:after="0" w:line="1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Increase subscription sales to existing customers. </w:t>
      </w:r>
      <w:r>
        <w:rPr>
          <w:rFonts w:ascii="Times New Roman" w:cs="Times New Roman" w:eastAsia="Times New Roman" w:hAnsi="Times New Roman"/>
          <w:sz w:val="14"/>
          <w:szCs w:val="14"/>
          <w:color w:val="auto"/>
        </w:rPr>
        <w:t>Our continued focus on R&amp;D and innovation enables us to develop new features and capabilities tailored to the growing and diverse demands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global customer base. With more than 2.3 million subscribers, we see significant potential to expand our subscription revenue by driving increased subscriber adoption and engagement with additional products like video and Cartrack-tag and newer features and capabilities of our platform. Our existing customer base represents a significant opportunity for further subscription sales expansion.</w:t>
      </w:r>
    </w:p>
    <w:p>
      <w:pPr>
        <w:spacing w:after="0" w:line="3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Expand our geographic presence worldwide. </w:t>
      </w:r>
      <w:r>
        <w:rPr>
          <w:rFonts w:ascii="Times New Roman" w:cs="Times New Roman" w:eastAsia="Times New Roman" w:hAnsi="Times New Roman"/>
          <w:sz w:val="14"/>
          <w:szCs w:val="14"/>
          <w:color w:val="auto"/>
        </w:rPr>
        <w:t>While South Africa remains a key market, we anticipate stronger subscriber growth in the Asia-Pacific and Middle East regions. This expectation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based on several factors, including larger and growing populations, higher economic growth rates, a favorable competitive environment characterized by low market penetration and less sophisticated incumbent solutions, and the increasing scale of our established operations in these regions. We also expect demand to be driven by the need to improve road safety and reduce environmental impact, particularly in markets where vehicle populations are projected to increase significantly amid existing traffic congestion and pollution challenges. In addition, we are evaluating further expansion in Europe. Our operations in other parts of Africa, while currently limited in scale, are considered strategically important. As we expand the scope of our offerings, we believe we are well positioned to efficiently deploy our solutions across the global fleets of existing multinational customers as we enter new geographies where they already operate.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SaaS and DaaS Cloud Platform</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platform simplifies decision-making by seamlessly unifying and contextualizing data from a wide range of sources, including proprietary devices, third party devices such as OEM devices, as well as data collected from our customers back-office systems via APIs. By consolidating business operations into a single, centralized hub, we enable our customers to overcome complex operational challenges such as safety, compliance, eco-driving, productivity, service delivery, cost control, maintenance, routing, risk mitigation, inventory control, resource allocation including vehicle utilization management, and workforce management. Powered by our extensive data asset, AI, and robust analytics, our platform delivers actionable insights that drive meaningful improvements to our customers’ physical operations.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platform is accessible to users via web interface and mobile applications, with SaaS offered via monthly subscription and DaaS offered via monthly subscription should the customer use their own fleet or on a cost per delivery should our customer leverage on third party drivers. Our applications are highly integrated to avoid the need for multiple interfaces, and include free application programming interface (“API”) integrations with third party systems such as enterprise resource planning (“ERP”) systems.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The principal components of our SaaS and DaaS platform include the following: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 Applications</w:t>
      </w:r>
    </w:p>
    <w:p>
      <w:pPr>
        <w:spacing w:after="0" w:line="181" w:lineRule="exact"/>
        <w:rPr>
          <w:sz w:val="20"/>
          <w:szCs w:val="20"/>
          <w:color w:val="auto"/>
        </w:rPr>
      </w:pPr>
    </w:p>
    <w:p>
      <w:pPr>
        <w:ind w:left="520" w:hanging="256"/>
        <w:spacing w:after="0" w:line="298"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Fleet Management </w:t>
      </w:r>
      <w:r>
        <w:rPr>
          <w:rFonts w:ascii="Times New Roman" w:cs="Times New Roman" w:eastAsia="Times New Roman" w:hAnsi="Times New Roman"/>
          <w:sz w:val="14"/>
          <w:szCs w:val="14"/>
          <w:color w:val="auto"/>
        </w:rPr>
        <w:t>provides our customers with real-time visibility into their asset base through live tracking via a map-based interface. Our solution leverage proprietary smart IoT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devices that enable deep vehicle integration and support the use of peripheral sensors. Our solution enables:</w:t>
      </w:r>
    </w:p>
    <w:p>
      <w:pPr>
        <w:spacing w:after="0" w:line="119" w:lineRule="exact"/>
        <w:rPr>
          <w:rFonts w:ascii="Times New Roman" w:cs="Times New Roman" w:eastAsia="Times New Roman" w:hAnsi="Times New Roman"/>
          <w:sz w:val="14"/>
          <w:szCs w:val="14"/>
          <w:color w:val="auto"/>
        </w:rPr>
      </w:pPr>
    </w:p>
    <w:p>
      <w:pPr>
        <w:jc w:val="both"/>
        <w:ind w:left="780" w:hanging="259"/>
        <w:spacing w:after="0" w:line="274" w:lineRule="auto"/>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Real-time GPS location tracking and management to enable our customers to overcome complex operational challenges, vehicle utilization and workforce managements such as safety, compliance, eco-driving, productivity, service delivery, cost management, maintenance, routing, risk mitigation, inventory control, resource allocation, fuel management and fraud detection, time and attendance tracking and industry specific functionality such as cold chain management</w:t>
      </w:r>
    </w:p>
    <w:p>
      <w:pPr>
        <w:spacing w:after="0" w:line="135"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real-time data with third party systems such as enterprise resource planning (“ERP”) systems</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Detailed driver management with advanced scorecards to manage the risk and performance of drivers</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Real-time alerts settings</w:t>
      </w:r>
    </w:p>
    <w:p>
      <w:pPr>
        <w:spacing w:after="0" w:line="178"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LiveVision </w:t>
      </w:r>
      <w:r>
        <w:rPr>
          <w:rFonts w:ascii="Times New Roman" w:cs="Times New Roman" w:eastAsia="Times New Roman" w:hAnsi="Times New Roman"/>
          <w:sz w:val="14"/>
          <w:szCs w:val="14"/>
          <w:color w:val="auto"/>
        </w:rPr>
        <w:t>enables comprehensive pro-active risk management and fleet visibility via an AI and non-AI enabled video telematics system with live streaming to our platform:</w:t>
      </w:r>
    </w:p>
    <w:p>
      <w:pPr>
        <w:spacing w:after="0" w:line="186"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AI enabled camera delivers live alerts to proactively mitigate the risk of driver fatigue, driver distraction and collisions such as monitoring of safe driving distances</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on-board cameras enable video selection, replay, and analysis, enabling driver coaching and risk management</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driver visibility reduces extraneous driving costs, reduces driver liability, increases driver safety and behavior</w:t>
      </w:r>
    </w:p>
    <w:p>
      <w:pPr>
        <w:spacing w:after="0" w:line="178"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MiFleet Advanced Fleet Administration </w:t>
      </w:r>
      <w:r>
        <w:rPr>
          <w:rFonts w:ascii="Times New Roman" w:cs="Times New Roman" w:eastAsia="Times New Roman" w:hAnsi="Times New Roman"/>
          <w:sz w:val="14"/>
          <w:szCs w:val="14"/>
          <w:color w:val="auto"/>
        </w:rPr>
        <w:t>provides cost management and administration capabilities through:</w:t>
      </w:r>
    </w:p>
    <w:p>
      <w:pPr>
        <w:spacing w:after="0" w:line="186"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Insight into all asset-related costs, such as purchasing, fuel, fines and insurance for each asset in a fleet</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Actionable intelligence for driver optimization through powerful Business Intelligence (“BI”)</w:t>
      </w:r>
    </w:p>
    <w:p>
      <w:pPr>
        <w:spacing w:after="0" w:line="178" w:lineRule="exact"/>
        <w:rPr>
          <w:rFonts w:ascii="Times New Roman" w:cs="Times New Roman" w:eastAsia="Times New Roman" w:hAnsi="Times New Roman"/>
          <w:sz w:val="14"/>
          <w:szCs w:val="14"/>
          <w:color w:val="auto"/>
        </w:rPr>
      </w:pPr>
    </w:p>
    <w:p>
      <w:pPr>
        <w:ind w:left="520" w:hanging="256"/>
        <w:spacing w:after="0" w:line="269"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Cartrack TAG</w:t>
      </w:r>
      <w:r>
        <w:rPr>
          <w:rFonts w:ascii="Times New Roman" w:cs="Times New Roman" w:eastAsia="Times New Roman" w:hAnsi="Times New Roman"/>
          <w:sz w:val="14"/>
          <w:szCs w:val="14"/>
          <w:color w:val="auto"/>
        </w:rPr>
        <w:t>, a next-generation wireless asset tag that extends our platform to any mobile asset in South Africa, offers asset tracking, even in areas with limited or no cellular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connectivity:</w:t>
      </w:r>
    </w:p>
    <w:p>
      <w:pPr>
        <w:spacing w:after="0" w:line="339"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focused on asset management where monitoring the status and movement of non-powered or high-value assets is essential</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Robust design with low maintenance requirements</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Ensures reliable performance in demanding commercial environments</w:t>
      </w:r>
    </w:p>
    <w:p>
      <w:pPr>
        <w:spacing w:after="0" w:line="178" w:lineRule="exact"/>
        <w:rPr>
          <w:rFonts w:ascii="Times New Roman" w:cs="Times New Roman" w:eastAsia="Times New Roman" w:hAnsi="Times New Roman"/>
          <w:sz w:val="14"/>
          <w:szCs w:val="14"/>
          <w:color w:val="auto"/>
        </w:rPr>
      </w:pPr>
    </w:p>
    <w:p>
      <w:pPr>
        <w:jc w:val="both"/>
        <w:ind w:left="520" w:hanging="256"/>
        <w:spacing w:after="0" w:line="27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Karooooo Logistics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formerly Picup</w:t>
      </w:r>
      <w:r>
        <w:rPr>
          <w:rFonts w:ascii="Times New Roman" w:cs="Times New Roman" w:eastAsia="Times New Roman" w:hAnsi="Times New Roman"/>
          <w:sz w:val="14"/>
          <w:szCs w:val="14"/>
          <w:color w:val="auto"/>
        </w:rPr>
        <w:t>) focuses on B2B delivery-as-a-service (“DaaS”) providing a software application that enables the management of last mile delivery and general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operational logistics. This solution addresses the logistics challenges of large enterprises requiring systems integrations, payment gateways, third-party courier, long-haul and crowd-sourced drivers to scale and meet their operational needs through a capital light model.</w:t>
      </w:r>
    </w:p>
    <w:p>
      <w:pPr>
        <w:spacing w:after="0" w:line="133"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a fleet of third-party delivery drivers</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Trace and locate drivers and mobile assets in real-time</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 powerful and highly controlled workflows including stock control, invoicing, electronic proof-of-delivery, and mobile workforce management</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Up-to-date destinations and navigation integration, allowing drivers to spend more time focusing on job completion rather than finding a destination</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Quick communication to drivers via synchronized task list and built-in messaging systems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46" w:name="page47"/>
    <w:bookmarkEnd w:id="46"/>
    <w:p>
      <w:pPr>
        <w:ind w:left="520" w:hanging="256"/>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Cartrack Field Service </w:t>
      </w:r>
      <w:r>
        <w:rPr>
          <w:rFonts w:ascii="Times New Roman" w:cs="Times New Roman" w:eastAsia="Times New Roman" w:hAnsi="Times New Roman"/>
          <w:sz w:val="14"/>
          <w:szCs w:val="14"/>
          <w:color w:val="auto"/>
        </w:rPr>
        <w:t>provides a software application enabling the management of field and or on site workers.</w:t>
      </w:r>
    </w:p>
    <w:p>
      <w:pPr>
        <w:spacing w:after="0" w:line="186"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Trace and digitally allocate field workers in real-time to specific jobs</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workflows such as stock control, orders, invoicing and electronic proof-of-job-completion</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Update destinations and routes, allowing workforce to spend more time focusing on job completion</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Easy and effective communication with field workers via messaging systems</w:t>
      </w:r>
    </w:p>
    <w:p>
      <w:pPr>
        <w:spacing w:after="0" w:line="178"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Business Intelligence </w:t>
      </w:r>
      <w:r>
        <w:rPr>
          <w:rFonts w:ascii="Times New Roman" w:cs="Times New Roman" w:eastAsia="Times New Roman" w:hAnsi="Times New Roman"/>
          <w:sz w:val="14"/>
          <w:szCs w:val="14"/>
          <w:color w:val="auto"/>
        </w:rPr>
        <w:t>offers users a high-level view of fleet statistics, including analysis of key indicators and granular detail of asset-specific data.</w:t>
      </w:r>
    </w:p>
    <w:p>
      <w:pPr>
        <w:spacing w:after="0" w:line="182" w:lineRule="exact"/>
        <w:rPr>
          <w:rFonts w:ascii="Times New Roman" w:cs="Times New Roman" w:eastAsia="Times New Roman" w:hAnsi="Times New Roman"/>
          <w:sz w:val="14"/>
          <w:szCs w:val="14"/>
          <w:color w:val="auto"/>
        </w:rPr>
      </w:pPr>
    </w:p>
    <w:p>
      <w:pPr>
        <w:ind w:left="520" w:hanging="256"/>
        <w:spacing w:after="0" w:line="298"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Asset Tracking </w:t>
      </w:r>
      <w:r>
        <w:rPr>
          <w:rFonts w:ascii="Times New Roman" w:cs="Times New Roman" w:eastAsia="Times New Roman" w:hAnsi="Times New Roman"/>
          <w:sz w:val="14"/>
          <w:szCs w:val="14"/>
          <w:color w:val="auto"/>
        </w:rPr>
        <w:t>provides a way to track and trace moveable assets to reduce losses, automate inventory management, and improve workforce efficiency, equipment utilization,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regulatory compliance.</w:t>
      </w:r>
    </w:p>
    <w:p>
      <w:pPr>
        <w:spacing w:after="0" w:line="115" w:lineRule="exact"/>
        <w:rPr>
          <w:rFonts w:ascii="Times New Roman" w:cs="Times New Roman" w:eastAsia="Times New Roman" w:hAnsi="Times New Roman"/>
          <w:sz w:val="14"/>
          <w:szCs w:val="14"/>
          <w:color w:val="auto"/>
        </w:rPr>
      </w:pPr>
    </w:p>
    <w:p>
      <w:pPr>
        <w:jc w:val="both"/>
        <w:ind w:left="520" w:hanging="256"/>
        <w:spacing w:after="0" w:line="266"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Asset Recovery </w:t>
      </w:r>
      <w:r>
        <w:rPr>
          <w:rFonts w:ascii="Times New Roman" w:cs="Times New Roman" w:eastAsia="Times New Roman" w:hAnsi="Times New Roman"/>
          <w:sz w:val="14"/>
          <w:szCs w:val="14"/>
          <w:color w:val="auto"/>
        </w:rPr>
        <w:t>Our outsourced SVR and asset recovery services assist vehicle owners, police and insurance companies with the recovery of vehicles and other assets that have been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stolen. This service includes around-the-clock assistance with real-time tracking, dedicated technical teams, early warning alert systems, ground and air recovery teams dedicated to Cartrack, operating under local law licenses, specialized technologies for both GSM and radio frequency and repatriation assistance across international borders. The consistent recovery success rate is considered by management to be achieved through the high reliability standards of our Platform, our smart in-vehicle devices, specialized installation techniques, miniaturization, and a dedicated team of third-party rapid response recovery agents.</w:t>
      </w:r>
    </w:p>
    <w:p>
      <w:pPr>
        <w:spacing w:after="0" w:line="138" w:lineRule="exact"/>
        <w:rPr>
          <w:rFonts w:ascii="Times New Roman" w:cs="Times New Roman" w:eastAsia="Times New Roman" w:hAnsi="Times New Roman"/>
          <w:sz w:val="14"/>
          <w:szCs w:val="14"/>
          <w:color w:val="auto"/>
        </w:rPr>
      </w:pPr>
    </w:p>
    <w:p>
      <w:pPr>
        <w:ind w:left="520" w:hanging="256"/>
        <w:spacing w:after="0" w:line="298"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Insurance Telematics </w:t>
      </w:r>
      <w:r>
        <w:rPr>
          <w:rFonts w:ascii="Times New Roman" w:cs="Times New Roman" w:eastAsia="Times New Roman" w:hAnsi="Times New Roman"/>
          <w:sz w:val="14"/>
          <w:szCs w:val="14"/>
          <w:color w:val="auto"/>
        </w:rPr>
        <w:t>allows insurers to tailor premiums for commercial and consumer customers using analytics provided by our platform. This data also can be used to better reconstruct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accident scenes, making it more efficient to evaluate claims and resulting in lower premiums.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Consumer Applications in Southern Africa</w:t>
      </w:r>
    </w:p>
    <w:p>
      <w:pPr>
        <w:spacing w:after="0" w:line="181" w:lineRule="exact"/>
        <w:rPr>
          <w:sz w:val="20"/>
          <w:szCs w:val="20"/>
          <w:color w:val="auto"/>
        </w:rPr>
      </w:pPr>
    </w:p>
    <w:p>
      <w:pPr>
        <w:ind w:left="520" w:hanging="256"/>
        <w:spacing w:after="0" w:line="298"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Protector </w:t>
      </w:r>
      <w:r>
        <w:rPr>
          <w:rFonts w:ascii="Times New Roman" w:cs="Times New Roman" w:eastAsia="Times New Roman" w:hAnsi="Times New Roman"/>
          <w:sz w:val="14"/>
          <w:szCs w:val="14"/>
          <w:color w:val="auto"/>
        </w:rPr>
        <w:t>is an all-encompassing safety package for all consumer vehicles. Following the installation of the Cartrack telematics device, consumers can access a diverse set of software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features and benefits, including:</w:t>
      </w:r>
    </w:p>
    <w:p>
      <w:pPr>
        <w:spacing w:after="0" w:line="119"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mobile application for real time movement management and communication</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Recovery</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Ambulance Assist (facilitating emergency medical outreach and response)</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Crash Alert, a 24/7 monitoring system, which immediately triggers a dispatch for emergency services in response to a detected collision or accident</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conditional Limited Recovery Warranty pay-out by our third-party recovery service provider in the unlikely event of the vehicle not being recovered by them</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power event notification provides alerts upon vehicle battery disconnect</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ignition sensor remotely reads ignition status and detects improper use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7" w:name="page48"/>
    <w:bookmarkEnd w:id="47"/>
    <w:p>
      <w:pPr>
        <w:ind w:left="520" w:hanging="256"/>
        <w:spacing w:after="0" w:line="298"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Car Watch </w:t>
      </w:r>
      <w:r>
        <w:rPr>
          <w:rFonts w:ascii="Times New Roman" w:cs="Times New Roman" w:eastAsia="Times New Roman" w:hAnsi="Times New Roman"/>
          <w:sz w:val="14"/>
          <w:szCs w:val="14"/>
          <w:color w:val="auto"/>
        </w:rPr>
        <w:t>is a mobile application that lets users track and watch their vehicles from a distance. It includes alert notifications and the ability to sound an alarm remotely after unauthorized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movements.</w:t>
      </w:r>
    </w:p>
    <w:p>
      <w:pPr>
        <w:spacing w:after="0" w:line="115" w:lineRule="exact"/>
        <w:rPr>
          <w:rFonts w:ascii="Times New Roman" w:cs="Times New Roman" w:eastAsia="Times New Roman" w:hAnsi="Times New Roman"/>
          <w:sz w:val="14"/>
          <w:szCs w:val="14"/>
          <w:color w:val="auto"/>
        </w:rPr>
      </w:pPr>
    </w:p>
    <w:p>
      <w:pPr>
        <w:ind w:left="520" w:hanging="256"/>
        <w:spacing w:after="0" w:line="298"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Insurance Telematics </w:t>
      </w:r>
      <w:r>
        <w:rPr>
          <w:rFonts w:ascii="Times New Roman" w:cs="Times New Roman" w:eastAsia="Times New Roman" w:hAnsi="Times New Roman"/>
          <w:sz w:val="14"/>
          <w:szCs w:val="14"/>
          <w:color w:val="auto"/>
        </w:rPr>
        <w:t>allows insurers to tailor premiums for commercial and consumer customers using analytics provided by our platform. This data also can be used to better reconstruct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accident scenes, making it more efficient to evaluate claims and drive behavioral change resulting in safer drivers, reduced risk and lower premiums.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Specialist Mobility Solutions</w:t>
      </w:r>
    </w:p>
    <w:p>
      <w:pPr>
        <w:spacing w:after="0" w:line="181" w:lineRule="exact"/>
        <w:rPr>
          <w:sz w:val="20"/>
          <w:szCs w:val="20"/>
          <w:color w:val="auto"/>
        </w:rPr>
      </w:pPr>
    </w:p>
    <w:p>
      <w:pPr>
        <w:ind w:left="520" w:hanging="256"/>
        <w:spacing w:after="0" w:line="298"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Bike Track </w:t>
      </w:r>
      <w:r>
        <w:rPr>
          <w:rFonts w:ascii="Times New Roman" w:cs="Times New Roman" w:eastAsia="Times New Roman" w:hAnsi="Times New Roman"/>
          <w:sz w:val="14"/>
          <w:szCs w:val="14"/>
          <w:color w:val="auto"/>
        </w:rPr>
        <w:t>offers a GPS-based solution providing a comprehensive set of fleet management software features for commercial motorbike fleets. It includes a unique power management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system that ensures bike batteries will not be discharged.</w:t>
      </w:r>
    </w:p>
    <w:p>
      <w:pPr>
        <w:spacing w:after="0" w:line="115" w:lineRule="exact"/>
        <w:rPr>
          <w:rFonts w:ascii="Times New Roman" w:cs="Times New Roman" w:eastAsia="Times New Roman" w:hAnsi="Times New Roman"/>
          <w:sz w:val="14"/>
          <w:szCs w:val="14"/>
          <w:color w:val="auto"/>
        </w:rPr>
      </w:pPr>
    </w:p>
    <w:p>
      <w:pPr>
        <w:ind w:left="520" w:hanging="256"/>
        <w:spacing w:after="0" w:line="298"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Credit Management </w:t>
      </w:r>
      <w:r>
        <w:rPr>
          <w:rFonts w:ascii="Times New Roman" w:cs="Times New Roman" w:eastAsia="Times New Roman" w:hAnsi="Times New Roman"/>
          <w:sz w:val="14"/>
          <w:szCs w:val="14"/>
          <w:color w:val="auto"/>
        </w:rPr>
        <w:t>predicts payment cycles and facilitate active credit management for asset-based vehicle finance including accident reconstruction, driver behavior, reporting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maintenance services and fraud detection. Real-time alarms and alerts are used to protect and secure assets.</w:t>
      </w:r>
    </w:p>
    <w:p>
      <w:pPr>
        <w:spacing w:after="0" w:line="115" w:lineRule="exact"/>
        <w:rPr>
          <w:rFonts w:ascii="Times New Roman" w:cs="Times New Roman" w:eastAsia="Times New Roman" w:hAnsi="Times New Roman"/>
          <w:sz w:val="14"/>
          <w:szCs w:val="14"/>
          <w:color w:val="auto"/>
        </w:rPr>
      </w:pPr>
    </w:p>
    <w:p>
      <w:pPr>
        <w:jc w:val="both"/>
        <w:ind w:left="520" w:hanging="256"/>
        <w:spacing w:after="0" w:line="289"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Electronic Monitoring. </w:t>
      </w:r>
      <w:r>
        <w:rPr>
          <w:rFonts w:ascii="Times New Roman" w:cs="Times New Roman" w:eastAsia="Times New Roman" w:hAnsi="Times New Roman"/>
          <w:sz w:val="14"/>
          <w:szCs w:val="14"/>
          <w:color w:val="auto"/>
        </w:rPr>
        <w:t>In Singapore, we provide end-to-end electronic monitoring services (“EMS”) application that allows law enforcement agencies to monitor persons of interest,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offenders on extended supervision, parole, home detention or community detention, including released prisoners in halfway care or who are in the process of being reintegrated into society.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Next-Generation Mobility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constantly innovating to offer a range of additional mobility and monitoring solutions in select markets:</w:t>
      </w:r>
    </w:p>
    <w:p>
      <w:pPr>
        <w:spacing w:after="0" w:line="179" w:lineRule="exact"/>
        <w:rPr>
          <w:sz w:val="20"/>
          <w:szCs w:val="20"/>
          <w:color w:val="auto"/>
        </w:rPr>
      </w:pPr>
    </w:p>
    <w:p>
      <w:pPr>
        <w:ind w:left="520" w:hanging="256"/>
        <w:spacing w:after="0" w:line="298"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Cartrack Insurance Agency</w:t>
      </w:r>
      <w:r>
        <w:rPr>
          <w:rFonts w:ascii="Times New Roman" w:cs="Times New Roman" w:eastAsia="Times New Roman" w:hAnsi="Times New Roman"/>
          <w:sz w:val="14"/>
          <w:szCs w:val="14"/>
          <w:color w:val="auto"/>
        </w:rPr>
        <w:t>. Our insurance multi-quote or aggregator platform offers customers in South Africa the ability to obtain a fast online quote from a panel of independent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insurers at competitive rates, or if they choose, they can talk to a qualified consultant to advise on the appropriate insurance.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Smart IoT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Customers deploy our smart devices to collect real-time data from their vehicles and transmit this information to secure data centers for processing, which we manage via the Cartrack Private Cloud. Our platform components are designed to operate using a diverse array of communication technologies, including radio, satellite, and network protocols such as Sigfox and LoRa. We generally design, develop our devices and firmware in order to ensure their modularity and interoperability with our core subscription offering. We seek to increase device functionality and decrease device costs over time. We offer customers the option of a SaaS-based subscription model with no up-front payment, reducing the capital investment required to access our platform.</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8" w:name="page49"/>
    <w:bookmarkEnd w:id="48"/>
    <w:p>
      <w:pPr>
        <w:jc w:val="both"/>
        <w:spacing w:after="0" w:line="274" w:lineRule="auto"/>
        <w:rPr>
          <w:sz w:val="20"/>
          <w:szCs w:val="20"/>
          <w:color w:val="auto"/>
        </w:rPr>
      </w:pPr>
      <w:r>
        <w:rPr>
          <w:rFonts w:ascii="Times New Roman" w:cs="Times New Roman" w:eastAsia="Times New Roman" w:hAnsi="Times New Roman"/>
          <w:sz w:val="14"/>
          <w:szCs w:val="14"/>
          <w:color w:val="auto"/>
        </w:rPr>
        <w:t>Our solutions are both flexible and relevant across all industries and fleet sizes, and have the capability to track most types of assets. Our technology has proven to be scalable, with many use cases in many countries. We have collected large amounts of data, which we have in turn learned to process quickly and reliably. As we continue to grow, we leverage our data by integrating data science and AI more deeply into our platform.</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believe our modular, proprietary designs give us an advantage over competitors who rely solely on third-party telematics devices because we are able to collect industry specific data through our devices tailored to our customers’ needs. Our devices can access and leverage CANBUS data, a system which enables communication between various parts of a vehicle, such as the engine control unit and airbags, which can be commercialized through collaborations with OEMs.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Customers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commercial customers operate across a range of industries. As at February 28, 2025 we had more than 125,000 commercial customers compared to more than 121,000 as at February 29, 2024 driven by new customer additions and maintaining our high customer retention rate, which we believe is testament to a satisfied customer base. We maintain a strong focus on internally monitoring and continuously enhancing our customer satisfaction levels. We provide 24/7 customer support as part of our subscription and our internal teams are proactive in assisting customers over the phone. Additional assistance is also available via chat and email. Customer centricity is core to our culture.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Representative customers by geographical regions are listed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Africa</w:t>
      </w:r>
      <w:r>
        <w:rPr>
          <w:rFonts w:ascii="Times New Roman" w:cs="Times New Roman" w:eastAsia="Times New Roman" w:hAnsi="Times New Roman"/>
          <w:sz w:val="14"/>
          <w:szCs w:val="14"/>
          <w:color w:val="auto"/>
        </w:rPr>
        <w:t>: Dis-Chem, Kenings Car Van and Truck Hire, Lancet, MAN South Africa, Pick n Pay, SA Taxi Mobalyz, Spartan, Swissport, The Courier Guy, The Woodford Group.</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b w:val="1"/>
          <w:bCs w:val="1"/>
          <w:color w:val="auto"/>
        </w:rPr>
        <w:t>Africa</w:t>
      </w:r>
      <w:r>
        <w:rPr>
          <w:rFonts w:ascii="Times New Roman" w:cs="Times New Roman" w:eastAsia="Times New Roman" w:hAnsi="Times New Roman"/>
          <w:sz w:val="14"/>
          <w:szCs w:val="14"/>
          <w:color w:val="auto"/>
        </w:rPr>
        <w:t>: AIDS Healthcare Foundation, BCI, British American Tobacco, ENHL-Bonatti, Gemfields Group, Handling, Mantrac, NCBA Kenya, Ryce Leasing, Stanbic Bank, Transportes Carlos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Mesquita.</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Europe</w:t>
      </w:r>
      <w:r>
        <w:rPr>
          <w:rFonts w:ascii="Times New Roman" w:cs="Times New Roman" w:eastAsia="Times New Roman" w:hAnsi="Times New Roman"/>
          <w:sz w:val="14"/>
          <w:szCs w:val="14"/>
          <w:color w:val="auto"/>
        </w:rPr>
        <w:t>: Eurocash, Grupo Visabeira, Jeronimo Martins, Petit Forestier, Telefurgo, Zabka.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Asia-Pacific and Middle East</w:t>
      </w:r>
      <w:r>
        <w:rPr>
          <w:rFonts w:ascii="Times New Roman" w:cs="Times New Roman" w:eastAsia="Times New Roman" w:hAnsi="Times New Roman"/>
          <w:sz w:val="14"/>
          <w:szCs w:val="14"/>
          <w:color w:val="auto"/>
        </w:rPr>
        <w:t>: AL Marwan, Asia Brewery, Coca-Cola, DHL, Diag, Dizon Farms, GetGo, KINTO, Ley Choon, Lootah, Lumens, Toyota Mobility Solutions.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Our strategy to generate scale in a region is to target subscriber volume with consumers, sole proprietors and small businesses as we build our distribution and customer care capabilities. We then target the medium-sized businesses and large enterprises. In all regions, we sell subscriptions through our direct sales force.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sell subscriptions to our SaaS fleet management platform through our direct sales organization. Maintaining direct control of our sales force allows us to efficiently target individual consumers and sole proprietors, small to medium-sized businesses with local fleets, and large enterprise fleets.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focus of our sales efforts is to drive a high volume of transactions through a standardized and highly repeatable methodology. We focus on the core challenges that fleet operators face in managing their fleet. We are able to provide prospective customers with an anticipated return on investment (ROI) calculation that enables us to tangibly demonstrate the benefits of our solutions and how they address the challenges that they face. We highlight the insights that fleet operators gain from our reports and real-time alerts and how they can use those insights to improve productivity, increase operating profitability and solve key business problems. We believe we effectively sell our solutions to large customers because our platform is competitively priced, easy to use, stable and delivers the required actionable insights. We are also able to rapidly deploy our devices into a large fleet, making switching quick and easy. Additionally, the ease of use of our platform allows us to integrate our solutions with relative simplicity.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dedicated sales and marketing teams in each region using the following sales channels, depending on our customers’ needs and fleet sizes:</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i w:val="1"/>
          <w:iCs w:val="1"/>
          <w:color w:val="auto"/>
        </w:rPr>
        <w:t>Inside sales and web sales</w:t>
      </w:r>
      <w:r>
        <w:rPr>
          <w:rFonts w:ascii="Times New Roman" w:cs="Times New Roman" w:eastAsia="Times New Roman" w:hAnsi="Times New Roman"/>
          <w:sz w:val="14"/>
          <w:szCs w:val="14"/>
          <w:color w:val="auto"/>
        </w:rPr>
        <w:t>. Our primary sales channel to both consumers and commercial prospective customers is via our internal teams. This is a key component of our go-to- market strategy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teams have typically increased their sales productivity while lowering the aggregate cost of subscriber acquisition to date. Our sales agents conduct their selling activities telephonically, in some cases using live web demonstrations to convert sales leads to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Field sales. </w:t>
      </w:r>
      <w:r>
        <w:rPr>
          <w:rFonts w:ascii="Times New Roman" w:cs="Times New Roman" w:eastAsia="Times New Roman" w:hAnsi="Times New Roman"/>
          <w:sz w:val="14"/>
          <w:szCs w:val="14"/>
          <w:color w:val="auto"/>
        </w:rPr>
        <w:t>Our field sales team of relationship managers meet face-to-face with prospective customers and focuses on sales to small businesses, medium-sized businesses and large enterprises.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field sales team is supported by an inside team of sales representatives.</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addition to the direct selling methods set out above, our field sales teams, with support from our inside sales team, work closely with automobile dealerships, insurance companies and insurance brokers to generate channel-based opportunities for us to acquire new customers.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Furthermore, both the inside sales teams and field sales teams focus on assisting customers that are adding devices through fleet expansion or broader use of additional applications or software features across their fleet. They monitor customer usage to ensure that customers are deriving the maximum benefit from our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Marketing</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Our marketing programs target both individual consumers, business owners and decision-making managers in multiple industries that operate fleets of commercial vehicles. Our marketing strategy is focused on lead generation and reinforcing customer engagement and thought leadership.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Lead generation is a core function of our business processes. We generate leads through a combination of internet-driven inbound activities and traditional outbound marketing activities.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Inbound leads</w:t>
      </w:r>
      <w:r>
        <w:rPr>
          <w:rFonts w:ascii="Times New Roman" w:cs="Times New Roman" w:eastAsia="Times New Roman" w:hAnsi="Times New Roman"/>
          <w:sz w:val="14"/>
          <w:szCs w:val="14"/>
          <w:color w:val="auto"/>
        </w:rPr>
        <w:t>. Our inbound leads are largely generated through digital or internet-based marketing efforts. This involves extensive search engine marketing, search engine optimization, email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marketing, direct internet traffic, social media platforms and purchased lead generations. Our demand generation programs vary depending on our target customer, industry or fleet size, and include marketing activities such as integrated programs on the internet, outbound marketing campaigns targeted to prospective customers in key industries and geographies, attendance and sponsorship of trade shows, email lead generation and prospective customer follow up, and traditional public relations and website properties. We make use of social media to engage customers and prospective customers to generate interest, demand and leads.</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i w:val="1"/>
          <w:iCs w:val="1"/>
          <w:color w:val="auto"/>
        </w:rPr>
        <w:t>Outbound leads</w:t>
      </w:r>
      <w:r>
        <w:rPr>
          <w:rFonts w:ascii="Times New Roman" w:cs="Times New Roman" w:eastAsia="Times New Roman" w:hAnsi="Times New Roman"/>
          <w:sz w:val="14"/>
          <w:szCs w:val="14"/>
          <w:color w:val="auto"/>
        </w:rPr>
        <w:t>. Our outbound lead generation involves a variety of traditional marketing activities, including customer referral, purchased leads, direct mail, email marketing, cold calling,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advertising, trade shows and in-person events and telemarketing. We accumulate marketing lists through a variety of sources, including purchased lists selected by industry and geographic demographics. We filter prospective customers by using industry knowledge to identify quality targets.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Technology</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designed our SaaS Cloud platform architecture for global access via an internet browser or mobile application. Updates to our platform are distributed instantaneously to all of our customers over the internet. Our solutions have been specifically built to deliver:</w:t>
      </w:r>
    </w:p>
    <w:p>
      <w:pPr>
        <w:spacing w:after="0" w:line="124" w:lineRule="exact"/>
        <w:rPr>
          <w:sz w:val="20"/>
          <w:szCs w:val="20"/>
          <w:color w:val="auto"/>
        </w:rPr>
      </w:pPr>
    </w:p>
    <w:p>
      <w:pPr>
        <w:ind w:left="520" w:hanging="256"/>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consistent, intuitive end-user experience to limit the need for training and to encourage high levels of end-user adoption and engagement;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turnkey, out-of-the-box functionality;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flexibility to design customized reports and alerts that enable our customers to gain insights into their existing fleet and mobile assets;</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other systems such as OEM systems, fuel cards, GPS navigation devices, and customer information technology systems, such as work order management and enterprise resource management systems;</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scalability to match the needs of our growing customer base and their fleets;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rigorous security standards and high levels of system performance and availability demanded by our customers.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fleet management platform is comprised of a telematics device that incorporates off-the-shelf components, including a cellular modem, GPS receiver and memory capacity sufficient to run our proprietary firmware, which reports vehicle coordinates, time, speed, ignition status and mileage from satellite readings. This information is collected using an event-based algorithm (allowing the events collected to provide a road hugging presentation on the mapping layers) and then sent to our receivers at third-party data centers via a commercial cellular network. The information is then processed and delivered to our customers providing a wide range of live reporting, mapping and alerts designed to give customers business intelligence. This information can be accessed by our customers via an internet browser or mobile application as well as be sent to customers by email, an XML feed, or internet services.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SaaS platform is deployed using a multi-tenanted architecture that scales rapidly to support additional subscribers through the addition of incremental commodity processing and storage hardware. This architecture flexibility allows us to sustain high levels of uptime without degradation of system performance despite significant subscriber growth. Our existing architecture and infrastructure have been designed with sufficient capacity to meet our current and anticipated future needs.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use many frameworks, most notably REACT developed by Facebook, and write the majority of our software in industry-standard software programming languages, such as JavaScript, python, PHP and C/C++. All software is deployed for our relational database management system. Apart from these and other third-party industry standard technologies, our fleet management solutions have been specifically built and upgraded by our in-house development team.</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responsibilities of our research and development organization, which consists of 219 full-time employees, include platform management, platform development, quality assurance and technology operations. Our investment in research and development is core to our business strategy and a key differentiator in the competitive landscape. All of our research and development activities are performed in-house. Our primary research and development team is based in Singapore. We also have research and development centers in South Africa, and Portugal. Based on feedback from our customers and prospective customers, we work to expand our platform offerings while enhancing and maintaining our core solution technology to adapt to new regulatory compliance requirements, user demands and emerging trends in the industry. We develop new functionality with a view to full platform deployment for use by all of our customers and avoid bespoke development.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physically host our cloud-based SaaS platform principally in seven secure third-party data centers located in South Africa, Singapore, the Netherlands, the United Arab Emirates and France. These data centers provide us with both physical security, including around-the-clock security personnel, biometric access controls and systems security, including firewalls, encryption, redundant power and environmental controls. Our data centers maintained over 99.9% system uptime for the financial year ended February 28, 2025. We believe that our third-party hosting facilities are adequate for our current needs and that suitable additional capacity will be available as needed to accommodate planned expansion of our operations. We believe our agreements with these third-party data centers are generally consistent with competitive market terms and conditions.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platform technology also includes switches, routers, load balancers, IDS/IPS and application firewalls from top-tier suppliers to serve as the networking infrastructure and high levels of security infrastructure for the network environment. We use rack-mounted servers to run our solutions and for content caching. We use storage area network (“SAN”) hardware with fiber channel and solid-state drives at our data center locations. These SAN systems have been designed for high performance and data-loss protection, and we believe that these systems have the capacity and scalability to support our anticipated growth for the foreseeable future.</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leverage a large team of employed installers worldwide to install our telematics devices, occasionally calling on third parties to assist with installation. Upon contracting with a new customer, we dispatch the nearest installer to the customer’s place of business or a central location for installation of our telematics devices. Typically, the full installation cycle is accomplished within two to five days from the date of contract. If a telematics device malfunctions in the field, we use our installers to replace the device.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rapidly evolving market for our solutions is competitive and highly fragmented in certain of our regions, particularly by geography and customer segment. We compete with point-to-point solution providers as well as other companies with service offerings designed to address similar needs as our solutions that range from small, regional providers to midsized multinational providers to large global providers. Many of our competitors offer fleet or mobile asset management software solutions to particular industry segments or in limited geographic regions. For example, we compete with Verizon Connect, WebFleet by Bridgestone (formerly TomTom), Masternaut (a Michelin Group Company) and Fleet Complete for commercial fleet management in Europe; we compete with Tracker, Netstar, Power Fleet (formerly MiX Telematics), Geotab and CTrack in South Africa; and we compete with a large and fragmented group of competitors in Asia and Africa. Many larger competitors have entered the market in recent years through acquisitions of competing solutions, such as telecommunications provider Verizon acquiring Fleetmatics, as well as tyre companies Bridgestone and Michelin acquiring TomTom and Masternaut, respectively. Some of our actual and potential competitors may enjoy competitive advantages over us, such as greater name recognition, longer operating histories, more varied services, and larger marketing budgets, as well as greater financial, technical, and other resources.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We believe that the key competitive factors in our market include:</w:t>
      </w:r>
    </w:p>
    <w:p>
      <w:pPr>
        <w:spacing w:after="0" w:line="183" w:lineRule="exact"/>
        <w:rPr>
          <w:sz w:val="20"/>
          <w:szCs w:val="20"/>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onboarding, initial setup and use;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functionality, performance and reliability (speed and stability);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relevant features that best meet the needs of fleet operators;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intelligence capabilities;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technology architecture scalability;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believe that our efficient customer acquisition model, data driven business intelligence approach to fleet management, SaaS delivery model, deep domain expertise and large user base enable us to compete effectively. We believe that many of our competitors rely on up-front hardware sales to finance their operations, posing a significant investment hurdle for certain customers. Additionally, many of these competitive offerings are difficult to deploy and use and lack other features required by customers.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Some of our competitors have made or may make acquisitions or enter into partnerships or other strategic relationships to offer a more comprehensive service than we do. These combinations may make it more difficult for us to compete effectively, including on the basis of price, sales and marketing programs, technology, or service functionality. We expect these trends to continue as companies attempt to strengthen or maintain their market positions.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not materially affected by seasonal trends.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intellectual property rights are important to our business. We rely on a combination of trademark, copyright, and trade secret laws, as well as confidentiality procedures and contractual restrictions, to establish and protect our intellectual property rights. We also license technology from third parties. We believe our license agreements for third-party software and other intellectual property are generally consistent with industry standard terms and conditions. See “Risk Factors—Our SaaS platform relies on specific third-party software and any inability to license or use such software from third-parties could render our platform inoperable.” Although the protection afforded by trademark, copyright, and trade secret laws, written agreements and common law may provide some advantages, we believe that the following factors help us to maintain a competitive advantage: the technological skills of our research and development personnel; frequent enhancements to our solutions; and continued expansion of our proprietary technology.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at February 28, 2025, we had 5,711 full-time employees of which 4,047 are located in South Africa, 310 are located in Africa-Other, 360 are located in Europe, and 994 are located in Asia-Pacific, Middle East and USA.</w:t>
      </w:r>
    </w:p>
    <w:p>
      <w:pPr>
        <w:spacing w:after="0" w:line="1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Group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8"/>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C.  ORGANIZATIONAL STRUCTURE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44"/>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lists the entities which are controlled by</w:t>
            </w:r>
          </w:p>
        </w:tc>
        <w:tc>
          <w:tcPr>
            <w:tcW w:w="37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the Group.</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holding</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holding</w:t>
            </w: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Held by</w:t>
            </w:r>
          </w:p>
        </w:tc>
        <w:tc>
          <w:tcPr>
            <w:tcW w:w="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2"/>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Ltd</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5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Carzuka.com Pte Ltd</w:t>
            </w:r>
            <w:r>
              <w:rPr>
                <w:rFonts w:ascii="Times New Roman" w:cs="Times New Roman" w:eastAsia="Times New Roman" w:hAnsi="Times New Roman"/>
                <w:sz w:val="23"/>
                <w:szCs w:val="23"/>
                <w:b w:val="1"/>
                <w:bCs w:val="1"/>
                <w:color w:val="auto"/>
                <w:vertAlign w:val="superscript"/>
              </w:rPr>
              <w:t>1,5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Ltd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Management Company Pte. Ltd.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Ltd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5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Karooooo Software Pte. Ltd.</w:t>
            </w:r>
            <w:r>
              <w:rPr>
                <w:rFonts w:ascii="Times New Roman" w:cs="Times New Roman" w:eastAsia="Times New Roman" w:hAnsi="Times New Roman"/>
                <w:sz w:val="23"/>
                <w:szCs w:val="23"/>
                <w:b w:val="1"/>
                <w:bCs w:val="1"/>
                <w:color w:val="auto"/>
                <w:vertAlign w:val="superscript"/>
              </w:rPr>
              <w:t>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Ltd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Proprietary Ltd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Ltd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5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Karooooo Cartrack Limited</w:t>
            </w:r>
            <w:r>
              <w:rPr>
                <w:rFonts w:ascii="Times New Roman" w:cs="Times New Roman" w:eastAsia="Times New Roman" w:hAnsi="Times New Roman"/>
                <w:sz w:val="23"/>
                <w:szCs w:val="23"/>
                <w:b w:val="1"/>
                <w:bCs w:val="1"/>
                <w:color w:val="auto"/>
                <w:vertAlign w:val="superscript"/>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Ltd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Uganda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(Cambodia) Co. Ltd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Management Company Pte Ltd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Cambodia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5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Cartrack Swaziland Pty Ltd</w:t>
            </w:r>
            <w:r>
              <w:rPr>
                <w:rFonts w:ascii="Times New Roman" w:cs="Times New Roman" w:eastAsia="Times New Roman" w:hAnsi="Times New Roman"/>
                <w:sz w:val="23"/>
                <w:szCs w:val="23"/>
                <w:b w:val="1"/>
                <w:bCs w:val="1"/>
                <w:color w:val="auto"/>
                <w:vertAlign w:val="superscript"/>
              </w:rPr>
              <w:t>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Management Company Pte Ltd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Kingdom of Eswatini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76.00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76.00</w:t>
            </w:r>
          </w:p>
        </w:tc>
      </w:tr>
      <w:tr>
        <w:trPr>
          <w:trHeight w:val="204"/>
        </w:trPr>
        <w:tc>
          <w:tcPr>
            <w:tcW w:w="3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Carzuka Pte Ltd</w:t>
            </w:r>
            <w:r>
              <w:rPr>
                <w:rFonts w:ascii="Times New Roman" w:cs="Times New Roman" w:eastAsia="Times New Roman" w:hAnsi="Times New Roman"/>
                <w:sz w:val="23"/>
                <w:szCs w:val="23"/>
                <w:b w:val="1"/>
                <w:bCs w:val="1"/>
                <w:color w:val="auto"/>
                <w:vertAlign w:val="superscript"/>
              </w:rPr>
              <w:t>1,5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Carzuka.com Pte Ltd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Technologies Proprietary Limited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Proprietary Ltd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Management Services Limited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Proprietary Limited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Manufacturing Proprietary Limited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Insurance Agency Proprietary Limited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Namibia Proprietary Limited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Namibia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Carzuka Proprietary Limited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Purple Rain Properties No.444 Proprietary Limited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Karooooo Logistics Pty Ltd (“Picup”)</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Holdings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w:t>
            </w:r>
          </w:p>
        </w:tc>
      </w:tr>
      <w:tr>
        <w:trPr>
          <w:trHeight w:val="204"/>
        </w:trPr>
        <w:tc>
          <w:tcPr>
            <w:tcW w:w="35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Cartrack Telematics Proprietary Limited</w:t>
            </w:r>
            <w:r>
              <w:rPr>
                <w:rFonts w:ascii="Times New Roman" w:cs="Times New Roman" w:eastAsia="Times New Roman" w:hAnsi="Times New Roman"/>
                <w:sz w:val="23"/>
                <w:szCs w:val="23"/>
                <w:b w:val="1"/>
                <w:bCs w:val="1"/>
                <w:color w:val="auto"/>
                <w:vertAlign w:val="superscript"/>
              </w:rPr>
              <w:t>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49.0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49.0</w:t>
            </w:r>
          </w:p>
        </w:tc>
      </w:tr>
      <w:tr>
        <w:trPr>
          <w:trHeight w:val="204"/>
        </w:trPr>
        <w:tc>
          <w:tcPr>
            <w:tcW w:w="3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Cartrack Academy (Pty) Ltd</w:t>
            </w:r>
            <w:r>
              <w:rPr>
                <w:rFonts w:ascii="Times New Roman" w:cs="Times New Roman" w:eastAsia="Times New Roman" w:hAnsi="Times New Roman"/>
                <w:sz w:val="23"/>
                <w:szCs w:val="23"/>
                <w:b w:val="1"/>
                <w:bCs w:val="1"/>
                <w:color w:val="auto"/>
                <w:vertAlign w:val="superscript"/>
              </w:rPr>
              <w:t>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Karu Holdings Proprietary Ltd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Combined Telematics Services Proprietary Limited</w:t>
            </w:r>
            <w:r>
              <w:rPr>
                <w:rFonts w:ascii="Times New Roman" w:cs="Times New Roman" w:eastAsia="Times New Roman" w:hAnsi="Times New Roman"/>
                <w:sz w:val="23"/>
                <w:szCs w:val="23"/>
                <w:b w:val="1"/>
                <w:bCs w:val="1"/>
                <w:color w:val="auto"/>
                <w:vertAlign w:val="superscript"/>
              </w:rPr>
              <w:t>1,2,7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Proprietary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w:t>
            </w:r>
          </w:p>
        </w:tc>
      </w:tr>
      <w:tr>
        <w:trPr>
          <w:trHeight w:val="204"/>
        </w:trPr>
        <w:tc>
          <w:tcPr>
            <w:tcW w:w="350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CTK Shell 2 (Pty) Ltd</w:t>
            </w:r>
            <w:r>
              <w:rPr>
                <w:rFonts w:ascii="Times New Roman" w:cs="Times New Roman" w:eastAsia="Times New Roman" w:hAnsi="Times New Roman"/>
                <w:sz w:val="23"/>
                <w:szCs w:val="23"/>
                <w:b w:val="1"/>
                <w:bCs w:val="1"/>
                <w:color w:val="auto"/>
                <w:vertAlign w:val="superscript"/>
              </w:rPr>
              <w:t>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Proprietary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Tanzania Limited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Tanzania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Karooooo Kenya Limited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Kenya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w:t>
            </w: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Engineering Technologies Limited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Nigeria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PT. Cartrack Technologies Indonesia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Indonesia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Cartrack Investments UK Limited</w:t>
            </w:r>
            <w:r>
              <w:rPr>
                <w:rFonts w:ascii="Times New Roman" w:cs="Times New Roman" w:eastAsia="Times New Roman" w:hAnsi="Times New Roman"/>
                <w:sz w:val="23"/>
                <w:szCs w:val="23"/>
                <w:b w:val="1"/>
                <w:bCs w:val="1"/>
                <w:color w:val="auto"/>
                <w:vertAlign w:val="superscript"/>
              </w:rPr>
              <w:t>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689"/>
        </w:trPr>
        <w:tc>
          <w:tcPr>
            <w:tcW w:w="35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14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4" w:right="31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holding</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holding</w:t>
            </w:r>
          </w:p>
        </w:tc>
      </w:t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20" w:type="dxa"/>
            <w:vAlign w:val="bottom"/>
          </w:tcPr>
          <w:p>
            <w:pPr>
              <w:spacing w:after="0"/>
              <w:rPr>
                <w:sz w:val="16"/>
                <w:szCs w:val="16"/>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Held by</w:t>
            </w:r>
          </w:p>
        </w:tc>
        <w:tc>
          <w:tcPr>
            <w:tcW w:w="120" w:type="dxa"/>
            <w:vAlign w:val="bottom"/>
          </w:tcPr>
          <w:p>
            <w:pPr>
              <w:spacing w:after="0"/>
              <w:rPr>
                <w:sz w:val="16"/>
                <w:szCs w:val="16"/>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2"/>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(China) Limited</w:t>
            </w:r>
          </w:p>
        </w:tc>
        <w:tc>
          <w:tcPr>
            <w:tcW w:w="120" w:type="dxa"/>
            <w:vAlign w:val="bottom"/>
            <w:tcBorders>
              <w:top w:val="single" w:sz="8" w:color="CCEEFF"/>
            </w:tcBorders>
            <w:shd w:val="clear" w:color="auto" w:fill="CCEEFF"/>
          </w:tcPr>
          <w:p>
            <w:pPr>
              <w:spacing w:after="0"/>
              <w:rPr>
                <w:sz w:val="14"/>
                <w:szCs w:val="14"/>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Hong Kong</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Malaysia SDN.BHD</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Malaysia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LLC</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U.A.E.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PHL.INC</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Philippines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South East Asia Pte. Limited</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Ireland Limited</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Republic of Ireland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(Thailand) Company Limited</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Thailand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New Zealand Limited</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New Zealand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(Australia) Proprietary Limited</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Technologies Zambia Limited</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Zambia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9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Cartrack (Mauritius) Ltd</w:t>
            </w:r>
            <w:r>
              <w:rPr>
                <w:rFonts w:ascii="Times New Roman" w:cs="Times New Roman" w:eastAsia="Times New Roman" w:hAnsi="Times New Roman"/>
                <w:sz w:val="23"/>
                <w:szCs w:val="23"/>
                <w:b w:val="1"/>
                <w:bCs w:val="1"/>
                <w:color w:val="auto"/>
                <w:vertAlign w:val="superscript"/>
              </w:rPr>
              <w:t>1,5</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Mauritius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Vietnam Limited Liability Company</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Pte.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Vietnam</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INC.</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Ireland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U.S.A.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Polska.SP.ZO.O</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Ireland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Poland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Cartrack Portugal S.A.</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Ireland Limited</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Portugal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Espana. S.L.U.</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Ireland Limited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Spain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Karu.Com. Unipessoal. Lda</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Portugal S.A.</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Portugal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204"/>
        </w:trPr>
        <w:tc>
          <w:tcPr>
            <w:tcW w:w="3960" w:type="dxa"/>
            <w:vAlign w:val="bottom"/>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Cartrack Limitada</w:t>
            </w:r>
            <w:r>
              <w:rPr>
                <w:rFonts w:ascii="Times New Roman" w:cs="Times New Roman" w:eastAsia="Times New Roman" w:hAnsi="Times New Roman"/>
                <w:sz w:val="23"/>
                <w:szCs w:val="23"/>
                <w:b w:val="1"/>
                <w:bCs w:val="1"/>
                <w:color w:val="auto"/>
                <w:vertAlign w:val="superscript"/>
              </w:rPr>
              <w:t>2</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LLC</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Mozambique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w:t>
            </w: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Auto Club LDA</w:t>
            </w: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LLC</w:t>
            </w:r>
          </w:p>
        </w:tc>
        <w:tc>
          <w:tcPr>
            <w:tcW w:w="2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Mozambique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r>
      <w:tr>
        <w:trPr>
          <w:trHeight w:val="318"/>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Cartrack for Information Technology Company</w:t>
            </w:r>
            <w:r>
              <w:rPr>
                <w:rFonts w:ascii="Times New Roman" w:cs="Times New Roman" w:eastAsia="Times New Roman" w:hAnsi="Times New Roman"/>
                <w:sz w:val="23"/>
                <w:szCs w:val="23"/>
                <w:b w:val="1"/>
                <w:bCs w:val="1"/>
                <w:color w:val="auto"/>
                <w:vertAlign w:val="superscript"/>
              </w:rPr>
              <w:t>1</w:t>
            </w: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Cartrack Technologies LLC</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Kingdom of Saudi Arabia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r>
    </w:tbl>
    <w:p>
      <w:pPr>
        <w:spacing w:after="0" w:line="125" w:lineRule="exact"/>
        <w:rPr>
          <w:sz w:val="20"/>
          <w:szCs w:val="20"/>
          <w:color w:val="auto"/>
        </w:rPr>
      </w:pPr>
    </w:p>
    <w:p>
      <w:pPr>
        <w:ind w:left="260" w:hanging="254"/>
        <w:spacing w:after="0"/>
        <w:tabs>
          <w:tab w:leader="none" w:pos="26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Dormant</w:t>
      </w:r>
    </w:p>
    <w:p>
      <w:pPr>
        <w:spacing w:after="0" w:line="2" w:lineRule="exact"/>
        <w:rPr>
          <w:sz w:val="20"/>
          <w:szCs w:val="20"/>
          <w:color w:val="auto"/>
        </w:rPr>
      </w:pPr>
    </w:p>
    <w:p>
      <w:pPr>
        <w:jc w:val="both"/>
        <w:ind w:left="260" w:hanging="254"/>
        <w:spacing w:after="0" w:line="216" w:lineRule="auto"/>
        <w:tabs>
          <w:tab w:leader="none" w:pos="26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Group considers Cartrack Limitada, Combined Telematics Services Proprietary Limited and Cartrack Telematics Proprietary Limited as subsidiaries of the Group as the Group has the right to appoint the majority of the directors on the Board of Directors of these entities through contractual shareholders’ agreements. The Board of Directors of these companies direct the relevant activities of these entities. Accordingly, the Group is exposed or has rights to variable returns from its involvement with these entities through its power over it and has the ability to affect those returns through the Board of Directors.</w:t>
      </w:r>
    </w:p>
    <w:p>
      <w:pPr>
        <w:ind w:left="260" w:hanging="254"/>
        <w:spacing w:after="0" w:line="191" w:lineRule="auto"/>
        <w:tabs>
          <w:tab w:leader="none" w:pos="2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90% of the share capital of Karooooo Cartrack Limited is held by Karooooo Limited and the remainder 10% of the share capital is held by Karooooo Management Company Pte Limited, a</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wholly owned subsidiary of Karooooo Limited.</w:t>
      </w:r>
    </w:p>
    <w:p>
      <w:pPr>
        <w:ind w:left="260" w:hanging="254"/>
        <w:spacing w:after="0" w:line="198" w:lineRule="auto"/>
        <w:tabs>
          <w:tab w:leader="none" w:pos="2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74% of the share capital of Cartrack Swaziland (Pty) Ltd is held by Karooooo Management Company Pte. Ltd. and 2% is held by Cartrack Holdings Proprietary Limited.</w:t>
      </w:r>
    </w:p>
    <w:p>
      <w:pPr>
        <w:ind w:left="260" w:hanging="254"/>
        <w:spacing w:after="0" w:line="188" w:lineRule="auto"/>
        <w:tabs>
          <w:tab w:leader="none" w:pos="2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As at financial year ended February 28, 2025, the entities were deregistered and ceased to exist as legal entities.</w:t>
      </w:r>
    </w:p>
    <w:p>
      <w:pPr>
        <w:ind w:left="260" w:hanging="254"/>
        <w:spacing w:after="0" w:line="189" w:lineRule="auto"/>
        <w:tabs>
          <w:tab w:leader="none" w:pos="2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CTK Shall 1 (Pty) Ltd was renamed to Cartrack Academy (Pty) Ltd on June 20, 2024.</w:t>
      </w:r>
    </w:p>
    <w:p>
      <w:pPr>
        <w:ind w:left="260" w:hanging="254"/>
        <w:spacing w:after="0" w:line="189" w:lineRule="auto"/>
        <w:tabs>
          <w:tab w:leader="none" w:pos="2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This entity was deregistered after February 28, 2025.</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4"/>
          <w:szCs w:val="14"/>
          <w:b w:val="1"/>
          <w:bCs w:val="1"/>
          <w:color w:val="auto"/>
        </w:rPr>
        <w:t>D.  PROPERTY, PLANT AND EQUIPMENT</w:t>
      </w:r>
    </w:p>
    <w:p>
      <w:pPr>
        <w:spacing w:after="0" w:line="18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Our principal executive office in Singapore is our premises at 17 Kallang Junction #06-05/06 Singapore 339274 which is leased upon the terms set out below. With effect from September 2024, the construction of our South African central office in Johannesburg, South Africa has been completed and is occupied by Cartrack. We also have lease agreements for office space at two other locations as set out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Lessee</w:t>
            </w:r>
          </w:p>
        </w:tc>
        <w:tc>
          <w:tcPr>
            <w:tcW w:w="100" w:type="dxa"/>
            <w:vAlign w:val="bottom"/>
          </w:tcPr>
          <w:p>
            <w:pPr>
              <w:spacing w:after="0"/>
              <w:rPr>
                <w:sz w:val="16"/>
                <w:szCs w:val="16"/>
                <w:color w:val="auto"/>
              </w:rPr>
            </w:pPr>
          </w:p>
        </w:tc>
        <w:tc>
          <w:tcPr>
            <w:tcW w:w="282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Lessor</w:t>
            </w:r>
          </w:p>
        </w:tc>
        <w:tc>
          <w:tcPr>
            <w:tcW w:w="282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172"/>
        </w:trPr>
        <w:tc>
          <w:tcPr>
            <w:tcW w:w="2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r>
      <w:tr>
        <w:trPr>
          <w:trHeight w:val="157"/>
        </w:trPr>
        <w:tc>
          <w:tcPr>
            <w:tcW w:w="28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Karooooo Management Company Pte Ltd</w:t>
            </w:r>
          </w:p>
        </w:tc>
        <w:tc>
          <w:tcPr>
            <w:tcW w:w="2920" w:type="dxa"/>
            <w:vAlign w:val="bottom"/>
            <w:gridSpan w:val="3"/>
            <w:shd w:val="clear" w:color="auto" w:fill="CCEEFF"/>
          </w:tcPr>
          <w:p>
            <w:pPr>
              <w:ind w:left="100"/>
              <w:spacing w:after="0" w:line="157" w:lineRule="exact"/>
              <w:rPr>
                <w:sz w:val="20"/>
                <w:szCs w:val="20"/>
                <w:color w:val="auto"/>
              </w:rPr>
            </w:pPr>
            <w:r>
              <w:rPr>
                <w:rFonts w:ascii="Times New Roman" w:cs="Times New Roman" w:eastAsia="Times New Roman" w:hAnsi="Times New Roman"/>
                <w:sz w:val="14"/>
                <w:szCs w:val="14"/>
                <w:color w:val="auto"/>
              </w:rPr>
              <w:t>SB (17KJ) Investment Pte Ltd</w:t>
            </w:r>
          </w:p>
        </w:tc>
        <w:tc>
          <w:tcPr>
            <w:tcW w:w="28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17 Kallang Junction #06-05/06 Singapore</w:t>
            </w:r>
          </w:p>
        </w:tc>
        <w:tc>
          <w:tcPr>
            <w:tcW w:w="2700" w:type="dxa"/>
            <w:vAlign w:val="bottom"/>
            <w:shd w:val="clear" w:color="auto" w:fill="CCEEFF"/>
          </w:tcPr>
          <w:p>
            <w:pPr>
              <w:jc w:val="center"/>
              <w:ind w:left="48"/>
              <w:spacing w:after="0" w:line="157" w:lineRule="exact"/>
              <w:rPr>
                <w:sz w:val="20"/>
                <w:szCs w:val="20"/>
                <w:color w:val="auto"/>
              </w:rPr>
            </w:pPr>
            <w:r>
              <w:rPr>
                <w:rFonts w:ascii="Times New Roman" w:cs="Times New Roman" w:eastAsia="Times New Roman" w:hAnsi="Times New Roman"/>
                <w:sz w:val="14"/>
                <w:szCs w:val="14"/>
                <w:color w:val="auto"/>
              </w:rPr>
              <w:t>April 04, 2023 to October 03, 2028</w:t>
            </w:r>
          </w:p>
        </w:tc>
      </w:tr>
      <w:tr>
        <w:trPr>
          <w:trHeight w:val="187"/>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339274</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r>
      <w:tr>
        <w:trPr>
          <w:trHeight w:val="17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57"/>
        </w:trPr>
        <w:tc>
          <w:tcPr>
            <w:tcW w:w="28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Cartrack Manufacturing Proprietary Limited</w:t>
            </w:r>
          </w:p>
        </w:tc>
        <w:tc>
          <w:tcPr>
            <w:tcW w:w="2920" w:type="dxa"/>
            <w:vAlign w:val="bottom"/>
            <w:gridSpan w:val="3"/>
            <w:shd w:val="clear" w:color="auto" w:fill="CCEEFF"/>
          </w:tcPr>
          <w:p>
            <w:pPr>
              <w:ind w:left="100"/>
              <w:spacing w:after="0" w:line="157" w:lineRule="exact"/>
              <w:rPr>
                <w:sz w:val="20"/>
                <w:szCs w:val="20"/>
                <w:color w:val="auto"/>
              </w:rPr>
            </w:pPr>
            <w:r>
              <w:rPr>
                <w:rFonts w:ascii="Times New Roman" w:cs="Times New Roman" w:eastAsia="Times New Roman" w:hAnsi="Times New Roman"/>
                <w:sz w:val="14"/>
                <w:szCs w:val="14"/>
                <w:color w:val="auto"/>
              </w:rPr>
              <w:t>Stand 222 Republic Road (Pty) Ltd</w:t>
            </w:r>
          </w:p>
        </w:tc>
        <w:tc>
          <w:tcPr>
            <w:tcW w:w="28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Cnr Cherry Drive &amp; Republic Rd, Randburg,</w:t>
            </w:r>
          </w:p>
        </w:tc>
        <w:tc>
          <w:tcPr>
            <w:tcW w:w="2700" w:type="dxa"/>
            <w:vAlign w:val="bottom"/>
            <w:shd w:val="clear" w:color="auto" w:fill="CCEEFF"/>
          </w:tcPr>
          <w:p>
            <w:pPr>
              <w:jc w:val="center"/>
              <w:ind w:left="48"/>
              <w:spacing w:after="0" w:line="157" w:lineRule="exact"/>
              <w:rPr>
                <w:sz w:val="20"/>
                <w:szCs w:val="20"/>
                <w:color w:val="auto"/>
              </w:rPr>
            </w:pPr>
            <w:r>
              <w:rPr>
                <w:rFonts w:ascii="Times New Roman" w:cs="Times New Roman" w:eastAsia="Times New Roman" w:hAnsi="Times New Roman"/>
                <w:sz w:val="14"/>
                <w:szCs w:val="14"/>
                <w:color w:val="auto"/>
              </w:rPr>
              <w:t>January 01, 2025 to December 31, 2027</w:t>
            </w:r>
          </w:p>
        </w:tc>
      </w:tr>
      <w:tr>
        <w:trPr>
          <w:trHeight w:val="187"/>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Johannesburg, Gauteng, South Africa.</w:t>
            </w:r>
          </w:p>
        </w:tc>
        <w:tc>
          <w:tcPr>
            <w:tcW w:w="2700" w:type="dxa"/>
            <w:vAlign w:val="bottom"/>
            <w:shd w:val="clear" w:color="auto" w:fill="CCEEFF"/>
          </w:tcPr>
          <w:p>
            <w:pPr>
              <w:spacing w:after="0"/>
              <w:rPr>
                <w:sz w:val="16"/>
                <w:szCs w:val="16"/>
                <w:color w:val="auto"/>
              </w:rPr>
            </w:pPr>
          </w:p>
        </w:tc>
      </w:tr>
      <w:tr>
        <w:trPr>
          <w:trHeight w:val="17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57"/>
        </w:trPr>
        <w:tc>
          <w:tcPr>
            <w:tcW w:w="28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Cartrack Academy (Pty) Ltd</w:t>
            </w:r>
          </w:p>
        </w:tc>
        <w:tc>
          <w:tcPr>
            <w:tcW w:w="2920" w:type="dxa"/>
            <w:vAlign w:val="bottom"/>
            <w:gridSpan w:val="3"/>
            <w:shd w:val="clear" w:color="auto" w:fill="CCEEFF"/>
          </w:tcPr>
          <w:p>
            <w:pPr>
              <w:ind w:left="100"/>
              <w:spacing w:after="0" w:line="157" w:lineRule="exact"/>
              <w:rPr>
                <w:sz w:val="20"/>
                <w:szCs w:val="20"/>
                <w:color w:val="auto"/>
              </w:rPr>
            </w:pPr>
            <w:r>
              <w:rPr>
                <w:rFonts w:ascii="Times New Roman" w:cs="Times New Roman" w:eastAsia="Times New Roman" w:hAnsi="Times New Roman"/>
                <w:sz w:val="14"/>
                <w:szCs w:val="14"/>
                <w:color w:val="auto"/>
              </w:rPr>
              <w:t>Growthpoint Properties Limited</w:t>
            </w:r>
          </w:p>
        </w:tc>
        <w:tc>
          <w:tcPr>
            <w:tcW w:w="28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Grosvenor Corner, 195 Jan Smuts Avenue,</w:t>
            </w:r>
          </w:p>
        </w:tc>
        <w:tc>
          <w:tcPr>
            <w:tcW w:w="2700" w:type="dxa"/>
            <w:vAlign w:val="bottom"/>
            <w:shd w:val="clear" w:color="auto" w:fill="CCEEFF"/>
          </w:tcPr>
          <w:p>
            <w:pPr>
              <w:ind w:left="240"/>
              <w:spacing w:after="0" w:line="157" w:lineRule="exact"/>
              <w:rPr>
                <w:sz w:val="20"/>
                <w:szCs w:val="20"/>
                <w:color w:val="auto"/>
              </w:rPr>
            </w:pPr>
            <w:r>
              <w:rPr>
                <w:rFonts w:ascii="Times New Roman" w:cs="Times New Roman" w:eastAsia="Times New Roman" w:hAnsi="Times New Roman"/>
                <w:sz w:val="14"/>
                <w:szCs w:val="14"/>
                <w:color w:val="auto"/>
              </w:rPr>
              <w:t>September 01, 2024 to August 31, 2029</w:t>
            </w:r>
          </w:p>
        </w:tc>
      </w:tr>
      <w:tr>
        <w:trPr>
          <w:trHeight w:val="172"/>
        </w:trPr>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Rosebank, Johannesburg, Gauteng, South</w:t>
            </w:r>
          </w:p>
        </w:tc>
        <w:tc>
          <w:tcPr>
            <w:tcW w:w="2700" w:type="dxa"/>
            <w:vAlign w:val="bottom"/>
            <w:shd w:val="clear" w:color="auto" w:fill="CCEEFF"/>
          </w:tcPr>
          <w:p>
            <w:pPr>
              <w:spacing w:after="0"/>
              <w:rPr>
                <w:sz w:val="14"/>
                <w:szCs w:val="14"/>
                <w:color w:val="auto"/>
              </w:rPr>
            </w:pPr>
          </w:p>
        </w:tc>
      </w:tr>
      <w:tr>
        <w:trPr>
          <w:trHeight w:val="187"/>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Africa.</w:t>
            </w:r>
          </w:p>
        </w:tc>
        <w:tc>
          <w:tcPr>
            <w:tcW w:w="2700" w:type="dxa"/>
            <w:vAlign w:val="bottom"/>
            <w:shd w:val="clear" w:color="auto" w:fill="CCEEFF"/>
          </w:tcPr>
          <w:p>
            <w:pPr>
              <w:spacing w:after="0"/>
              <w:rPr>
                <w:sz w:val="16"/>
                <w:szCs w:val="16"/>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use these offices for finance, legal, human resources, information technology, sales, marketing, manufacturing, training and education and other administrative functions.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currently have seven data center sites providing coverage and high-speed access to all customers. The locations of the data centers are in the Netherlands, United Arab Emirates (Dubai), France and two each in Singapore and South Africa.</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believe that our facilities are adequate for our current needs and that suitable additional or substitute space will be available as needed to accommodate any potential expansion of our operations.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4A. UNRESOLVED STAFF COMMENTS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Item 5. OPERATING AND FINANCIAL REVIEW AND PROSPECTS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following discussion of our financial condition and results of operations should be read in conjunction with our consolidated annual financial statements and the notes thereto, included elsewhere in this annual report, as well as the information presented under “Presentation of Financial Information.” The following discussion and analysis include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See “Special Note Regarding Forward-Looking Statements” and “Risk Factors.”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a leading provider of an operations management SaaS platform. Through our cloud platform, we empower businesses to conquer operations including fleet maintenance, fuel management and asset utilization, workforce management, logistics, safety, compliance, risk and environmental impact. Our differentiated insights and analytics simplify day-to-day operations and enable businesses to decrease costs, increase efficiency, improve safety and strengthen workforce and customer satisfaction. Our business is vertically integrated, which affords us complete autonomy to develop the capabilities and features that differentiate our applications as well as the speed of our innovation. Since we own and control almost every aspect of our smart device design, platform innovation and software application development, customer acquisition and onboarding, customer service and the management of our back-end support, we are able to move quickly without any significant third-party dependencies and inefficiencies. We have strategically grown our business and are now a global provider of a leading operations management SaaS platform.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Karooooo is headquartered in Singapore and owns 100% of Cartrack and 74.8 % of Karooooo Logistics.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serve customers in more than 20 countries, supporting more than 2.3 million subscribers as at February 28, 2025 and our highly scalable platform serves large multinational enterprises and individual consumers alike, enabling us to address a large, growing and underpenetrated global market. As at February 28, 2025, we served more than 125,000 commercial customers (FY2024: 121,000+).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management reporting purposes, we have organized our operations into the following reportable segments, based on the nature of the products and services provided:</w:t>
      </w:r>
    </w:p>
    <w:p>
      <w:pPr>
        <w:spacing w:after="0" w:line="181" w:lineRule="exact"/>
        <w:rPr>
          <w:sz w:val="20"/>
          <w:szCs w:val="20"/>
          <w:color w:val="auto"/>
        </w:rPr>
      </w:pPr>
    </w:p>
    <w:p>
      <w:pPr>
        <w:ind w:left="520" w:hanging="256"/>
        <w:spacing w:after="0" w:line="295"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Cartrack </w:t>
      </w:r>
      <w:r>
        <w:rPr>
          <w:rFonts w:ascii="Times New Roman" w:cs="Times New Roman" w:eastAsia="Times New Roman" w:hAnsi="Times New Roman"/>
          <w:sz w:val="14"/>
          <w:szCs w:val="14"/>
          <w:color w:val="auto"/>
        </w:rPr>
        <w:t>is a provider of an on-the-ground operational Internet of Things (“IoT”) Software-as-a-service (“SaaS”) cloud that maximizes the value of transportation, operations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workflow data by providing insightful real-time data analytics to connected vehicles and equipment.</w:t>
      </w:r>
    </w:p>
    <w:p>
      <w:pPr>
        <w:spacing w:after="0" w:line="119" w:lineRule="exact"/>
        <w:rPr>
          <w:rFonts w:ascii="Times New Roman" w:cs="Times New Roman" w:eastAsia="Times New Roman" w:hAnsi="Times New Roman"/>
          <w:sz w:val="14"/>
          <w:szCs w:val="14"/>
          <w:color w:val="auto"/>
        </w:rPr>
      </w:pPr>
    </w:p>
    <w:p>
      <w:pPr>
        <w:jc w:val="both"/>
        <w:ind w:left="520" w:hanging="256"/>
        <w:spacing w:after="0" w:line="275"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Karooooo Logistics </w:t>
      </w:r>
      <w:r>
        <w:rPr>
          <w:rFonts w:ascii="Times New Roman" w:cs="Times New Roman" w:eastAsia="Times New Roman" w:hAnsi="Times New Roman"/>
          <w:sz w:val="14"/>
          <w:szCs w:val="14"/>
          <w:color w:val="auto"/>
        </w:rPr>
        <w:t>provides a software application enabling the management of last mile B2B delivery and general operational logistics (Delivery-as-a-service or “DaaS”).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addresses the challenges of on-the-ground distribution for large enterprises requiring systems integrations, payment gateways, third-party long-haul services and crowd-sourced drivers in order to scale and meet their operational needs.</w:t>
      </w:r>
    </w:p>
    <w:p>
      <w:pPr>
        <w:spacing w:after="0" w:line="133" w:lineRule="exact"/>
        <w:rPr>
          <w:rFonts w:ascii="Times New Roman" w:cs="Times New Roman" w:eastAsia="Times New Roman" w:hAnsi="Times New Roman"/>
          <w:sz w:val="14"/>
          <w:szCs w:val="14"/>
          <w:color w:val="auto"/>
        </w:rPr>
      </w:pPr>
    </w:p>
    <w:p>
      <w:pPr>
        <w:jc w:val="both"/>
        <w:ind w:left="520" w:hanging="256"/>
        <w:spacing w:after="0" w:line="269"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Carzuka </w:t>
      </w:r>
      <w:r>
        <w:rPr>
          <w:rFonts w:ascii="Times New Roman" w:cs="Times New Roman" w:eastAsia="Times New Roman" w:hAnsi="Times New Roman"/>
          <w:sz w:val="14"/>
          <w:szCs w:val="14"/>
          <w:color w:val="auto"/>
        </w:rPr>
        <w:t>operated as a physical and e-commerce vehicle buying and selling marketplace which allowed customers to source, buy and sell vehicles efficiently and cost effectively.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third quarter of FY2024, despite the growth experienced by Carzuka in South Africa, we made the decision to cease buying second hand vehicles in South Africa. This followed considerable interaction with motor dealerships across South Africa during these periods, who perceived Carzuka’s business interests to conflict with their business interests and we did not want to risk the long-standing strategic relationships that Cartrack had forged with motor dealerships across South Africa.</w:t>
      </w:r>
    </w:p>
    <w:p>
      <w:pPr>
        <w:spacing w:after="0" w:line="139" w:lineRule="exact"/>
        <w:rPr>
          <w:rFonts w:ascii="Times New Roman" w:cs="Times New Roman" w:eastAsia="Times New Roman" w:hAnsi="Times New Roman"/>
          <w:sz w:val="14"/>
          <w:szCs w:val="14"/>
          <w:color w:val="auto"/>
        </w:rPr>
      </w:pPr>
    </w:p>
    <w:p>
      <w:pPr>
        <w:jc w:val="both"/>
        <w:ind w:left="52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many components within Carzuka’s platform that had been built and developed and will continue to provide value to the existing Cartrack fleet platform. With effect from financial year 2025, Carzuka has changed the focus of its operations such that the nature of the underlying services offered now aligns with Cartrack’s broader operations and has been integrated into that segment accordingly.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Since our founding, we have gained vast expertise and enhanced our business in the following areas:</w:t>
      </w:r>
    </w:p>
    <w:p>
      <w:pPr>
        <w:spacing w:after="0" w:line="183" w:lineRule="exact"/>
        <w:rPr>
          <w:sz w:val="20"/>
          <w:szCs w:val="20"/>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new software applications such as fleet management, mobile asset accounting, workforce management and video solutions;</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capabilities in data management at scale as well as a broad range of communication technologies and protocols;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sales and marketing focus to include commercial fleets of all sizes;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geographic footprint.</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single user interface and fully integrated cloud-based SaaS platform runs on internally developed and cost-effective smart IoT devices, enabling us to deliver a unified and comprehensive service to our customers while maintaining control of our cost structure. Our discrete,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third-party technology providers are established to create incremental value to customers in the markets we serve.</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believe that maintaining financial discipline and prudent investment of capital provide a strong foundation for growth. In recent years, our business has demonstrated meaningful scale, consistent growth, strong profitability, robust cash generation, and a high level of capital efficiency. For the financial year ended February 28, 2025, we increased our subscribers to 2,302,236 (FY 2024: 1,971,532). For the financial year ended February 28, 2025, we generated subscription revenues of ZAR 4,068.2 million compared to subscription revenues of ZAR 3,535.8 million for the financial year ended February 29, 2024, reflecting year-over-year growth of 15%.</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Karooooo’s profit for the year was ZAR 937.1 million and ZAR 754.2 million, for the financial years ended February 28, 2025 and February 29, 2024, respectively, reflecting a year-over-year increase of 24%. This result includes Carzuka’s operating losses of ZAR 52.9 million in FY 2024. Effective from the first quarter of FY 2025, Carzuka has been fully integrated to support Cartrack operations, with the final on-hand vehicle sold off in Q1 2025.</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Karooooo’s Adjusted EBITDA (a non-IFRS measure) for the year was ZAR 1,973.5 million and ZAR 1,690.6 million for the financial year ended February 28, 2025 and February 29, 2024, respectively, reflecting year-over-year growth of 17%.</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Finally, we believe strong net cash generated from operating activities is an important factor in supporting our robust business model and indicates our ability to provide the capital necessary to invest in subscriber growth, territorial expansion and Karooooo Logistics. For the financial years ended February 28, 2025 and February 29, 2024, respectively, Karooooo generated net cash from operating activities of ZAR 1,933.3 million and ZAR 955.0 million, reflecting a year-over-year increase of 102%. As at February 29, 2024, Karooooo placed ZAR 485.7 million of its cash from operating activities in bank fixed deposits which matured in June and July 2024 that were classified as other receivables.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These results were achieved notwithstanding the Group’s strategic investment in product innovation, geographical expansion, brand building and customer acquisition for long-term, sustainable growth.</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58" w:name="page59"/>
    <w:bookmarkEnd w:id="58"/>
    <w:p>
      <w:pPr>
        <w:ind w:right="80"/>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segment revenue, operating profit, operating profit margin, adjusted EBITDA (a non-IFRS measure) and adjusted EBITDA margin (a non-IFRS measure)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6"/>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Year Ended February 28/29</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Cartrack</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840"/>
              <w:spacing w:after="0" w:line="119" w:lineRule="exact"/>
              <w:rPr>
                <w:sz w:val="20"/>
                <w:szCs w:val="20"/>
                <w:color w:val="auto"/>
              </w:rPr>
            </w:pPr>
            <w:r>
              <w:rPr>
                <w:rFonts w:ascii="Times New Roman" w:cs="Times New Roman" w:eastAsia="Times New Roman" w:hAnsi="Times New Roman"/>
                <w:sz w:val="11"/>
                <w:szCs w:val="11"/>
                <w:b w:val="1"/>
                <w:bCs w:val="1"/>
                <w:color w:val="auto"/>
              </w:rPr>
              <w:t>Carzuka</w:t>
            </w: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5"/>
          </w:tcPr>
          <w:p>
            <w:pPr>
              <w:jc w:val="right"/>
              <w:ind w:right="520"/>
              <w:spacing w:after="0" w:line="119" w:lineRule="exact"/>
              <w:rPr>
                <w:sz w:val="20"/>
                <w:szCs w:val="20"/>
                <w:color w:val="auto"/>
              </w:rPr>
            </w:pPr>
            <w:r>
              <w:rPr>
                <w:rFonts w:ascii="Times New Roman" w:cs="Times New Roman" w:eastAsia="Times New Roman" w:hAnsi="Times New Roman"/>
                <w:sz w:val="11"/>
                <w:szCs w:val="11"/>
                <w:b w:val="1"/>
                <w:bCs w:val="1"/>
                <w:color w:val="auto"/>
              </w:rPr>
              <w:t>Karooooo Logistics</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5"/>
          </w:tcPr>
          <w:p>
            <w:pPr>
              <w:jc w:val="right"/>
              <w:ind w:right="500"/>
              <w:spacing w:after="0" w:line="119" w:lineRule="exact"/>
              <w:rPr>
                <w:sz w:val="20"/>
                <w:szCs w:val="20"/>
                <w:color w:val="auto"/>
              </w:rPr>
            </w:pPr>
            <w:r>
              <w:rPr>
                <w:rFonts w:ascii="Times New Roman" w:cs="Times New Roman" w:eastAsia="Times New Roman" w:hAnsi="Times New Roman"/>
                <w:sz w:val="11"/>
                <w:szCs w:val="11"/>
                <w:b w:val="1"/>
                <w:bCs w:val="1"/>
                <w:color w:val="auto"/>
              </w:rPr>
              <w:t>Karooooo Consolidated</w:t>
            </w:r>
          </w:p>
        </w:tc>
        <w:tc>
          <w:tcPr>
            <w:tcW w:w="2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40" w:type="dxa"/>
            <w:vAlign w:val="bottom"/>
          </w:tcPr>
          <w:p>
            <w:pPr>
              <w:spacing w:after="0"/>
              <w:rPr>
                <w:sz w:val="8"/>
                <w:szCs w:val="8"/>
                <w:color w:val="auto"/>
              </w:rPr>
            </w:pPr>
          </w:p>
        </w:tc>
        <w:tc>
          <w:tcPr>
            <w:tcW w:w="94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c>
          <w:tcPr>
            <w:tcW w:w="5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8"/>
                <w:szCs w:val="8"/>
                <w:color w:val="auto"/>
              </w:rPr>
            </w:pPr>
          </w:p>
        </w:tc>
        <w:tc>
          <w:tcPr>
            <w:tcW w:w="50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w w:val="83"/>
              </w:rPr>
              <w:t>Y-o-Y</w:t>
            </w:r>
          </w:p>
        </w:tc>
        <w:tc>
          <w:tcPr>
            <w:tcW w:w="160" w:type="dxa"/>
            <w:vAlign w:val="bottom"/>
          </w:tcPr>
          <w:p>
            <w:pPr>
              <w:spacing w:after="0"/>
              <w:rPr>
                <w:sz w:val="8"/>
                <w:szCs w:val="8"/>
                <w:color w:val="auto"/>
              </w:rPr>
            </w:pPr>
          </w:p>
        </w:tc>
        <w:tc>
          <w:tcPr>
            <w:tcW w:w="1040" w:type="dxa"/>
            <w:vAlign w:val="bottom"/>
            <w:gridSpan w:val="2"/>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c>
          <w:tcPr>
            <w:tcW w:w="4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w w:val="83"/>
              </w:rPr>
              <w:t>Y-o-Y</w:t>
            </w:r>
          </w:p>
        </w:tc>
        <w:tc>
          <w:tcPr>
            <w:tcW w:w="180" w:type="dxa"/>
            <w:vAlign w:val="bottom"/>
          </w:tcPr>
          <w:p>
            <w:pPr>
              <w:spacing w:after="0"/>
              <w:rPr>
                <w:sz w:val="8"/>
                <w:szCs w:val="8"/>
                <w:color w:val="auto"/>
              </w:rPr>
            </w:pPr>
          </w:p>
        </w:tc>
        <w:tc>
          <w:tcPr>
            <w:tcW w:w="1040" w:type="dxa"/>
            <w:vAlign w:val="bottom"/>
            <w:gridSpan w:val="2"/>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8"/>
                <w:szCs w:val="8"/>
                <w:color w:val="auto"/>
              </w:rPr>
            </w:pPr>
          </w:p>
        </w:tc>
        <w:tc>
          <w:tcPr>
            <w:tcW w:w="4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w w:val="76"/>
              </w:rPr>
              <w:t>Y-o-Y</w:t>
            </w: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40" w:type="dxa"/>
            <w:vAlign w:val="bottom"/>
            <w:gridSpan w:val="2"/>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8"/>
                <w:szCs w:val="8"/>
                <w:color w:val="auto"/>
              </w:rPr>
            </w:pPr>
          </w:p>
        </w:tc>
        <w:tc>
          <w:tcPr>
            <w:tcW w:w="5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8"/>
                <w:szCs w:val="8"/>
                <w:color w:val="auto"/>
              </w:rPr>
            </w:pPr>
          </w:p>
        </w:tc>
        <w:tc>
          <w:tcPr>
            <w:tcW w:w="2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83"/>
              </w:rPr>
              <w:t>Y-o-Y</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94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0"/>
                <w:szCs w:val="10"/>
                <w:color w:val="auto"/>
              </w:rPr>
              <w:t xml:space="preserve">(U.S$ thousands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34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color w:val="auto"/>
              </w:rPr>
              <w:t>(in R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3"/>
              <w:spacing w:after="0" w:line="150" w:lineRule="exact"/>
              <w:rPr>
                <w:sz w:val="20"/>
                <w:szCs w:val="20"/>
                <w:color w:val="auto"/>
              </w:rPr>
            </w:pPr>
            <w:r>
              <w:rPr>
                <w:rFonts w:ascii="Times New Roman" w:cs="Times New Roman" w:eastAsia="Times New Roman" w:hAnsi="Times New Roman"/>
                <w:sz w:val="10"/>
                <w:szCs w:val="10"/>
                <w:color w:val="auto"/>
              </w:rPr>
              <w:t xml:space="preserve">(U.S$ thousands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0"/>
                <w:szCs w:val="10"/>
                <w:color w:val="auto"/>
              </w:rPr>
              <w:t>)</w:t>
            </w:r>
          </w:p>
        </w:tc>
        <w:tc>
          <w:tcPr>
            <w:tcW w:w="9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 R thousands)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3"/>
              <w:spacing w:after="0" w:line="150" w:lineRule="exact"/>
              <w:rPr>
                <w:sz w:val="20"/>
                <w:szCs w:val="20"/>
                <w:color w:val="auto"/>
              </w:rPr>
            </w:pPr>
            <w:r>
              <w:rPr>
                <w:rFonts w:ascii="Times New Roman" w:cs="Times New Roman" w:eastAsia="Times New Roman" w:hAnsi="Times New Roman"/>
                <w:sz w:val="10"/>
                <w:szCs w:val="10"/>
                <w:color w:val="auto"/>
              </w:rPr>
              <w:t xml:space="preserve">(U.S$ thousands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0"/>
                <w:szCs w:val="10"/>
                <w:color w:val="auto"/>
              </w:rPr>
              <w:t>)</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(in R thousands)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ind w:right="43"/>
              <w:spacing w:after="0" w:line="150" w:lineRule="exact"/>
              <w:rPr>
                <w:sz w:val="20"/>
                <w:szCs w:val="20"/>
                <w:color w:val="auto"/>
              </w:rPr>
            </w:pPr>
            <w:r>
              <w:rPr>
                <w:rFonts w:ascii="Times New Roman" w:cs="Times New Roman" w:eastAsia="Times New Roman" w:hAnsi="Times New Roman"/>
                <w:sz w:val="10"/>
                <w:szCs w:val="10"/>
                <w:color w:val="auto"/>
              </w:rPr>
              <w:t xml:space="preserve">(U.S$ thousands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0"/>
                <w:szCs w:val="10"/>
                <w:color w:val="auto"/>
              </w:rPr>
              <w:t>)</w:t>
            </w:r>
          </w:p>
        </w:tc>
        <w:tc>
          <w:tcPr>
            <w:tcW w:w="1340" w:type="dxa"/>
            <w:vAlign w:val="bottom"/>
            <w:gridSpan w:val="4"/>
          </w:tcPr>
          <w:p>
            <w:pPr>
              <w:jc w:val="right"/>
              <w:ind w:right="400"/>
              <w:spacing w:after="0"/>
              <w:rPr>
                <w:sz w:val="20"/>
                <w:szCs w:val="20"/>
                <w:color w:val="auto"/>
              </w:rPr>
            </w:pPr>
            <w:r>
              <w:rPr>
                <w:rFonts w:ascii="Times New Roman" w:cs="Times New Roman" w:eastAsia="Times New Roman" w:hAnsi="Times New Roman"/>
                <w:sz w:val="11"/>
                <w:szCs w:val="11"/>
                <w:color w:val="auto"/>
              </w:rPr>
              <w:t>(in R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7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Subscription</w:t>
            </w:r>
          </w:p>
        </w:tc>
        <w:tc>
          <w:tcPr>
            <w:tcW w:w="104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218,018</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4,055,394</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3,522,816</w:t>
            </w:r>
          </w:p>
        </w:tc>
        <w:tc>
          <w:tcPr>
            <w:tcW w:w="1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15%</w:t>
            </w:r>
          </w:p>
        </w:tc>
        <w:tc>
          <w:tcPr>
            <w:tcW w:w="1040" w:type="dxa"/>
            <w:vAlign w:val="bottom"/>
            <w:tcBorders>
              <w:right w:val="single" w:sz="8" w:color="CCEEFF"/>
            </w:tcBorders>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right w:val="single" w:sz="8" w:color="CCEEFF"/>
            </w:tcBorders>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687</w:t>
            </w: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12,783</w:t>
            </w:r>
          </w:p>
        </w:tc>
        <w:tc>
          <w:tcPr>
            <w:tcW w:w="5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12,989</w:t>
            </w:r>
          </w:p>
        </w:tc>
        <w:tc>
          <w:tcPr>
            <w:tcW w:w="3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1060" w:type="dxa"/>
            <w:vAlign w:val="bottom"/>
            <w:tcBorders>
              <w:right w:val="single" w:sz="8" w:color="CCEEFF"/>
            </w:tcBorders>
            <w:gridSpan w:val="3"/>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218,705</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4,068,177</w:t>
            </w: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3,535,805</w:t>
            </w:r>
          </w:p>
        </w:tc>
        <w:tc>
          <w:tcPr>
            <w:tcW w:w="3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35"/>
        </w:trPr>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revenue</w:t>
            </w:r>
          </w:p>
        </w:tc>
        <w:tc>
          <w:tcPr>
            <w:tcW w:w="1040" w:type="dxa"/>
            <w:vAlign w:val="bottom"/>
            <w:tcBorders>
              <w:right w:val="single" w:sz="8" w:color="CCEEFF"/>
            </w:tcBorders>
            <w:gridSpan w:val="3"/>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040" w:type="dxa"/>
            <w:vAlign w:val="bottom"/>
            <w:tcBorders>
              <w:right w:val="single" w:sz="8" w:color="CCEEFF"/>
            </w:tcBorders>
            <w:gridSpan w:val="2"/>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6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040" w:type="dxa"/>
            <w:vAlign w:val="bottom"/>
            <w:tcBorders>
              <w:right w:val="single" w:sz="8" w:color="CCEEFF"/>
            </w:tcBorders>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060" w:type="dxa"/>
            <w:vAlign w:val="bottom"/>
            <w:tcBorders>
              <w:right w:val="single" w:sz="8" w:color="CCEEFF"/>
            </w:tcBorders>
            <w:gridSpan w:val="3"/>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80" w:type="dxa"/>
            <w:vAlign w:val="bottom"/>
            <w:tcBorders>
              <w:right w:val="single" w:sz="8" w:color="CCEEFF"/>
            </w:tcBorders>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revenue</w:t>
            </w:r>
          </w:p>
        </w:tc>
        <w:tc>
          <w:tcPr>
            <w:tcW w:w="10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4,818</w:t>
            </w:r>
          </w:p>
        </w:tc>
        <w:tc>
          <w:tcPr>
            <w:tcW w:w="6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89,618</w:t>
            </w:r>
          </w:p>
        </w:tc>
        <w:tc>
          <w:tcPr>
            <w:tcW w:w="66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90,879</w:t>
            </w:r>
          </w:p>
        </w:tc>
        <w:tc>
          <w:tcPr>
            <w:tcW w:w="42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(1)%</w:t>
            </w:r>
          </w:p>
        </w:tc>
        <w:tc>
          <w:tcPr>
            <w:tcW w:w="1040" w:type="dxa"/>
            <w:vAlign w:val="bottom"/>
            <w:gridSpan w:val="2"/>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2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58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60" w:type="dxa"/>
            <w:vAlign w:val="bottom"/>
            <w:gridSpan w:val="3"/>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4,818</w:t>
            </w:r>
          </w:p>
        </w:tc>
        <w:tc>
          <w:tcPr>
            <w:tcW w:w="66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89,618</w:t>
            </w:r>
          </w:p>
        </w:tc>
        <w:tc>
          <w:tcPr>
            <w:tcW w:w="68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90,879</w:t>
            </w:r>
          </w:p>
        </w:tc>
        <w:tc>
          <w:tcPr>
            <w:tcW w:w="3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8"/>
        </w:trPr>
        <w:tc>
          <w:tcPr>
            <w:tcW w:w="7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Vehicle sales</w:t>
            </w:r>
          </w:p>
        </w:tc>
        <w:tc>
          <w:tcPr>
            <w:tcW w:w="1040" w:type="dxa"/>
            <w:vAlign w:val="bottom"/>
            <w:tcBorders>
              <w:right w:val="single" w:sz="8" w:color="CCEEFF"/>
            </w:tcBorders>
            <w:gridSpan w:val="3"/>
            <w:shd w:val="clear" w:color="auto" w:fill="CCEEFF"/>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113</w:t>
            </w:r>
          </w:p>
        </w:tc>
        <w:tc>
          <w:tcPr>
            <w:tcW w:w="680" w:type="dxa"/>
            <w:vAlign w:val="bottom"/>
            <w:gridSpan w:val="2"/>
            <w:shd w:val="clear" w:color="auto" w:fill="CCEEFF"/>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2,099</w:t>
            </w:r>
          </w:p>
        </w:tc>
        <w:tc>
          <w:tcPr>
            <w:tcW w:w="660" w:type="dxa"/>
            <w:vAlign w:val="bottom"/>
            <w:tcBorders>
              <w:right w:val="single" w:sz="8" w:color="CCEEFF"/>
            </w:tcBorders>
            <w:gridSpan w:val="2"/>
            <w:shd w:val="clear" w:color="auto" w:fill="CCEEFF"/>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40" w:type="dxa"/>
            <w:vAlign w:val="bottom"/>
            <w:tcBorders>
              <w:right w:val="single" w:sz="8" w:color="CCEEFF"/>
            </w:tcBorders>
            <w:gridSpan w:val="2"/>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ind w:lef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CEEFF"/>
            </w:tcBorders>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274,787</w:t>
            </w:r>
          </w:p>
        </w:tc>
        <w:tc>
          <w:tcPr>
            <w:tcW w:w="44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(100)%</w:t>
            </w:r>
          </w:p>
        </w:tc>
        <w:tc>
          <w:tcPr>
            <w:tcW w:w="1040" w:type="dxa"/>
            <w:vAlign w:val="bottom"/>
            <w:tcBorders>
              <w:right w:val="single" w:sz="8" w:color="CCEEFF"/>
            </w:tcBorders>
            <w:gridSpan w:val="2"/>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shd w:val="clear" w:color="auto" w:fill="CCEEFF"/>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60" w:type="dxa"/>
            <w:vAlign w:val="bottom"/>
            <w:tcBorders>
              <w:right w:val="single" w:sz="8" w:color="CCEEFF"/>
            </w:tcBorders>
            <w:gridSpan w:val="3"/>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113</w:t>
            </w:r>
          </w:p>
        </w:tc>
        <w:tc>
          <w:tcPr>
            <w:tcW w:w="660" w:type="dxa"/>
            <w:vAlign w:val="bottom"/>
            <w:gridSpan w:val="2"/>
            <w:shd w:val="clear" w:color="auto" w:fill="CCEEFF"/>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2,099</w:t>
            </w:r>
          </w:p>
        </w:tc>
        <w:tc>
          <w:tcPr>
            <w:tcW w:w="680" w:type="dxa"/>
            <w:vAlign w:val="bottom"/>
            <w:tcBorders>
              <w:right w:val="single" w:sz="8" w:color="CCEEFF"/>
            </w:tcBorders>
            <w:gridSpan w:val="2"/>
            <w:shd w:val="clear" w:color="auto" w:fill="CCEEFF"/>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274,787</w:t>
            </w:r>
          </w:p>
        </w:tc>
        <w:tc>
          <w:tcPr>
            <w:tcW w:w="3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01"/>
        </w:trPr>
        <w:tc>
          <w:tcPr>
            <w:tcW w:w="7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Delivery</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9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service</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21,911</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407,565</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304,040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34%</w:t>
            </w:r>
          </w:p>
        </w:tc>
        <w:tc>
          <w:tcPr>
            <w:tcW w:w="1060" w:type="dxa"/>
            <w:vAlign w:val="bottom"/>
            <w:gridSpan w:val="3"/>
          </w:tcPr>
          <w:p>
            <w:pPr>
              <w:jc w:val="right"/>
              <w:ind w:right="43"/>
              <w:spacing w:after="0"/>
              <w:rPr>
                <w:sz w:val="20"/>
                <w:szCs w:val="20"/>
                <w:color w:val="auto"/>
              </w:rPr>
            </w:pPr>
            <w:r>
              <w:rPr>
                <w:rFonts w:ascii="Times New Roman" w:cs="Times New Roman" w:eastAsia="Times New Roman" w:hAnsi="Times New Roman"/>
                <w:sz w:val="11"/>
                <w:szCs w:val="11"/>
                <w:color w:val="auto"/>
              </w:rPr>
              <w:t>21,911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407,565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304,040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21"/>
        </w:trPr>
        <w:tc>
          <w:tcPr>
            <w:tcW w:w="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revenue</w:t>
            </w: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222,949</w:t>
            </w: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4,147,111</w:t>
            </w:r>
          </w:p>
        </w:tc>
        <w:tc>
          <w:tcPr>
            <w:tcW w:w="16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3,613,695</w:t>
            </w:r>
          </w:p>
        </w:tc>
        <w:tc>
          <w:tcPr>
            <w:tcW w:w="16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vMerge w:val="continue"/>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274,787</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2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(100)</w:t>
            </w:r>
          </w:p>
        </w:tc>
        <w:tc>
          <w:tcPr>
            <w:tcW w:w="18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22,598</w:t>
            </w:r>
          </w:p>
        </w:tc>
        <w:tc>
          <w:tcPr>
            <w:tcW w:w="4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420,348</w:t>
            </w:r>
          </w:p>
        </w:tc>
        <w:tc>
          <w:tcPr>
            <w:tcW w:w="18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317,029</w:t>
            </w:r>
          </w:p>
        </w:tc>
        <w:tc>
          <w:tcPr>
            <w:tcW w:w="180" w:type="dxa"/>
            <w:vAlign w:val="bottom"/>
            <w:tcBorders>
              <w:right w:val="single" w:sz="8" w:color="CCEEFF"/>
            </w:tcBorders>
            <w:vMerge w:val="continue"/>
            <w:shd w:val="clear" w:color="auto" w:fill="CCEEFF"/>
          </w:tcPr>
          <w:p>
            <w:pPr>
              <w:spacing w:after="0"/>
              <w:rPr>
                <w:sz w:val="10"/>
                <w:szCs w:val="10"/>
                <w:color w:val="auto"/>
              </w:rPr>
            </w:pPr>
          </w:p>
        </w:tc>
        <w:tc>
          <w:tcPr>
            <w:tcW w:w="36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2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245,547</w:t>
            </w:r>
          </w:p>
        </w:tc>
        <w:tc>
          <w:tcPr>
            <w:tcW w:w="5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4,567,459</w:t>
            </w:r>
          </w:p>
        </w:tc>
        <w:tc>
          <w:tcPr>
            <w:tcW w:w="16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4,205,511</w:t>
            </w:r>
          </w:p>
        </w:tc>
        <w:tc>
          <w:tcPr>
            <w:tcW w:w="180" w:type="dxa"/>
            <w:vAlign w:val="bottom"/>
            <w:tcBorders>
              <w:right w:val="single" w:sz="8" w:color="CCEEFF"/>
            </w:tcBorders>
            <w:vMerge w:val="continue"/>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01"/>
        </w:trPr>
        <w:tc>
          <w:tcPr>
            <w:tcW w:w="7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Cost of</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revenue</w:t>
            </w:r>
          </w:p>
        </w:tc>
        <w:tc>
          <w:tcPr>
            <w:tcW w:w="10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(57,991)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(1,078,699)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(1,024,950)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(272,289)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(15,360)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(285,708)</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7"/>
              </w:rPr>
              <w:t>(217,435)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w:t>
            </w:r>
          </w:p>
        </w:tc>
        <w:tc>
          <w:tcPr>
            <w:tcW w:w="106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color w:val="auto"/>
              </w:rPr>
              <w:t>(73,351)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(1,364,407)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(1,514,674)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21"/>
        </w:trPr>
        <w:tc>
          <w:tcPr>
            <w:tcW w:w="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Gross profit</w:t>
            </w: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4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164,958</w:t>
            </w: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3,068,412</w:t>
            </w:r>
          </w:p>
        </w:tc>
        <w:tc>
          <w:tcPr>
            <w:tcW w:w="16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2,588,745</w:t>
            </w:r>
          </w:p>
        </w:tc>
        <w:tc>
          <w:tcPr>
            <w:tcW w:w="16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19%</w:t>
            </w:r>
          </w:p>
        </w:tc>
        <w:tc>
          <w:tcPr>
            <w:tcW w:w="100" w:type="dxa"/>
            <w:vAlign w:val="bottom"/>
            <w:vMerge w:val="continue"/>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2,498</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2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(100)</w:t>
            </w:r>
          </w:p>
        </w:tc>
        <w:tc>
          <w:tcPr>
            <w:tcW w:w="18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7,238</w:t>
            </w:r>
          </w:p>
        </w:tc>
        <w:tc>
          <w:tcPr>
            <w:tcW w:w="4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134,640</w:t>
            </w:r>
          </w:p>
        </w:tc>
        <w:tc>
          <w:tcPr>
            <w:tcW w:w="18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99,594</w:t>
            </w:r>
          </w:p>
        </w:tc>
        <w:tc>
          <w:tcPr>
            <w:tcW w:w="180" w:type="dxa"/>
            <w:vAlign w:val="bottom"/>
            <w:tcBorders>
              <w:right w:val="single" w:sz="8" w:color="CCEEFF"/>
            </w:tcBorders>
            <w:vMerge w:val="continue"/>
            <w:shd w:val="clear" w:color="auto" w:fill="CCEEFF"/>
          </w:tcPr>
          <w:p>
            <w:pPr>
              <w:spacing w:after="0"/>
              <w:rPr>
                <w:sz w:val="10"/>
                <w:szCs w:val="10"/>
                <w:color w:val="auto"/>
              </w:rPr>
            </w:pPr>
          </w:p>
        </w:tc>
        <w:tc>
          <w:tcPr>
            <w:tcW w:w="36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35%</w:t>
            </w:r>
          </w:p>
        </w:tc>
        <w:tc>
          <w:tcPr>
            <w:tcW w:w="2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172,196</w:t>
            </w:r>
          </w:p>
        </w:tc>
        <w:tc>
          <w:tcPr>
            <w:tcW w:w="5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3,203,052</w:t>
            </w:r>
          </w:p>
        </w:tc>
        <w:tc>
          <w:tcPr>
            <w:tcW w:w="16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2,690,837</w:t>
            </w:r>
          </w:p>
        </w:tc>
        <w:tc>
          <w:tcPr>
            <w:tcW w:w="180" w:type="dxa"/>
            <w:vAlign w:val="bottom"/>
            <w:tcBorders>
              <w:right w:val="single" w:sz="8" w:color="CCEEFF"/>
            </w:tcBorders>
            <w:vMerge w:val="continue"/>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99"/>
        </w:trPr>
        <w:tc>
          <w:tcPr>
            <w:tcW w:w="74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Gross profit</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74%</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72%</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32%</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31%</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70%</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64%</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margin</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7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104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68,435</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1,272,980</w:t>
            </w:r>
          </w:p>
        </w:tc>
        <w:tc>
          <w:tcPr>
            <w:tcW w:w="6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1,069,313</w:t>
            </w: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19%</w:t>
            </w:r>
          </w:p>
        </w:tc>
        <w:tc>
          <w:tcPr>
            <w:tcW w:w="1040" w:type="dxa"/>
            <w:vAlign w:val="bottom"/>
            <w:tcBorders>
              <w:right w:val="single" w:sz="8" w:color="CCEEFF"/>
            </w:tcBorders>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(52,907)</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40" w:type="dxa"/>
            <w:vAlign w:val="bottom"/>
            <w:tcBorders>
              <w:right w:val="single" w:sz="8" w:color="CCEEFF"/>
            </w:tcBorders>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2,116</w:t>
            </w: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39,353</w:t>
            </w:r>
          </w:p>
        </w:tc>
        <w:tc>
          <w:tcPr>
            <w:tcW w:w="5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26,096</w:t>
            </w:r>
          </w:p>
        </w:tc>
        <w:tc>
          <w:tcPr>
            <w:tcW w:w="3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51%</w:t>
            </w:r>
          </w:p>
        </w:tc>
        <w:tc>
          <w:tcPr>
            <w:tcW w:w="1060" w:type="dxa"/>
            <w:vAlign w:val="bottom"/>
            <w:tcBorders>
              <w:right w:val="single" w:sz="8" w:color="CCEEFF"/>
            </w:tcBorders>
            <w:gridSpan w:val="3"/>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70,551</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1,312,333</w:t>
            </w: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1,042,502</w:t>
            </w:r>
          </w:p>
        </w:tc>
        <w:tc>
          <w:tcPr>
            <w:tcW w:w="3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7"/>
        </w:trPr>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profit/(loss)</w:t>
            </w:r>
          </w:p>
        </w:tc>
        <w:tc>
          <w:tcPr>
            <w:tcW w:w="1040" w:type="dxa"/>
            <w:vAlign w:val="bottom"/>
            <w:tcBorders>
              <w:right w:val="single" w:sz="8" w:color="CCEEFF"/>
            </w:tcBorders>
            <w:gridSpan w:val="3"/>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6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040" w:type="dxa"/>
            <w:vAlign w:val="bottom"/>
            <w:tcBorders>
              <w:right w:val="single" w:sz="8" w:color="CCEEFF"/>
            </w:tcBorders>
            <w:gridSpan w:val="2"/>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6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040" w:type="dxa"/>
            <w:vAlign w:val="bottom"/>
            <w:tcBorders>
              <w:right w:val="single" w:sz="8" w:color="CCEEFF"/>
            </w:tcBorders>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060" w:type="dxa"/>
            <w:vAlign w:val="bottom"/>
            <w:tcBorders>
              <w:right w:val="single" w:sz="8" w:color="CCEEFF"/>
            </w:tcBorders>
            <w:gridSpan w:val="3"/>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80" w:type="dxa"/>
            <w:vAlign w:val="bottom"/>
            <w:tcBorders>
              <w:right w:val="single" w:sz="8" w:color="CCEEFF"/>
            </w:tcBorders>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74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profit/</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31%</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30%</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(19)%</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9%</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29%</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margin</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7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Adjusted</w:t>
            </w: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tcBorders>
              <w:right w:val="single" w:sz="8" w:color="CCEEFF"/>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4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EBITDA (a</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non-IFRS</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1"/>
                <w:szCs w:val="11"/>
                <w:b w:val="1"/>
                <w:bCs w:val="1"/>
                <w:color w:val="auto"/>
              </w:rPr>
              <w:t>measure)</w:t>
            </w:r>
            <w:r>
              <w:rPr>
                <w:rFonts w:ascii="Times New Roman" w:cs="Times New Roman" w:eastAsia="Times New Roman" w:hAnsi="Times New Roman"/>
                <w:sz w:val="18"/>
                <w:szCs w:val="18"/>
                <w:b w:val="1"/>
                <w:bCs w:val="1"/>
                <w:color w:val="auto"/>
                <w:vertAlign w:val="superscript"/>
              </w:rPr>
              <w:t>(2)</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103,794</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1,930,688</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1,709,732</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13%</w:t>
            </w:r>
          </w:p>
        </w:tc>
        <w:tc>
          <w:tcPr>
            <w:tcW w:w="1040" w:type="dxa"/>
            <w:vAlign w:val="bottom"/>
            <w:tcBorders>
              <w:right w:val="single" w:sz="8" w:color="CCEEFF"/>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(47,521)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40" w:type="dxa"/>
            <w:vAlign w:val="bottom"/>
            <w:tcBorders>
              <w:right w:val="single" w:sz="8" w:color="CCEEFF"/>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2,299</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42,772</w:t>
            </w: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28,433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50%</w:t>
            </w:r>
          </w:p>
        </w:tc>
        <w:tc>
          <w:tcPr>
            <w:tcW w:w="1060" w:type="dxa"/>
            <w:vAlign w:val="bottom"/>
            <w:tcBorders>
              <w:right w:val="single" w:sz="8" w:color="CCEEFF"/>
            </w:tcBorders>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106,093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1,973,460</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1,690,644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99"/>
        </w:trPr>
        <w:tc>
          <w:tcPr>
            <w:tcW w:w="74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Adjusted</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EBITDA</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4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margin (a</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non-IFRS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7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99"/>
              </w:rPr>
              <w:t>measure)</w:t>
            </w:r>
            <w:r>
              <w:rPr>
                <w:rFonts w:ascii="Times New Roman" w:cs="Times New Roman" w:eastAsia="Times New Roman" w:hAnsi="Times New Roman"/>
                <w:sz w:val="19"/>
                <w:szCs w:val="19"/>
                <w:b w:val="1"/>
                <w:bCs w:val="1"/>
                <w:color w:val="auto"/>
                <w:w w:val="99"/>
                <w:vertAlign w:val="superscript"/>
              </w:rPr>
              <w:t>(2)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260" w:right="80" w:hanging="254"/>
        <w:spacing w:after="0" w:line="268"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40" w:lineRule="exact"/>
        <w:rPr>
          <w:rFonts w:ascii="Times New Roman" w:cs="Times New Roman" w:eastAsia="Times New Roman" w:hAnsi="Times New Roman"/>
          <w:sz w:val="14"/>
          <w:szCs w:val="14"/>
          <w:color w:val="auto"/>
        </w:rPr>
      </w:pPr>
    </w:p>
    <w:p>
      <w:pPr>
        <w:jc w:val="both"/>
        <w:ind w:left="260" w:right="80" w:hanging="254"/>
        <w:spacing w:after="0" w:line="274"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a non-IFRS measure, as profit less finance income plus finance costs, fair value changes to derivative assets, taxation, depreciation and amortization, impairment of goodwill, and offering costs, less gain on disposal of subsidiaries. A reconciliation from segment operating profit to segment adjusted EBITDA is presented below. We define Adjusted EBITDA margin, a non-IFRS measure, as Adjusted EBITDA (a non-IFRS measure) divided by revenue.</w:t>
      </w:r>
    </w:p>
    <w:p>
      <w:pPr>
        <w:spacing w:after="0" w:line="3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60"/>
          </w:cols>
          <w:pgMar w:left="300" w:top="726"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8"/>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segment operating profit to segment adjusted EBITDA (a non-IFRS measure)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60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February 28,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Karooooo</w:t>
            </w:r>
          </w:p>
        </w:tc>
        <w:tc>
          <w:tcPr>
            <w:tcW w:w="11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Karooooo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680" w:type="dxa"/>
            <w:vAlign w:val="bottom"/>
            <w:tcBorders>
              <w:top w:val="single" w:sz="8" w:color="auto"/>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4"/>
                <w:szCs w:val="14"/>
                <w:color w:val="auto"/>
              </w:rPr>
              <w:t>(in R thousands)</w:t>
            </w: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operating profit/(loss)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1,272,980</w:t>
            </w:r>
          </w:p>
        </w:tc>
        <w:tc>
          <w:tcPr>
            <w:tcW w:w="13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39,353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1,312,333</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659,140</w:t>
            </w:r>
          </w:p>
        </w:tc>
        <w:tc>
          <w:tcPr>
            <w:tcW w:w="13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662,559</w:t>
            </w:r>
          </w:p>
        </w:tc>
        <w:tc>
          <w:tcPr>
            <w:tcW w:w="0" w:type="dxa"/>
            <w:vAlign w:val="bottom"/>
          </w:tcPr>
          <w:p>
            <w:pPr>
              <w:spacing w:after="0"/>
              <w:rPr>
                <w:sz w:val="1"/>
                <w:szCs w:val="1"/>
                <w:color w:val="auto"/>
              </w:rPr>
            </w:pP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disposal of subsidiaries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(1,432)</w:t>
            </w:r>
          </w:p>
        </w:tc>
        <w:tc>
          <w:tcPr>
            <w:tcW w:w="13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(a non-IFRS measure)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0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1,930,688</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42,772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1,973,460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0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February 29, 2024</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Karooooo</w:t>
            </w:r>
          </w:p>
        </w:tc>
        <w:tc>
          <w:tcPr>
            <w:tcW w:w="11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Karooooo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680" w:type="dxa"/>
            <w:vAlign w:val="bottom"/>
            <w:tcBorders>
              <w:top w:val="single" w:sz="8" w:color="auto"/>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4"/>
                <w:szCs w:val="14"/>
                <w:color w:val="auto"/>
              </w:rPr>
              <w:t>(in R thousands)</w:t>
            </w: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operating profit/(loss)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1,069,313</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(52,907)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1,042,502</w:t>
            </w:r>
          </w:p>
        </w:tc>
        <w:tc>
          <w:tcPr>
            <w:tcW w:w="0" w:type="dxa"/>
            <w:vAlign w:val="bottom"/>
          </w:tcPr>
          <w:p>
            <w:pPr>
              <w:spacing w:after="0"/>
              <w:rPr>
                <w:sz w:val="1"/>
                <w:szCs w:val="1"/>
                <w:color w:val="auto"/>
              </w:rPr>
            </w:pPr>
          </w:p>
        </w:tc>
      </w:tr>
      <w:tr>
        <w:trPr>
          <w:trHeight w:val="184"/>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640,419</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648,142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 (a non-IFRS measure)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1,709,732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(47,521</w:t>
            </w:r>
          </w:p>
        </w:tc>
        <w:tc>
          <w:tcPr>
            <w:tcW w:w="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28,433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1,690,644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define Segment adjusted EBITDA, a non-IFRS measure, as the adjusted EBITDA (definition noted above) allocated to the identified segments.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define Segment adjusted EBITDA margin, a non-IFRS measure, as the adjusted EBITDA margin (definition noted above) allocated to the identified segments.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Results of Operations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including those discussed below and in the section of this annual report titled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Subscriber Growth</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derive substantially all of our revenue from subscriptions to our SaaS platform. Our growth strategy is centred on increasing subscription revenue through the acquisition of new subscribers and the retention and expansion of existing subscriber relationships. We aim to drive this growth by continuously enhancing our platform with innovative features and offering value-added services that support customer adoption, engagement, and long-term retention.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measure our success by our net subscriber base growth. We calculate net subscriber growth as the difference between gross subscriber additions and gross subscriber churn over a given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Growth and Customer Retention</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rely on our proprietary internal systems and processes as well as our own sales teams to drive customer growth and minimize third-party risks in acquiring customers. Customer growth is a key driver of subscriber growth (mobile assets under subscription contracts).</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offer our SaaS platform to a broad range of customers seeking a variety of mobility solutions. Neither our ability to acquire nor retain customers is dependent on any specific industry, and we have not historically been materially exposed or vulnerable to cyclical or niche business sectors. Moreover, as a result of this industry agnostic approach and our generally consistent average revenue per subscriber (“ARPU”) in each region, our customer mix has not materially affected our results of operations. We do, however, monitor our customer mix to ensure that our sales and marketing efforts continue to be effective and evaluate exposure to customer concentration or other material risks in our subscriber base.</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seek to capitalize on growth opportunities in numerous regional markets, with subscribers currently located in more than 20 countries worldwide. In addition to driving subscription revenue growth, we believe that our presence across multiple geographic markets and our exposure to multiple industry sectors mitigates risk during periods of changing economic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Fluctuations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(comprising the company and its subsidiaries). The functional currencies of Group companies are primarily the ZAR, USD, Euro (EUR), Thai baht (THB), the Singapore dollar (SGD) and Polish zloty (PLN).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Risk Factors note on foreign currencies on page 23 and Note 29.2 (c) on Currency Risk on page F-47)</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review a number of operating and financial metrics, including the following key business metrics, to evaluate the performance of our business, identify trends, formulate business plans, make strategic decisions and assess operational efficiencies. Our calculation of the key business metrics and other measures discussed below may differ from other similarly titled metrics used by other companies, securities analysts or investors.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Subscribers and Subscription Revenue</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have a strong track record of increasing our subscriber base through growth in customers owing to of our proprietary platform with next-generation functionality and software features, a sales-centric culture and our competitive pricing. We believe that our ability to attract a range of new customers and increase our subscriber base is key to our business model.</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define our number of subscribers at the end of any particular period as the total number of connected vehicles and equipment using our platform at the end of such period. As at financial years ended February 28, 2025, and February 29, 2024, Cartrack had 2,302,236 and 1,971,532 subscribers, respectively, which represents net subscriber growth of 330,704 or a 17% increase from period to period.</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at February 29, 2024, and February 28, 2023, Cartrack had 1,971,532 and 1,717,077 subscribers, respectively, which represents net subscriber growth of 254,455 or a 15% increase from period to period.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at February 28/29</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Y-o-Y %</w:t>
            </w:r>
          </w:p>
        </w:tc>
        <w:tc>
          <w:tcPr>
            <w:tcW w:w="900" w:type="dxa"/>
            <w:vAlign w:val="bottom"/>
            <w:tcBorders>
              <w:bottom w:val="single" w:sz="8" w:color="auto"/>
            </w:tcBorders>
          </w:tcPr>
          <w:p>
            <w:pPr>
              <w:spacing w:after="0"/>
              <w:rPr>
                <w:sz w:val="16"/>
                <w:szCs w:val="16"/>
                <w:color w:val="auto"/>
              </w:rPr>
            </w:pPr>
          </w:p>
        </w:tc>
      </w:tr>
      <w:tr>
        <w:trPr>
          <w:trHeight w:val="206"/>
        </w:trPr>
        <w:tc>
          <w:tcPr>
            <w:tcW w:w="4760" w:type="dxa"/>
            <w:vAlign w:val="bottom"/>
          </w:tcPr>
          <w:p>
            <w:pPr>
              <w:spacing w:after="0"/>
              <w:rPr>
                <w:sz w:val="17"/>
                <w:szCs w:val="17"/>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0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2"/>
        </w:trPr>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Subscribers (as at end of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2,302,236</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1,971,532</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1,717,077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revenue is a key metric we use to evaluate our business as we derive substantially all our revenue from Cartrack’s sale of subscriptions to its next-generation SaaS cloud platform.</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the financial years ended February 28, 2025, February 29, 2024 and February 28, 2023, Karooooo’s subscription revenue was ZAR 4,068.2 million, ZAR 3,535.8 million and ZAR 3,010.0 million, respectively, which represents a 15% and 17% increase, respectively, compared to the prior period, as a result of resilient subscriber growth.</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Cartrack’s subscription revenue increased 15% to ZAR 4,055.3 million for the financial year ended February 28, 2025, as compared to ZAR 3,522.8 million for the financial year ended February 29, 2024 driven by subscriber growth. The number of Cartrack’s subscribers on our platform directly drives our subscription revenue, which comprised 98% of Cartrack’s total revenue for the financial year ended February 28,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Y-o-Y %</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3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7"/>
                <w:szCs w:val="17"/>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4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(2)</w:t>
            </w:r>
          </w:p>
        </w:tc>
        <w:tc>
          <w:tcPr>
            <w:tcW w:w="13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161"/>
        </w:trPr>
        <w:tc>
          <w:tcPr>
            <w:tcW w:w="3300" w:type="dxa"/>
            <w:vAlign w:val="bottom"/>
          </w:tcPr>
          <w:p>
            <w:pPr>
              <w:spacing w:after="0"/>
              <w:rPr>
                <w:sz w:val="13"/>
                <w:szCs w:val="13"/>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3300" w:type="dxa"/>
            <w:vAlign w:val="bottom"/>
          </w:tcPr>
          <w:p>
            <w:pPr>
              <w:spacing w:after="0"/>
              <w:rPr>
                <w:sz w:val="18"/>
                <w:szCs w:val="18"/>
                <w:color w:val="auto"/>
              </w:rPr>
            </w:pPr>
          </w:p>
        </w:tc>
        <w:tc>
          <w:tcPr>
            <w:tcW w:w="136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4"/>
                <w:szCs w:val="14"/>
                <w:color w:val="auto"/>
                <w:w w:val="97"/>
              </w:rPr>
              <w:t xml:space="preserve">thousands </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14"/>
                <w:szCs w:val="14"/>
                <w:color w:val="auto"/>
                <w:w w:val="97"/>
              </w:rPr>
              <w:t>)</w:t>
            </w:r>
          </w:p>
        </w:tc>
        <w:tc>
          <w:tcPr>
            <w:tcW w:w="1280" w:type="dxa"/>
            <w:vAlign w:val="bottom"/>
          </w:tcPr>
          <w:p>
            <w:pPr>
              <w:spacing w:after="0"/>
              <w:rPr>
                <w:sz w:val="18"/>
                <w:szCs w:val="18"/>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(in R thousands)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33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Karooooo’s Subscription Revenue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218,705</w:t>
            </w: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4,068,177</w:t>
            </w:r>
          </w:p>
        </w:tc>
        <w:tc>
          <w:tcPr>
            <w:tcW w:w="1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3,535,805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3,010,072</w:t>
            </w:r>
          </w:p>
        </w:tc>
        <w:tc>
          <w:tcPr>
            <w:tcW w:w="15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157" w:lineRule="exact"/>
        <w:rPr>
          <w:sz w:val="20"/>
          <w:szCs w:val="20"/>
          <w:color w:val="auto"/>
        </w:rPr>
      </w:pPr>
    </w:p>
    <w:p>
      <w:pPr>
        <w:jc w:val="both"/>
        <w:ind w:left="220" w:hanging="214"/>
        <w:spacing w:after="0" w:line="261" w:lineRule="auto"/>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220" w:hanging="214"/>
        <w:spacing w:after="0" w:line="264" w:lineRule="auto"/>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that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Annualized Recurring Revenue (“SaaS ARR”) (a non-IFRS measure)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use SaaS ARR, a non-IFRS measure, as a measure of our revenue trend and an indicator of our future revenue opportunity from existing recurring customer contracts, assuming zero cancellations. We define SaaS ARR as the annual run rate subscription revenue of subscription agreements from all customers at a point in time, calculated by taking the monthly subscription revenue for all customers during that month and multiplying by 12. SaaS ARR is not adjusted for the impact of any known or projected future customer cancellations, service upgrades or downgrades or price increases or decreases.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amount of actual revenue that we recognize over any 12-month period is likely to differ from SaaS ARR at the beginning of that period, sometimes significantly. This may occur due to subsequent changes in our pricing, service cancellations, upgrades or downgrades and acquisitions or divestitures.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Our calculation of SaaS ARR may differ from similarly titled metrics presented by other companies. The following table shows Cartrack’s SaaS ARR for each of the periods presented calculated using subscription revenue for the last month in each period: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As at February 28/29</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Y-o-Y %</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3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7"/>
                <w:szCs w:val="17"/>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4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(2)</w:t>
            </w:r>
          </w:p>
        </w:tc>
        <w:tc>
          <w:tcPr>
            <w:tcW w:w="13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161"/>
        </w:trPr>
        <w:tc>
          <w:tcPr>
            <w:tcW w:w="3300" w:type="dxa"/>
            <w:vAlign w:val="bottom"/>
          </w:tcPr>
          <w:p>
            <w:pPr>
              <w:spacing w:after="0"/>
              <w:rPr>
                <w:sz w:val="13"/>
                <w:szCs w:val="13"/>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(U.S.$</w:t>
            </w:r>
          </w:p>
        </w:tc>
        <w:tc>
          <w:tcPr>
            <w:tcW w:w="2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3300" w:type="dxa"/>
            <w:vAlign w:val="bottom"/>
          </w:tcPr>
          <w:p>
            <w:pPr>
              <w:spacing w:after="0"/>
              <w:rPr>
                <w:sz w:val="18"/>
                <w:szCs w:val="18"/>
                <w:color w:val="auto"/>
              </w:rPr>
            </w:pPr>
          </w:p>
        </w:tc>
        <w:tc>
          <w:tcPr>
            <w:tcW w:w="136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4"/>
                <w:szCs w:val="14"/>
                <w:color w:val="auto"/>
                <w:w w:val="97"/>
              </w:rPr>
              <w:t xml:space="preserve">thousands </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14"/>
                <w:szCs w:val="14"/>
                <w:color w:val="auto"/>
                <w:w w:val="97"/>
              </w:rPr>
              <w:t>)</w:t>
            </w:r>
          </w:p>
        </w:tc>
        <w:tc>
          <w:tcPr>
            <w:tcW w:w="1280" w:type="dxa"/>
            <w:vAlign w:val="bottom"/>
          </w:tcPr>
          <w:p>
            <w:pPr>
              <w:spacing w:after="0"/>
              <w:rPr>
                <w:sz w:val="18"/>
                <w:szCs w:val="18"/>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(in R thousands)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33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3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SaaS Annualized Recurring Revenue </w:t>
            </w:r>
            <w:r>
              <w:rPr>
                <w:rFonts w:ascii="Times New Roman" w:cs="Times New Roman" w:eastAsia="Times New Roman" w:hAnsi="Times New Roman"/>
                <w:sz w:val="14"/>
                <w:szCs w:val="14"/>
                <w:b w:val="1"/>
                <w:bCs w:val="1"/>
                <w:color w:val="auto"/>
              </w:rPr>
              <w:t>(a non-IFRS</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8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235,680</w:t>
            </w:r>
          </w:p>
        </w:tc>
        <w:tc>
          <w:tcPr>
            <w:tcW w:w="12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4,383,935</w:t>
            </w:r>
          </w:p>
        </w:tc>
        <w:tc>
          <w:tcPr>
            <w:tcW w:w="1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3,769,381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3,235,202</w:t>
            </w:r>
          </w:p>
        </w:tc>
        <w:tc>
          <w:tcPr>
            <w:tcW w:w="15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157" w:lineRule="exact"/>
        <w:rPr>
          <w:sz w:val="20"/>
          <w:szCs w:val="20"/>
          <w:color w:val="auto"/>
        </w:rPr>
      </w:pPr>
    </w:p>
    <w:p>
      <w:pPr>
        <w:jc w:val="both"/>
        <w:ind w:left="220" w:hanging="214"/>
        <w:spacing w:after="0" w:line="261" w:lineRule="auto"/>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220" w:hanging="214"/>
        <w:spacing w:after="0" w:line="264" w:lineRule="auto"/>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that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1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the financial years ended February 28, 2025 and February 29, 2024, SaaS ARR was ZAR 4,383.9 million and ZAR 3,769.4 million, respectively, which represents a 16% increase. We believe that SaaS ARR growth reflects the underlying momentum in our business.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the financial years ended February 29, 2024 and February 28, 2023, SaaS ARR was ZAR 3,769.4 million and ZAR 3,235.2 million, respectively, which represents a 17% increase from period to period, as a result of strong subscriber growth offset by a 3% increase in ARPU due to adverse currency fluctuations.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Revenue Per Subscriber (“ARPU”) (a non-IFRS measure)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ARPU measures the monetization of our platform and is an indicator of pricing efficiency, competitiveness and market positioning. ARPU is calculated on a quarterly basis by dividing the cumulative subscription revenue for the quarter by the average of the opening subscriber balance at the beginning of the quarter and closing subscriber balance at the end of the quarter. The result is then divided by three to reflect monthly ARPU. On an annual basis, Cartrack’s ARPU is calculated as the average of the four quarterly ARPUs in that year. Cartrack’s ARPU has been fairly consistent since inception. Given our economies of scale and vertically integrated business model, the monthly ARPU of approximately ZAR 158.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historical ARPU for each of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As at February 28/29</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Y-o-Y %</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42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4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(2)</w:t>
            </w:r>
          </w:p>
        </w:tc>
        <w:tc>
          <w:tcPr>
            <w:tcW w:w="22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6"/>
        </w:trPr>
        <w:tc>
          <w:tcPr>
            <w:tcW w:w="33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center"/>
              <w:ind w:left="88"/>
              <w:spacing w:after="0" w:line="204" w:lineRule="exact"/>
              <w:rPr>
                <w:sz w:val="20"/>
                <w:szCs w:val="20"/>
                <w:color w:val="auto"/>
              </w:rPr>
            </w:pPr>
            <w:r>
              <w:rPr>
                <w:rFonts w:ascii="Times New Roman" w:cs="Times New Roman" w:eastAsia="Times New Roman" w:hAnsi="Times New Roman"/>
                <w:sz w:val="14"/>
                <w:szCs w:val="14"/>
                <w:color w:val="auto"/>
                <w:w w:val="94"/>
              </w:rPr>
              <w:t>(U.S.$</w:t>
            </w:r>
            <w:r>
              <w:rPr>
                <w:rFonts w:ascii="Times New Roman" w:cs="Times New Roman" w:eastAsia="Times New Roman" w:hAnsi="Times New Roman"/>
                <w:sz w:val="23"/>
                <w:szCs w:val="23"/>
                <w:color w:val="auto"/>
                <w:w w:val="94"/>
                <w:vertAlign w:val="superscript"/>
              </w:rPr>
              <w:t>(1)</w:t>
            </w:r>
            <w:r>
              <w:rPr>
                <w:rFonts w:ascii="Times New Roman" w:cs="Times New Roman" w:eastAsia="Times New Roman" w:hAnsi="Times New Roman"/>
                <w:sz w:val="14"/>
                <w:szCs w:val="14"/>
                <w:color w:val="auto"/>
                <w:w w:val="94"/>
              </w:rPr>
              <w:t>)</w:t>
            </w:r>
          </w:p>
        </w:tc>
        <w:tc>
          <w:tcPr>
            <w:tcW w:w="18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(in R’s)</w:t>
            </w:r>
          </w:p>
        </w:tc>
        <w:tc>
          <w:tcPr>
            <w:tcW w:w="106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2"/>
        </w:trPr>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2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Average Revenue Per Subscribers </w:t>
            </w:r>
            <w:r>
              <w:rPr>
                <w:rFonts w:ascii="Times New Roman" w:cs="Times New Roman" w:eastAsia="Times New Roman" w:hAnsi="Times New Roman"/>
                <w:sz w:val="14"/>
                <w:szCs w:val="14"/>
                <w:b w:val="1"/>
                <w:bCs w:val="1"/>
                <w:color w:val="auto"/>
              </w:rPr>
              <w:t>(a non-IFRS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89"/>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w:t>
            </w:r>
          </w:p>
        </w:tc>
        <w:tc>
          <w:tcPr>
            <w:tcW w:w="1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158</w:t>
            </w:r>
          </w:p>
        </w:tc>
        <w:tc>
          <w:tcPr>
            <w:tcW w:w="13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160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155</w:t>
            </w: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57" w:lineRule="exact"/>
        <w:rPr>
          <w:sz w:val="20"/>
          <w:szCs w:val="20"/>
          <w:color w:val="auto"/>
        </w:rPr>
      </w:pPr>
    </w:p>
    <w:p>
      <w:pPr>
        <w:jc w:val="both"/>
        <w:ind w:left="320" w:hanging="314"/>
        <w:spacing w:after="0" w:line="261" w:lineRule="auto"/>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320" w:hanging="314"/>
        <w:spacing w:after="0" w:line="264" w:lineRule="auto"/>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that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Adjusted Earnings Before Interest Depreciation Taxation and Amortization (“Adjusted EBITDA”) (a non-IFRS measure)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our results determined in accordance with IFRS, we believe Adjusted EBITDA, a non-IFRS measure, is useful in evaluating our operating performance.</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define Adjusted EBITDA (a non-IFRS measure) as profit less finance income, plus finance costs, fair value changes to derivative assets, taxation, depreciation and amortization, impairment of goodwill, and offering costs, less gain on disposal of subsidiaries.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Y-o-Y %</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7"/>
                <w:szCs w:val="17"/>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8"/>
              <w:spacing w:after="0" w:line="204"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340" w:type="dxa"/>
            <w:vAlign w:val="bottom"/>
            <w:gridSpan w:val="2"/>
          </w:tcPr>
          <w:p>
            <w:pPr>
              <w:jc w:val="center"/>
              <w:ind w:right="220"/>
              <w:spacing w:after="0" w:line="215"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R thousands)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50,379</w:t>
            </w:r>
          </w:p>
        </w:tc>
        <w:tc>
          <w:tcPr>
            <w:tcW w:w="2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937,110</w:t>
            </w:r>
          </w:p>
        </w:tc>
        <w:tc>
          <w:tcPr>
            <w:tcW w:w="134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754,156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608,806</w:t>
            </w:r>
          </w:p>
        </w:tc>
        <w:tc>
          <w:tcPr>
            <w:tcW w:w="2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Less: Finance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(2,374)</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(44,167)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(39,418)</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(23,255)</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Finance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2,735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50,866</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15,822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10,095</w:t>
            </w:r>
          </w:p>
        </w:tc>
        <w:tc>
          <w:tcPr>
            <w:tcW w:w="1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221%</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Add: Fair value changes to derivative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971</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Taxation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16,655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309,811</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311,554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285,298</w:t>
            </w:r>
          </w:p>
        </w:tc>
        <w:tc>
          <w:tcPr>
            <w:tcW w:w="2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7"/>
        </w:trPr>
        <w:tc>
          <w:tcPr>
            <w:tcW w:w="32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Add: Depreciation of property, plant and equipment</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amortization of 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35,619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662,559</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648,142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544,931</w:t>
            </w:r>
          </w:p>
        </w:tc>
        <w:tc>
          <w:tcPr>
            <w:tcW w:w="240" w:type="dxa"/>
            <w:vAlign w:val="bottom"/>
          </w:tcPr>
          <w:p>
            <w:pPr>
              <w:spacing w:after="0"/>
              <w:rPr>
                <w:sz w:val="16"/>
                <w:szCs w:val="16"/>
                <w:color w:val="auto"/>
              </w:rPr>
            </w:pP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Impairment of 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2,344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43,600</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Add: Offering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15,113</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Gain on disposal of subsidiaries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(1,432)</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(a non-IFRS measure)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106,093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1,973,460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1,690,644</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1,426,846</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Margin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0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line="188" w:lineRule="exact"/>
              <w:rPr>
                <w:sz w:val="20"/>
                <w:szCs w:val="20"/>
                <w:color w:val="auto"/>
              </w:rPr>
            </w:pPr>
            <w:r>
              <w:rPr>
                <w:rFonts w:ascii="Times New Roman" w:cs="Times New Roman" w:eastAsia="Times New Roman" w:hAnsi="Times New Roman"/>
                <w:sz w:val="13"/>
                <w:szCs w:val="13"/>
                <w:b w:val="1"/>
                <w:bCs w:val="1"/>
                <w:color w:val="auto"/>
              </w:rPr>
              <w:t>Adjusted EBITDA Margin</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3"/>
                <w:szCs w:val="13"/>
                <w:b w:val="1"/>
                <w:bCs w:val="1"/>
                <w:color w:val="auto"/>
              </w:rPr>
              <w:t xml:space="preserve"> (a non-IFRS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220" w:hanging="214"/>
        <w:spacing w:after="0" w:line="261" w:lineRule="auto"/>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ind w:left="220" w:hanging="214"/>
        <w:spacing w:after="0"/>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(a non-IFRS measure) as Adjusted EBITDA (a non-IFRS measure) divided by revenue.</w:t>
      </w:r>
    </w:p>
    <w:p>
      <w:pPr>
        <w:spacing w:after="0" w:line="10" w:lineRule="exact"/>
        <w:rPr>
          <w:rFonts w:ascii="Times New Roman" w:cs="Times New Roman" w:eastAsia="Times New Roman" w:hAnsi="Times New Roman"/>
          <w:sz w:val="14"/>
          <w:szCs w:val="14"/>
          <w:color w:val="auto"/>
        </w:rPr>
      </w:pPr>
    </w:p>
    <w:p>
      <w:pPr>
        <w:jc w:val="both"/>
        <w:ind w:left="220" w:hanging="214"/>
        <w:spacing w:after="0" w:line="264" w:lineRule="auto"/>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that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the financial years ended February 28, 2025 and February 29, 2024, Karooooo’s Adjusted EBITDA was ZAR 1,973.5 million and ZAR 1,690.6 million, respectively, which represents an 17% increase. This result includes Carzuka’s losses of ZAR 43.3 million incurred in FY 2024. Cartrack has had a strong track record of profitability while it grows at scale. Karooooo Logistics is contributing positively to Karooooo’s Adjusted EBITDA while we continue to invest in the Karooooo Logistics business to drive scale.</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the financial years ended February 29, 2024 and February 28, 2023, Karooooo’s Adjusted EBITDA was ZAR 1,690.6 million and ZAR 1,426.8 million, respectively, which represents an 19% increase compared to the prior period, primarily due to Cartrack’s consistent profitability as a result of robust subscriber and subscription revenue growth offset by investment for growth. This result includes Carzuka’s losses incurred in the periods.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Free Cash Flow or Adjusted Free Cash Flow (a non-IFRS measure)</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to our results determined in accordance with IFRS, we believe Free Cash Flow or Adjusted Free Cash Flow, which are non-IFRS measures, are useful in evaluating our operating performance. Free cash flow is a non-IFRS financial measure that we calculate as net cash generated from operating activities less purchases of property, plant and equipment. Adjusted Free Cash Flow is a non-IFRS financial measure that adjusts Free Cash Flow to exclude the effect of the fixed deposits with maturity dates exceeding three months that were classified under trade and other receivables.</w:t>
      </w: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believe that Free Cash Flow and Adjusted Free Cash Flow are useful indicators of liquidity and the ability of the Group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does not reflect any restrictions on the transfer of cash and cash equivalents within the Group or any requirement to repay the Group’s borrowings and does not take into account cash flows that are available from disposals or the issue of shares.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Management therefore takes such factors into account in addition to Free Cash Flow when determining the resources available for acquisitions and for distribution to shareholders. Investors are encouraged to review the related IFRS financial measure and the reconciliation of these non-IFRS financial measures to their most directly comparable IFRS financial measures, and not to rely on any single financial measure to evaluate our business.</w:t>
      </w:r>
    </w:p>
    <w:p>
      <w:pPr>
        <w:sectPr>
          <w:pgSz w:w="11900" w:h="16838" w:orient="portrait"/>
          <w:cols w:equalWidth="0" w:num="1">
            <w:col w:w="11280"/>
          </w:cols>
          <w:pgMar w:left="300" w:top="72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4"/>
          <w:szCs w:val="14"/>
          <w:b w:val="1"/>
          <w:bCs w:val="1"/>
          <w:color w:val="auto"/>
        </w:rPr>
        <w:t xml:space="preserve">Net cash generated from operating activities </w:t>
      </w:r>
      <w:r>
        <w:rPr>
          <w:rFonts w:ascii="Times New Roman" w:cs="Times New Roman" w:eastAsia="Times New Roman" w:hAnsi="Times New Roman"/>
          <w:sz w:val="14"/>
          <w:szCs w:val="14"/>
          <w:color w:val="auto"/>
        </w:rPr>
        <w:t>Less: purchase of property, plant and equipment</w:t>
      </w:r>
    </w:p>
    <w:p>
      <w:pPr>
        <w:spacing w:after="0"/>
        <w:rPr>
          <w:sz w:val="20"/>
          <w:szCs w:val="20"/>
          <w:color w:val="auto"/>
        </w:rPr>
      </w:pPr>
      <w:r>
        <w:rPr>
          <w:rFonts w:ascii="Times New Roman" w:cs="Times New Roman" w:eastAsia="Times New Roman" w:hAnsi="Times New Roman"/>
          <w:sz w:val="14"/>
          <w:szCs w:val="14"/>
          <w:b w:val="1"/>
          <w:bCs w:val="1"/>
          <w:color w:val="auto"/>
        </w:rPr>
        <w:t>Free cash flow (a non-IFRS measure)</w:t>
      </w:r>
    </w:p>
    <w:p>
      <w:pPr>
        <w:spacing w:after="0" w:line="27" w:lineRule="exact"/>
        <w:rPr>
          <w:sz w:val="20"/>
          <w:szCs w:val="20"/>
          <w:color w:val="auto"/>
        </w:rPr>
      </w:pPr>
    </w:p>
    <w:p>
      <w:pPr>
        <w:ind w:left="140" w:hanging="128"/>
        <w:spacing w:after="0" w:line="260" w:lineRule="auto"/>
        <w:rPr>
          <w:sz w:val="20"/>
          <w:szCs w:val="20"/>
          <w:color w:val="auto"/>
        </w:rPr>
      </w:pPr>
      <w:r>
        <w:rPr>
          <w:rFonts w:ascii="Times New Roman" w:cs="Times New Roman" w:eastAsia="Times New Roman" w:hAnsi="Times New Roman"/>
          <w:sz w:val="14"/>
          <w:szCs w:val="14"/>
          <w:color w:val="auto"/>
        </w:rPr>
        <w:t>Fixed deposits with maturity dates exceeding three months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Free cash flow (a non-IFRS measure)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Y-o-Y %</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(2)</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220"/>
              <w:spacing w:after="0" w:line="215" w:lineRule="exact"/>
              <w:rPr>
                <w:sz w:val="20"/>
                <w:szCs w:val="20"/>
                <w:color w:val="auto"/>
              </w:rPr>
            </w:pPr>
            <w:r>
              <w:rPr>
                <w:rFonts w:ascii="Times New Roman" w:cs="Times New Roman" w:eastAsia="Times New Roman" w:hAnsi="Times New Roman"/>
                <w:sz w:val="14"/>
                <w:szCs w:val="14"/>
                <w:color w:val="auto"/>
                <w:w w:val="95"/>
              </w:rPr>
              <w:t xml:space="preserve">thousands </w:t>
            </w:r>
            <w:r>
              <w:rPr>
                <w:rFonts w:ascii="Times New Roman" w:cs="Times New Roman" w:eastAsia="Times New Roman" w:hAnsi="Times New Roman"/>
                <w:sz w:val="23"/>
                <w:szCs w:val="23"/>
                <w:color w:val="auto"/>
                <w:w w:val="95"/>
                <w:vertAlign w:val="superscript"/>
              </w:rPr>
              <w:t>(1)</w:t>
            </w:r>
            <w:r>
              <w:rPr>
                <w:rFonts w:ascii="Times New Roman" w:cs="Times New Roman" w:eastAsia="Times New Roman" w:hAnsi="Times New Roman"/>
                <w:sz w:val="14"/>
                <w:szCs w:val="14"/>
                <w:color w:val="auto"/>
                <w:w w:val="95"/>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(in R thousands)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103,934</w:t>
            </w:r>
          </w:p>
        </w:tc>
        <w:tc>
          <w:tcPr>
            <w:tcW w:w="22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1,933,295</w:t>
            </w: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955,040</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1,126,663</w:t>
            </w:r>
          </w:p>
        </w:tc>
        <w:tc>
          <w:tcPr>
            <w:tcW w:w="220" w:type="dxa"/>
            <w:vAlign w:val="bottom"/>
          </w:tcPr>
          <w:p>
            <w:pPr>
              <w:spacing w:after="0"/>
              <w:rPr>
                <w:sz w:val="13"/>
                <w:szCs w:val="13"/>
                <w:color w:val="auto"/>
              </w:rPr>
            </w:pPr>
          </w:p>
        </w:tc>
        <w:tc>
          <w:tcPr>
            <w:tcW w:w="1400" w:type="dxa"/>
            <w:vAlign w:val="bottom"/>
            <w:gridSpan w:val="2"/>
          </w:tcPr>
          <w:p>
            <w:pPr>
              <w:jc w:val="right"/>
              <w:ind w:right="88"/>
              <w:spacing w:after="0" w:line="157"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13"/>
                <w:szCs w:val="13"/>
                <w:color w:val="auto"/>
              </w:rPr>
            </w:pPr>
          </w:p>
        </w:tc>
        <w:tc>
          <w:tcPr>
            <w:tcW w:w="1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7"/>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(54,963)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(1,022,371)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(876,354)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(579,656)</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7"/>
                <w:szCs w:val="17"/>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2"/>
        </w:trPr>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6"/>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48,971</w:t>
            </w:r>
          </w:p>
        </w:tc>
        <w:tc>
          <w:tcPr>
            <w:tcW w:w="22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910,924</w:t>
            </w:r>
          </w:p>
        </w:tc>
        <w:tc>
          <w:tcPr>
            <w:tcW w:w="22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78,686</w:t>
            </w:r>
          </w:p>
        </w:tc>
        <w:tc>
          <w:tcPr>
            <w:tcW w:w="20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547,007</w:t>
            </w:r>
          </w:p>
        </w:tc>
        <w:tc>
          <w:tcPr>
            <w:tcW w:w="220" w:type="dxa"/>
            <w:vAlign w:val="bottom"/>
            <w:vMerge w:val="continue"/>
          </w:tcPr>
          <w:p>
            <w:pPr>
              <w:spacing w:after="0"/>
              <w:rPr>
                <w:sz w:val="16"/>
                <w:szCs w:val="16"/>
                <w:color w:val="auto"/>
              </w:rPr>
            </w:pP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1058%</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(26,110)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(485,681)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485,681</w:t>
            </w:r>
          </w:p>
        </w:tc>
        <w:tc>
          <w:tcPr>
            <w:tcW w:w="2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line="20" w:lineRule="exact"/>
              <w:rPr>
                <w:sz w:val="1"/>
                <w:szCs w:val="1"/>
                <w:color w:val="auto"/>
              </w:rPr>
            </w:pPr>
          </w:p>
        </w:tc>
      </w:tr>
      <w:tr>
        <w:trPr>
          <w:trHeight w:val="195"/>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22,861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425,243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564,367</w:t>
            </w:r>
          </w:p>
        </w:tc>
        <w:tc>
          <w:tcPr>
            <w:tcW w:w="2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547,007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-749300</wp:posOffset>
            </wp:positionV>
            <wp:extent cx="7160260" cy="116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1620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-510540</wp:posOffset>
            </wp:positionV>
            <wp:extent cx="7160260" cy="1162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1620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-163195</wp:posOffset>
            </wp:positionV>
            <wp:extent cx="716026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360"/>
            <w:col w:w="8000"/>
          </w:cols>
          <w:pgMar w:left="300" w:top="724" w:right="319" w:bottom="1440" w:gutter="0" w:footer="0" w:header="0"/>
          <w:type w:val="continuous"/>
        </w:sectPr>
      </w:pPr>
    </w:p>
    <w:p>
      <w:pPr>
        <w:spacing w:after="0" w:line="129" w:lineRule="exact"/>
        <w:rPr>
          <w:sz w:val="20"/>
          <w:szCs w:val="20"/>
          <w:color w:val="auto"/>
        </w:rPr>
      </w:pPr>
    </w:p>
    <w:p>
      <w:pPr>
        <w:jc w:val="both"/>
        <w:ind w:left="220" w:hanging="214"/>
        <w:spacing w:after="0" w:line="261" w:lineRule="auto"/>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220" w:hanging="214"/>
        <w:spacing w:after="0" w:line="264" w:lineRule="auto"/>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that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the financial years ended February 28, 2025 and February 29, 2024, Karooooo’s Free Cash Flow was ZAR 910.9 million and ZAR 78.7 million, respectively. As at February 29, 2024, included in the other receivables were fixed deposits of ZAR 485.7 million which matured in June and July 2024. Excluding the effect of these bank fixed deposits as at financial years ended February 28, 2025 and February 29, 2024, Adjusted Free Cash Flow (a non-IFRS measure) for the financial year ended February 28, 2025 would have been ZAR 425.2 million, a decrease of ZAR 139.1 million or 25%.</w:t>
      </w: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Cartrack accelerates customer acquisition, we made significant investment of ZAR 818.5 million for in-vehicle IoT devices and ZAR 73.6 million for future use. Prepayments amounting to ZAR 24.8 million were made to purchase IoT components. The investment in IoT equipment for current and future growth contributed to the decrease in Free Cash Flow. The Free Cash Flow (a non-IFRS measure) generated is in line with Karooooo’s disciplined capital allocation strategy and support the Group’s growth objectives.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revenue is substantially derived from the provision of mobility data analytics solutions on a subscription-based model typically under monthly SaaS subscription contracts. Our revenue is driven primarily by the number of assets subscribed to our SaaS platform and the price per asset under these subscription contracts. Hardware sales, including sales to our licensees, and installation revenue and royalties we receive from our licensees, make up a minimal component of total revenue. Our initial per subscriber (or mobile asset) contract terms are generally 36 months with automatic monthly renewals thereafter and may not be cancelled without penalty prior to the completion of the initial term. The expected life cycle of our subscription contracts is over 60 months. In some instances we charge our customers for a ratable portion of the contract on a periodic basis, generally in advance on a monthly basis, and in certain regions we apply annual escalations to the contract pricing. Customers may prepay all or part of their contractual obligations for the full initial contract term. Our revenue also includes Delivery-as-a-service (“DaaS”) revenue generated from last-mile delivery services, including subscription-based revenue associated with these delivery services. Prior to FY 2025, our revenue also included revenue from selling second-hand vehicles via the Carzuka platform.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Cost of revenue consists primarily of costs related to the depreciation and amortization of capitalized subscriber acquisition costs, which includes the telematics device, the cost of the installation and direct commissions paid to our sales staff. Other components of cost of revenue include non-capitalized automotive technician costs, machine to machine (“M2M”) network communications costs and the costs of delivering safety and asset recovery services to our customers, including such costs incurred by our licensees. We capitalize the cost of installed telematics devices and direct sales commissions and depreciate these costs over the expected useful life of the subscriber, which is currently over 60 months. We pay commissions to our sales teams only once a telematics device is installed and activated. If a customer subscription agreement is cancelled prior to the end of the expected useful life of the subscriber, the depreciation period is accelerated, resulting in the carrying capitalized value being expensed in the then-current period. If an installed telematics device requires replacement for defect, the cost is taken as an expense in the replacement period. Less significant cost of revenue items includes expenditures incurred in connection with an asset recovery warranty program (offered by a third-party service provider), which is determined based on historical loss data observed over a period of at least the past five years, and mapping costs. Our cost of revenue is generally driven by the number of assets under subscription and solutions provided. We expect the cost of revenue in absolute terms to increase with subscriber growth. Cost of revenue also includes cost of last-mile delivery services, and, prior to FY 2025, also included the cost of vehicles bought for and sold via the Carzuka platform.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substantially consists of the government grants and gain on sale of property, plant and equipment and other less significant items.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expenses consist of sales and marketing, research and development, general and administration and expected credit losses on financial assets.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Sales and marketing expenses consist primarily of wages and benefits for sales and marketing employees, and other marketing, advertising and promotional costs. Advertising costs consist primarily of pay-per-click advertising with search engines, social media advertising and other online advertising platforms, as well as the costs to create and produce these advertisements.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Our strategic investment in brand-building positions us well for growth. Sales and marketing expenses are expensed upfront, while the life time value of a customer is recognized over a prolonged period. Sales and marketing expenses may fluctuate as a percentage of subscription revenue and will continue to remain one of the largest components of our 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and Administration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General and administration expenses consist primarily of wages and benefits for administrative services, human resources, internal information technology support, executive, legal, finance and accounting employees; professional fees; expenses for business application software licenses; non-income related taxes; other corporate expenses, such as insurance and general office related expenses, such as rent and utilities.</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addition to the above, general and administration expenses consist of depreciation relating to other property, plant and equipment, excluding those related to subscriber acquisition costs, which are included in cost of revenue, and the amortization of intangible assets relating to purchased computer software infrastructure.</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expect that general and administration expenses will increase as we continue to scale. However, our long-term target is to reduce general and administration expenses as a percentage of subscription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Research and development expenses consist of wages and benefits for hardware engineers, product management and software development employees, technology experimental costs and the amortization of intangible assets relating to capitalized development costs. We have focused our research and development efforts on expanding and developing new offerings, improving customer experience and functionality and scalability of our platform. The majority of our research and development employees are located in Singapore, South Africa and Portugal. Research and development costs that qualify for capitalization, such as costs related to new generation smart devices and new stacks for our platform, are capitalized and amortized over 3 years.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research and development expenses to increase, at a similar rate as subscription revenue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Expected Credit Losses on Financial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credit losses on financial assets consist of bad debts expensed, the movement on the expected credit loss provision and any reversals.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relating directly to the proposed secondary public offering, which was announced on July 24, 2024 and cancelled on July 26,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Finance income consists of interest earned on positive bank balances.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Finance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Finance costs consist of interest paid on bank overdraft facilities, interest-bearing loans and lease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Taxation consists primarily of current and deferred income tax and a minimal component of withholding tax.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Profit attributable to non-controlling interest, which represents the share of profit belonging to holders of equity in Karooooo’s subsidiaries that are not wholly owned by the parent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Y-o-Y %</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(3)</w:t>
            </w:r>
          </w:p>
        </w:tc>
        <w:tc>
          <w:tcPr>
            <w:tcW w:w="220" w:type="dxa"/>
            <w:vAlign w:val="bottom"/>
          </w:tcPr>
          <w:p>
            <w:pPr>
              <w:spacing w:after="0"/>
              <w:rPr>
                <w:sz w:val="17"/>
                <w:szCs w:val="17"/>
                <w:color w:val="auto"/>
              </w:rPr>
            </w:pPr>
          </w:p>
        </w:tc>
        <w:tc>
          <w:tcPr>
            <w:tcW w:w="16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Profit and Loss</w:t>
            </w:r>
          </w:p>
        </w:tc>
        <w:tc>
          <w:tcPr>
            <w:tcW w:w="132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(in R thousands)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245,547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4,567,459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4,205,511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3,507,067</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4"/>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(73,351)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(1,364,407)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(1,514,674)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(1,234,672)</w:t>
            </w: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2"/>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172,196</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3,203,052</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2,690,837</w:t>
            </w:r>
          </w:p>
        </w:tc>
        <w:tc>
          <w:tcPr>
            <w:tcW w:w="2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2,272,395</w:t>
            </w:r>
          </w:p>
        </w:tc>
        <w:tc>
          <w:tcPr>
            <w:tcW w:w="2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19%</w:t>
            </w:r>
          </w:p>
        </w:tc>
        <w:tc>
          <w:tcPr>
            <w:tcW w:w="10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10,369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2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9,828</w:t>
            </w: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(102,202)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(1,901,088)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(1,660,166)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(1,400,308)</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53"/>
        </w:trPr>
        <w:tc>
          <w:tcPr>
            <w:tcW w:w="3280" w:type="dxa"/>
            <w:vAlign w:val="bottom"/>
            <w:tcBorders>
              <w:top w:val="single" w:sz="8" w:color="CCEEFF"/>
            </w:tcBorders>
            <w:gridSpan w:val="2"/>
          </w:tcPr>
          <w:p>
            <w:pPr>
              <w:ind w:left="140"/>
              <w:spacing w:after="0" w:line="153" w:lineRule="exact"/>
              <w:rPr>
                <w:sz w:val="20"/>
                <w:szCs w:val="20"/>
                <w:color w:val="auto"/>
              </w:rPr>
            </w:pPr>
            <w:r>
              <w:rPr>
                <w:rFonts w:ascii="Times New Roman" w:cs="Times New Roman" w:eastAsia="Times New Roman" w:hAnsi="Times New Roman"/>
                <w:sz w:val="14"/>
                <w:szCs w:val="14"/>
                <w:color w:val="auto"/>
              </w:rPr>
              <w:t>Sales and marketing</w:t>
            </w:r>
          </w:p>
        </w:tc>
        <w:tc>
          <w:tcPr>
            <w:tcW w:w="11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(33,050)</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(614,765)</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(500,903)</w:t>
            </w: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(431,140)</w:t>
            </w:r>
          </w:p>
        </w:tc>
        <w:tc>
          <w:tcPr>
            <w:tcW w:w="220" w:type="dxa"/>
            <w:vAlign w:val="bottom"/>
            <w:tcBorders>
              <w:top w:val="single" w:sz="8" w:color="CCEEFF"/>
            </w:tcBorders>
          </w:tcPr>
          <w:p>
            <w:pPr>
              <w:spacing w:after="0"/>
              <w:rPr>
                <w:sz w:val="13"/>
                <w:szCs w:val="13"/>
                <w:color w:val="auto"/>
              </w:rPr>
            </w:pPr>
          </w:p>
        </w:tc>
        <w:tc>
          <w:tcPr>
            <w:tcW w:w="1660" w:type="dxa"/>
            <w:vAlign w:val="bottom"/>
            <w:tcBorders>
              <w:top w:val="single" w:sz="8" w:color="CCEEFF"/>
            </w:tcBorders>
          </w:tcPr>
          <w:p>
            <w:pPr>
              <w:jc w:val="right"/>
              <w:ind w:right="349"/>
              <w:spacing w:after="0" w:line="153" w:lineRule="exact"/>
              <w:rPr>
                <w:sz w:val="20"/>
                <w:szCs w:val="20"/>
                <w:color w:val="auto"/>
              </w:rPr>
            </w:pPr>
            <w:r>
              <w:rPr>
                <w:rFonts w:ascii="Times New Roman" w:cs="Times New Roman" w:eastAsia="Times New Roman" w:hAnsi="Times New Roman"/>
                <w:sz w:val="14"/>
                <w:szCs w:val="14"/>
                <w:color w:val="auto"/>
              </w:rPr>
              <w:t>23%</w:t>
            </w:r>
          </w:p>
        </w:tc>
        <w:tc>
          <w:tcPr>
            <w:tcW w:w="1020" w:type="dxa"/>
            <w:vAlign w:val="bottom"/>
            <w:tcBorders>
              <w:top w:val="single" w:sz="8" w:color="CCEEFF"/>
            </w:tcBorders>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(50,794)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(944,833)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(837,606)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(704,603)</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2"/>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(12,200)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(226,935)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(212,235)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(177,024)</w:t>
            </w:r>
          </w:p>
        </w:tc>
        <w:tc>
          <w:tcPr>
            <w:tcW w:w="16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Expected credit losses on financial assets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(6,158)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(114,555)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(109,422)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(87,541)</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3"/>
        </w:trPr>
        <w:tc>
          <w:tcPr>
            <w:tcW w:w="328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11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70,551</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1,312,333</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1,042,502</w:t>
            </w: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881,915</w:t>
            </w:r>
          </w:p>
        </w:tc>
        <w:tc>
          <w:tcPr>
            <w:tcW w:w="220" w:type="dxa"/>
            <w:vAlign w:val="bottom"/>
            <w:tcBorders>
              <w:top w:val="single" w:sz="8" w:color="CCEEFF"/>
            </w:tcBorders>
          </w:tcPr>
          <w:p>
            <w:pPr>
              <w:spacing w:after="0"/>
              <w:rPr>
                <w:sz w:val="13"/>
                <w:szCs w:val="13"/>
                <w:color w:val="auto"/>
              </w:rPr>
            </w:pPr>
          </w:p>
        </w:tc>
        <w:tc>
          <w:tcPr>
            <w:tcW w:w="1660" w:type="dxa"/>
            <w:vAlign w:val="bottom"/>
            <w:tcBorders>
              <w:top w:val="single" w:sz="8" w:color="CCEEFF"/>
            </w:tcBorders>
          </w:tcPr>
          <w:p>
            <w:pPr>
              <w:jc w:val="right"/>
              <w:ind w:right="349"/>
              <w:spacing w:after="0" w:line="153" w:lineRule="exact"/>
              <w:rPr>
                <w:sz w:val="20"/>
                <w:szCs w:val="20"/>
                <w:color w:val="auto"/>
              </w:rPr>
            </w:pPr>
            <w:r>
              <w:rPr>
                <w:rFonts w:ascii="Times New Roman" w:cs="Times New Roman" w:eastAsia="Times New Roman" w:hAnsi="Times New Roman"/>
                <w:sz w:val="14"/>
                <w:szCs w:val="14"/>
                <w:color w:val="auto"/>
              </w:rPr>
              <w:t>26%</w:t>
            </w:r>
          </w:p>
        </w:tc>
        <w:tc>
          <w:tcPr>
            <w:tcW w:w="1020" w:type="dxa"/>
            <w:vAlign w:val="bottom"/>
            <w:tcBorders>
              <w:top w:val="single" w:sz="8" w:color="CCEEFF"/>
            </w:tcBorders>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(15,113)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2,374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44,167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39,418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23,255</w:t>
            </w:r>
          </w:p>
        </w:tc>
        <w:tc>
          <w:tcPr>
            <w:tcW w:w="16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(2,735)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(50,866)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(15,822)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(10,095)</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221%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changes to derivative assets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(971)</w:t>
            </w: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(2,344)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(43,600)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28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Profit before taxation</w:t>
            </w:r>
          </w:p>
        </w:tc>
        <w:tc>
          <w:tcPr>
            <w:tcW w:w="11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67,034</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1,246,921</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1,065,710</w:t>
            </w: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894,104</w:t>
            </w:r>
          </w:p>
        </w:tc>
        <w:tc>
          <w:tcPr>
            <w:tcW w:w="220" w:type="dxa"/>
            <w:vAlign w:val="bottom"/>
            <w:tcBorders>
              <w:top w:val="single" w:sz="8" w:color="CCEEFF"/>
            </w:tcBorders>
          </w:tcPr>
          <w:p>
            <w:pPr>
              <w:spacing w:after="0"/>
              <w:rPr>
                <w:sz w:val="13"/>
                <w:szCs w:val="13"/>
                <w:color w:val="auto"/>
              </w:rPr>
            </w:pPr>
          </w:p>
        </w:tc>
        <w:tc>
          <w:tcPr>
            <w:tcW w:w="1660" w:type="dxa"/>
            <w:vAlign w:val="bottom"/>
            <w:tcBorders>
              <w:top w:val="single" w:sz="8" w:color="CCEEFF"/>
            </w:tcBorders>
          </w:tcPr>
          <w:p>
            <w:pPr>
              <w:jc w:val="right"/>
              <w:ind w:right="349"/>
              <w:spacing w:after="0" w:line="153" w:lineRule="exact"/>
              <w:rPr>
                <w:sz w:val="20"/>
                <w:szCs w:val="20"/>
                <w:color w:val="auto"/>
              </w:rPr>
            </w:pPr>
            <w:r>
              <w:rPr>
                <w:rFonts w:ascii="Times New Roman" w:cs="Times New Roman" w:eastAsia="Times New Roman" w:hAnsi="Times New Roman"/>
                <w:sz w:val="14"/>
                <w:szCs w:val="14"/>
                <w:color w:val="auto"/>
              </w:rPr>
              <w:t>17%</w:t>
            </w:r>
          </w:p>
        </w:tc>
        <w:tc>
          <w:tcPr>
            <w:tcW w:w="1020" w:type="dxa"/>
            <w:vAlign w:val="bottom"/>
            <w:tcBorders>
              <w:top w:val="single" w:sz="8" w:color="CCEEFF"/>
            </w:tcBorders>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(16,655)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(309,811)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(311,554)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(285,298)</w:t>
            </w:r>
          </w:p>
        </w:tc>
        <w:tc>
          <w:tcPr>
            <w:tcW w:w="16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vMerge w:val="restart"/>
          </w:tcPr>
          <w:p>
            <w:pPr>
              <w:jc w:val="right"/>
              <w:ind w:right="349"/>
              <w:spacing w:after="0" w:line="194" w:lineRule="exact"/>
              <w:rPr>
                <w:sz w:val="20"/>
                <w:szCs w:val="20"/>
                <w:color w:val="auto"/>
              </w:rPr>
            </w:pPr>
            <w:r>
              <w:rPr>
                <w:rFonts w:ascii="Times New Roman" w:cs="Times New Roman" w:eastAsia="Times New Roman" w:hAnsi="Times New Roman"/>
                <w:sz w:val="12"/>
                <w:szCs w:val="12"/>
                <w:color w:val="auto"/>
              </w:rPr>
              <w:t>24</w:t>
            </w:r>
            <w:r>
              <w:rPr>
                <w:rFonts w:ascii="Times New Roman" w:cs="Times New Roman" w:eastAsia="Times New Roman" w:hAnsi="Times New Roman"/>
                <w:sz w:val="22"/>
                <w:szCs w:val="22"/>
                <w:color w:val="auto"/>
                <w:vertAlign w:val="superscript"/>
              </w:rPr>
              <w:t>%</w:t>
            </w:r>
          </w:p>
        </w:tc>
        <w:tc>
          <w:tcPr>
            <w:tcW w:w="1020" w:type="dxa"/>
            <w:vAlign w:val="bottom"/>
            <w:tcBorders>
              <w:top w:val="single" w:sz="8" w:color="CCEEFF"/>
            </w:tcBorders>
            <w:gridSpan w:val="2"/>
            <w:vMerge w:val="restart"/>
          </w:tcPr>
          <w:p>
            <w:pPr>
              <w:jc w:val="right"/>
              <w:ind w:right="60"/>
              <w:spacing w:after="0" w:line="194" w:lineRule="exact"/>
              <w:rPr>
                <w:sz w:val="20"/>
                <w:szCs w:val="20"/>
                <w:color w:val="auto"/>
              </w:rPr>
            </w:pPr>
            <w:r>
              <w:rPr>
                <w:rFonts w:ascii="Times New Roman" w:cs="Times New Roman" w:eastAsia="Times New Roman" w:hAnsi="Times New Roman"/>
                <w:sz w:val="12"/>
                <w:szCs w:val="12"/>
                <w:color w:val="auto"/>
              </w:rPr>
              <w:t>24</w:t>
            </w:r>
            <w:r>
              <w:rPr>
                <w:rFonts w:ascii="Times New Roman" w:cs="Times New Roman" w:eastAsia="Times New Roman" w:hAnsi="Times New Roman"/>
                <w:sz w:val="22"/>
                <w:szCs w:val="22"/>
                <w:color w:val="auto"/>
                <w:vertAlign w:val="superscript"/>
              </w:rPr>
              <w:t>%</w:t>
            </w:r>
          </w:p>
        </w:tc>
        <w:tc>
          <w:tcPr>
            <w:tcW w:w="0" w:type="dxa"/>
            <w:vAlign w:val="bottom"/>
          </w:tcPr>
          <w:p>
            <w:pPr>
              <w:spacing w:after="0" w:line="20" w:lineRule="exact"/>
              <w:rPr>
                <w:sz w:val="1"/>
                <w:szCs w:val="1"/>
                <w:color w:val="auto"/>
              </w:rPr>
            </w:pPr>
          </w:p>
        </w:tc>
      </w:tr>
      <w:tr>
        <w:trPr>
          <w:trHeight w:val="216"/>
        </w:trPr>
        <w:tc>
          <w:tcPr>
            <w:tcW w:w="3280" w:type="dxa"/>
            <w:vAlign w:val="bottom"/>
            <w:gridSpan w:val="2"/>
            <w:vMerge w:val="continue"/>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50,379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937,110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754,156</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608,806</w:t>
            </w:r>
          </w:p>
        </w:tc>
        <w:tc>
          <w:tcPr>
            <w:tcW w:w="16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Profit attributable to:</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parent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49,515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921,031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738,191</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597,153</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3"/>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16,079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15,965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11,653</w:t>
            </w:r>
          </w:p>
        </w:tc>
        <w:tc>
          <w:tcPr>
            <w:tcW w:w="16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60" w:type="dxa"/>
            <w:vAlign w:val="bottom"/>
            <w:vMerge w:val="restart"/>
            <w:shd w:val="clear" w:color="auto" w:fill="CCEEFF"/>
          </w:tcPr>
          <w:p>
            <w:pPr>
              <w:jc w:val="right"/>
              <w:ind w:right="349"/>
              <w:spacing w:after="0" w:line="214" w:lineRule="exact"/>
              <w:rPr>
                <w:sz w:val="20"/>
                <w:szCs w:val="20"/>
                <w:color w:val="auto"/>
              </w:rPr>
            </w:pPr>
            <w:r>
              <w:rPr>
                <w:rFonts w:ascii="Times New Roman" w:cs="Times New Roman" w:eastAsia="Times New Roman" w:hAnsi="Times New Roman"/>
                <w:sz w:val="13"/>
                <w:szCs w:val="13"/>
                <w:color w:val="auto"/>
              </w:rPr>
              <w:t>24</w:t>
            </w:r>
            <w:r>
              <w:rPr>
                <w:rFonts w:ascii="Times New Roman" w:cs="Times New Roman" w:eastAsia="Times New Roman" w:hAnsi="Times New Roman"/>
                <w:sz w:val="24"/>
                <w:szCs w:val="24"/>
                <w:color w:val="auto"/>
                <w:vertAlign w:val="superscript"/>
              </w:rPr>
              <w:t>%</w:t>
            </w:r>
          </w:p>
        </w:tc>
        <w:tc>
          <w:tcPr>
            <w:tcW w:w="1020" w:type="dxa"/>
            <w:vAlign w:val="bottom"/>
            <w:gridSpan w:val="2"/>
            <w:vMerge w:val="restart"/>
            <w:shd w:val="clear" w:color="auto" w:fill="CCEEFF"/>
          </w:tcPr>
          <w:p>
            <w:pPr>
              <w:jc w:val="right"/>
              <w:ind w:right="60"/>
              <w:spacing w:after="0" w:line="214" w:lineRule="exact"/>
              <w:rPr>
                <w:sz w:val="20"/>
                <w:szCs w:val="20"/>
                <w:color w:val="auto"/>
              </w:rPr>
            </w:pPr>
            <w:r>
              <w:rPr>
                <w:rFonts w:ascii="Times New Roman" w:cs="Times New Roman" w:eastAsia="Times New Roman" w:hAnsi="Times New Roman"/>
                <w:sz w:val="13"/>
                <w:szCs w:val="13"/>
                <w:color w:val="auto"/>
              </w:rPr>
              <w:t>24</w:t>
            </w:r>
            <w:r>
              <w:rPr>
                <w:rFonts w:ascii="Times New Roman" w:cs="Times New Roman" w:eastAsia="Times New Roman" w:hAnsi="Times New Roman"/>
                <w:sz w:val="24"/>
                <w:szCs w:val="24"/>
                <w:color w:val="auto"/>
                <w:vertAlign w:val="superscript"/>
              </w:rPr>
              <w:t>%</w:t>
            </w:r>
          </w:p>
        </w:tc>
        <w:tc>
          <w:tcPr>
            <w:tcW w:w="0" w:type="dxa"/>
            <w:vAlign w:val="bottom"/>
          </w:tcPr>
          <w:p>
            <w:pPr>
              <w:spacing w:after="0" w:line="20" w:lineRule="exact"/>
              <w:rPr>
                <w:sz w:val="1"/>
                <w:szCs w:val="1"/>
                <w:color w:val="auto"/>
              </w:rPr>
            </w:pPr>
          </w:p>
        </w:tc>
      </w:tr>
      <w:tr>
        <w:trPr>
          <w:trHeight w:val="195"/>
        </w:trPr>
        <w:tc>
          <w:tcPr>
            <w:tcW w:w="3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50,379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937,110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754,156</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608,806</w:t>
            </w:r>
          </w:p>
        </w:tc>
        <w:tc>
          <w:tcPr>
            <w:tcW w:w="166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 and diluted earnings per share (US$’s &amp; 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29.81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19.29</w:t>
            </w:r>
          </w:p>
        </w:tc>
        <w:tc>
          <w:tcPr>
            <w:tcW w:w="16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earnings per share (a non-IFRS measure)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basic and diluted earnings per share (a non-</w:t>
            </w: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140"/>
              <w:spacing w:after="0" w:line="215" w:lineRule="exact"/>
              <w:rPr>
                <w:sz w:val="20"/>
                <w:szCs w:val="20"/>
                <w:color w:val="auto"/>
              </w:rPr>
            </w:pPr>
            <w:r>
              <w:rPr>
                <w:rFonts w:ascii="Times New Roman" w:cs="Times New Roman" w:eastAsia="Times New Roman" w:hAnsi="Times New Roman"/>
                <w:sz w:val="14"/>
                <w:szCs w:val="14"/>
                <w:color w:val="auto"/>
              </w:rPr>
              <w:t xml:space="preserve">IFRS measure)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(US$’s &amp; 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19.29</w:t>
            </w:r>
          </w:p>
        </w:tc>
        <w:tc>
          <w:tcPr>
            <w:tcW w:w="16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517"/>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4" w:right="3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60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268"/>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3"/>
                <w:szCs w:val="23"/>
                <w:b w:val="1"/>
                <w:bCs w:val="1"/>
                <w:color w:val="auto"/>
                <w:vertAlign w:val="superscript"/>
              </w:rPr>
              <w:t>(3)</w:t>
            </w:r>
          </w:p>
        </w:tc>
        <w:tc>
          <w:tcPr>
            <w:tcW w:w="100" w:type="dxa"/>
            <w:vAlign w:val="bottom"/>
          </w:tcPr>
          <w:p>
            <w:pPr>
              <w:spacing w:after="0"/>
              <w:rPr>
                <w:sz w:val="17"/>
                <w:szCs w:val="17"/>
                <w:color w:val="auto"/>
              </w:rPr>
            </w:pPr>
          </w:p>
        </w:tc>
      </w:tr>
      <w:tr>
        <w:trPr>
          <w:trHeight w:val="161"/>
        </w:trPr>
        <w:tc>
          <w:tcPr>
            <w:tcW w:w="60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000" w:type="dxa"/>
            <w:vAlign w:val="bottom"/>
          </w:tcPr>
          <w:p>
            <w:pPr>
              <w:spacing w:after="0"/>
              <w:rPr>
                <w:sz w:val="18"/>
                <w:szCs w:val="18"/>
                <w:color w:val="auto"/>
              </w:rPr>
            </w:pPr>
          </w:p>
        </w:tc>
        <w:tc>
          <w:tcPr>
            <w:tcW w:w="1380" w:type="dxa"/>
            <w:vAlign w:val="bottom"/>
            <w:gridSpan w:val="2"/>
          </w:tcPr>
          <w:p>
            <w:pPr>
              <w:jc w:val="center"/>
              <w:ind w:right="260"/>
              <w:spacing w:after="0" w:line="215"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(in R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7"/>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basic and diluted earnings and adjusted earnings per share (a non-IFRS</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6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between basic earnings and adjusted earnings (a non-IFRS measure)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attributable to ordinary shareholders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49,515</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921,031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738,191</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597,153</w:t>
            </w: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 for:</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2,344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43,600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disposal of subsidiaries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600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Adjusted profit attributable to ordinary shareholders (a non-IFRS measure)</w:t>
            </w:r>
          </w:p>
        </w:tc>
        <w:tc>
          <w:tcPr>
            <w:tcW w:w="11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52,594</w:t>
            </w: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978,312</w:t>
            </w: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738,191</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597,153</w:t>
            </w:r>
          </w:p>
        </w:tc>
        <w:tc>
          <w:tcPr>
            <w:tcW w:w="100" w:type="dxa"/>
            <w:vAlign w:val="bottom"/>
            <w:tcBorders>
              <w:top w:val="single" w:sz="8" w:color="CCEEFF"/>
            </w:tcBorders>
          </w:tcPr>
          <w:p>
            <w:pPr>
              <w:spacing w:after="0"/>
              <w:rPr>
                <w:sz w:val="13"/>
                <w:szCs w:val="13"/>
                <w:color w:val="auto"/>
              </w:rPr>
            </w:pPr>
          </w:p>
        </w:tc>
      </w:tr>
      <w:tr>
        <w:trPr>
          <w:trHeight w:val="172"/>
        </w:trPr>
        <w:tc>
          <w:tcPr>
            <w:tcW w:w="6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0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 average number of ordinary shares in issue at period end (000’s) on which the per share</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6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figures have been calculated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30,895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30,895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30,948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30,951</w:t>
            </w:r>
          </w:p>
        </w:tc>
      </w:tr>
      <w:tr>
        <w:trPr>
          <w:trHeight w:val="172"/>
        </w:trPr>
        <w:tc>
          <w:tcPr>
            <w:tcW w:w="6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and diluted earnings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29.81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19.29</w:t>
            </w:r>
          </w:p>
        </w:tc>
      </w:tr>
      <w:tr>
        <w:trPr>
          <w:trHeight w:val="204"/>
        </w:trPr>
        <w:tc>
          <w:tcPr>
            <w:tcW w:w="60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Adjusted basic and diluted earnings per share (a non-IFRS measure) </w:t>
            </w:r>
            <w:r>
              <w:rPr>
                <w:rFonts w:ascii="Times New Roman" w:cs="Times New Roman" w:eastAsia="Times New Roman" w:hAnsi="Times New Roman"/>
                <w:sz w:val="23"/>
                <w:szCs w:val="23"/>
                <w:b w:val="1"/>
                <w:bCs w:val="1"/>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19.29</w:t>
            </w:r>
          </w:p>
        </w:tc>
      </w:tr>
    </w:tbl>
    <w:p>
      <w:pPr>
        <w:spacing w:after="0" w:line="157" w:lineRule="exact"/>
        <w:rPr>
          <w:sz w:val="20"/>
          <w:szCs w:val="20"/>
          <w:color w:val="auto"/>
        </w:rPr>
      </w:pPr>
    </w:p>
    <w:p>
      <w:pPr>
        <w:jc w:val="both"/>
        <w:ind w:left="260" w:hanging="254"/>
        <w:spacing w:after="0" w:line="261"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260" w:hanging="254"/>
        <w:spacing w:after="0" w:line="256"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earnings per share, a non-IFRS measure, is defined as earnings per share in accordance with IFRS excluding the impact of offering costs, impairment of goodwill and gain on disposal of subsidiaries. In addition to our results determined in accordance with IFRS, we believe, Adjusted earnings per share, a non-IFRS measure, is useful in evaluating our operating performance. We use Adjusted earnings per share in our operational and financial decision-making and believe Adjusted earnings per share is useful to investors because similar measures are frequently used by securities analysts, investors, rating agencies and other interested parties to evaluate our competitors and to measure profitability. A reconciliation from earnings per share to Adjusted earnings per share, a non-IFRS measure, is presented.</w:t>
      </w:r>
    </w:p>
    <w:p>
      <w:pPr>
        <w:jc w:val="both"/>
        <w:ind w:left="260" w:hanging="254"/>
        <w:spacing w:after="0" w:line="264"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the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Results for the Year Ended February 28, 2025 and February 29,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Excluding Carzuka, Karooooo’s total revenue increased 16% to ZAR 4,567.4 million. For the financial year ended February 29, 2024, Carzuka generated ZAR 274.8 million in revenue.</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Cartrack’s subscription revenue increased by ZAR 532.5 million, or 15%, to ZAR 4,055.4 million for the financial year ended February 28, 2025 from ZAR 3,522.8 million for the financial year ended February 29, 2024. Subscription revenue growth was driven primarily by subscriber growth. Cartrack’s net subscriber growth increased 30% to 330,704 for the financial year ended February 28, 2025 from 254,455 for the financial year ended February 29, 2024.</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Karooooo Logistics’s revenue increased 33% to ZAR 420.3 million (2024: ZAR 317.0 million). Karooooo Logistics focuses on delivery-as-a-service (“DaaS”) through selected third-party sourced drivers and logistics companies, and charges per delivery. The business model is highly scalable and is delivering attractive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Excluding Carzuka, Karooooo’s cost of revenue decreased ZAR 122.0 million, or 10%, for the financial year ended February 28, 2025 compared to financial year ended February 29, 2024. For the financial year ended February 29, 2024, Carzuka’s cost of revenue were ZAR 272.2 million.</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Cartrack’s cost of revenue increased by ZAR 53.7 million or 5% and Karooooo Logistics’s increased cost of revenue of ZAR 68.3 million or 31% for the financial year ended February 28, 2025 is in line with the increase in revenue.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Other income decreased ZAR 1.5 million, or 12%, for the financial year ended February 28, 2025 compared to the financial year ended February 29, 2024. Other income consists of the government grants and gain on disposal of 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Operating expenses increased ZAR 240.9 million, or 15%, for the financial year ended February 28, 2025 compared to the financial year ended February 29, 2024. Cartrack’s operating expenses increased ZAR 274.8 million, or 18%, for the financial year ended February 28, 2025 as compared to the financial year ended February 29, 2024 driven primarily by a ZAR 54.9 million increase in marketing expenses and a ZAR 160.4 million increase in salary expenses, given Cartrack’s continued preparation for future growth. Karooooo Logistics’s operating expenses increased by 30% to ZAR 95.3 million incurred for the financial year ended February 28, 2025, compared to ZAR 73.4 million for the financial year ended February 29, 2024 as we continue to invest in brand building and infrastructure to support growth. For the financial year ended February 29, 2024, Carzuka’s operating expenses were ZAR 55.7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operating expenses is set forth in more detail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31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60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Y-o-Y %</w:t>
            </w:r>
          </w:p>
        </w:tc>
      </w:tr>
      <w:tr>
        <w:trPr>
          <w:trHeight w:val="161"/>
        </w:trPr>
        <w:tc>
          <w:tcPr>
            <w:tcW w:w="6000" w:type="dxa"/>
            <w:vAlign w:val="bottom"/>
          </w:tcPr>
          <w:p>
            <w:pPr>
              <w:spacing w:after="0"/>
              <w:rPr>
                <w:sz w:val="13"/>
                <w:szCs w:val="13"/>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6000" w:type="dxa"/>
            <w:vAlign w:val="bottom"/>
          </w:tcPr>
          <w:p>
            <w:pPr>
              <w:spacing w:after="0"/>
              <w:rPr>
                <w:sz w:val="18"/>
                <w:szCs w:val="18"/>
                <w:color w:val="auto"/>
              </w:rPr>
            </w:pPr>
          </w:p>
        </w:tc>
        <w:tc>
          <w:tcPr>
            <w:tcW w:w="138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4"/>
                <w:szCs w:val="14"/>
                <w:color w:val="auto"/>
                <w:w w:val="95"/>
              </w:rPr>
              <w:t xml:space="preserve">thousands </w:t>
            </w:r>
            <w:r>
              <w:rPr>
                <w:rFonts w:ascii="Times New Roman" w:cs="Times New Roman" w:eastAsia="Times New Roman" w:hAnsi="Times New Roman"/>
                <w:sz w:val="23"/>
                <w:szCs w:val="23"/>
                <w:color w:val="auto"/>
                <w:w w:val="95"/>
                <w:vertAlign w:val="superscript"/>
              </w:rPr>
              <w:t>(1)</w:t>
            </w:r>
            <w:r>
              <w:rPr>
                <w:rFonts w:ascii="Times New Roman" w:cs="Times New Roman" w:eastAsia="Times New Roman" w:hAnsi="Times New Roman"/>
                <w:sz w:val="14"/>
                <w:szCs w:val="14"/>
                <w:color w:val="auto"/>
                <w:w w:val="95"/>
              </w:rPr>
              <w:t>)</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(in R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60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(33,050)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(614,765)</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(500,903)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157" w:lineRule="exact"/>
        <w:rPr>
          <w:sz w:val="20"/>
          <w:szCs w:val="20"/>
          <w:color w:val="auto"/>
        </w:rPr>
      </w:pPr>
    </w:p>
    <w:p>
      <w:pPr>
        <w:jc w:val="both"/>
        <w:ind w:left="220" w:hanging="214"/>
        <w:spacing w:after="0" w:line="268" w:lineRule="auto"/>
        <w:tabs>
          <w:tab w:leader="none" w:pos="2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Karooooo’s sales and marketing operating expenses increased by ZAR 113.9 million or 23% for the financial year ended February 28, 2025 compared to financial year ended February 29, 2024, primarily driven by Cartrack. The increase is offset by the cessation of Carzuka’s business of buying and selling vehicles and the integration of its platform into Cartrack’s broader operations. For the financial year ended February 29, 2024, Carzuka’s sales and marketing operating expenses were ZAR 26.1 million.</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Cartrack’s sales and marketing operating expenses increased 30% to ZAR 613.1 million for the financial year ended February 28, 2025 compared to financial year ended February 29, 2024 with a significant recruitment drive focused mainly on sales and customer experience. We expect our investment in sales and marketing to support ongoing and future customer acquisition. Sales and marketing basic salaries are a major component of the cost of acquiring new customers and are not expensed over the expected life span of a customer, but rather when incurred. This component increased ZAR 77.9 million, or 24%, for the financial year ended February 28, 2025.</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Investment in sales and marketing expenditure which will generally take approximately 6 months to translate into customer acquisition. We believe that the continued and strategic investment in enhancing our vertically integrated sales and marketing capabilities to leverage our go-to-market strategy drives customer acquisition and places us well for long term growth and margin expansion. Our customer lifetime value (LTV) to customer acquisition costs (“CAC”) ratio, a non-IFRS measure, continues to exceed 9 times and underpins our disciplined approach to growth and customer acquisition.</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Karooooo Logistics’s sales and marketing operating expenses were ZAR 1.6 million for the financial year ended February 28, 2025, compared to ZAR 1.5 million for the financial year ended February 29,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Lifetime value (LTV of a Customer) of customer relationships to customer acquisition costs (CAC) (a non-IFRS measure)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calculate the LTV of our customer relationships as of a measurement date by dividing (i) the product of our subscription revenue gross margin measured over the past twelve months, and the difference between our current period SaaS ARR (a non-IFRS measure) and prior comparative period (twelve months) SaaS ARR by (ii) the percentage of SaaS ARR lost as a result of customer churn over the past twelve months. See “Key Business Metrics—Annualized Recurring Revenue (“SaaS ARR”) (a non-IFRS measure).” We calculate our CAC as our annual sales and marketing expense measured over the past twelve months.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8"/>
        </w:trPr>
        <w:tc>
          <w:tcPr>
            <w:tcW w:w="60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General and Administration</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7"/>
        </w:trPr>
        <w:tc>
          <w:tcPr>
            <w:tcW w:w="6000" w:type="dxa"/>
            <w:vAlign w:val="bottom"/>
          </w:tcPr>
          <w:p>
            <w:pPr>
              <w:spacing w:after="0"/>
              <w:rPr>
                <w:sz w:val="24"/>
                <w:szCs w:val="24"/>
                <w:color w:val="auto"/>
              </w:rPr>
            </w:pPr>
          </w:p>
        </w:tc>
        <w:tc>
          <w:tcPr>
            <w:tcW w:w="31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4"/>
        </w:trPr>
        <w:tc>
          <w:tcPr>
            <w:tcW w:w="60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Y-o-Y %</w:t>
            </w:r>
          </w:p>
        </w:tc>
      </w:tr>
      <w:tr>
        <w:trPr>
          <w:trHeight w:val="161"/>
        </w:trPr>
        <w:tc>
          <w:tcPr>
            <w:tcW w:w="6000" w:type="dxa"/>
            <w:vAlign w:val="bottom"/>
          </w:tcPr>
          <w:p>
            <w:pPr>
              <w:spacing w:after="0"/>
              <w:rPr>
                <w:sz w:val="13"/>
                <w:szCs w:val="13"/>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6000" w:type="dxa"/>
            <w:vAlign w:val="bottom"/>
          </w:tcPr>
          <w:p>
            <w:pPr>
              <w:spacing w:after="0"/>
              <w:rPr>
                <w:sz w:val="18"/>
                <w:szCs w:val="18"/>
                <w:color w:val="auto"/>
              </w:rPr>
            </w:pPr>
          </w:p>
        </w:tc>
        <w:tc>
          <w:tcPr>
            <w:tcW w:w="138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4"/>
                <w:szCs w:val="14"/>
                <w:color w:val="auto"/>
                <w:w w:val="95"/>
              </w:rPr>
              <w:t xml:space="preserve">thousands </w:t>
            </w:r>
            <w:r>
              <w:rPr>
                <w:rFonts w:ascii="Times New Roman" w:cs="Times New Roman" w:eastAsia="Times New Roman" w:hAnsi="Times New Roman"/>
                <w:sz w:val="23"/>
                <w:szCs w:val="23"/>
                <w:color w:val="auto"/>
                <w:w w:val="95"/>
                <w:vertAlign w:val="superscript"/>
              </w:rPr>
              <w:t>(1)</w:t>
            </w:r>
            <w:r>
              <w:rPr>
                <w:rFonts w:ascii="Times New Roman" w:cs="Times New Roman" w:eastAsia="Times New Roman" w:hAnsi="Times New Roman"/>
                <w:sz w:val="14"/>
                <w:szCs w:val="14"/>
                <w:color w:val="auto"/>
                <w:w w:val="95"/>
              </w:rPr>
              <w:t>)</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(in R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60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(50,794)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(944,833)</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(837,606)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157" w:lineRule="exact"/>
        <w:rPr>
          <w:sz w:val="20"/>
          <w:szCs w:val="20"/>
          <w:color w:val="auto"/>
        </w:rPr>
      </w:pPr>
    </w:p>
    <w:p>
      <w:pPr>
        <w:jc w:val="both"/>
        <w:ind w:left="180" w:hanging="174"/>
        <w:spacing w:after="0" w:line="268" w:lineRule="auto"/>
        <w:tabs>
          <w:tab w:leader="none" w:pos="1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Karooooo’s general and administration operating expenses increased by 13% to ZAR 944.8 million for the financial year ended February 28, 2025 from ZAR 837.6 million for the financial year ended February 29, 2024. The increase of ZAR 107.0 million was primarily driven by increases in Cartrack’s general and administration operating expenses by 15% to ZAR 862.6 million as a result of our investment in infrastructure to support our growth. Karooooo Logistics’ general and administration operating expenses were ZAR 82.2 million incurred for the financial year ended February 28, 2025, compared to ZAR 58.4 million incurred for the financial year ended February 29, 2024. Carzuka’s general and administration operating expenses were ZAR 27.6 million for the financial year ended February 29,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31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60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Y-o-Y %</w:t>
            </w:r>
          </w:p>
        </w:tc>
      </w:tr>
      <w:tr>
        <w:trPr>
          <w:trHeight w:val="161"/>
        </w:trPr>
        <w:tc>
          <w:tcPr>
            <w:tcW w:w="6000" w:type="dxa"/>
            <w:vAlign w:val="bottom"/>
          </w:tcPr>
          <w:p>
            <w:pPr>
              <w:spacing w:after="0"/>
              <w:rPr>
                <w:sz w:val="13"/>
                <w:szCs w:val="13"/>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6000" w:type="dxa"/>
            <w:vAlign w:val="bottom"/>
          </w:tcPr>
          <w:p>
            <w:pPr>
              <w:spacing w:after="0"/>
              <w:rPr>
                <w:sz w:val="18"/>
                <w:szCs w:val="18"/>
                <w:color w:val="auto"/>
              </w:rPr>
            </w:pPr>
          </w:p>
        </w:tc>
        <w:tc>
          <w:tcPr>
            <w:tcW w:w="138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4"/>
                <w:szCs w:val="14"/>
                <w:color w:val="auto"/>
                <w:w w:val="95"/>
              </w:rPr>
              <w:t xml:space="preserve">thousands </w:t>
            </w:r>
            <w:r>
              <w:rPr>
                <w:rFonts w:ascii="Times New Roman" w:cs="Times New Roman" w:eastAsia="Times New Roman" w:hAnsi="Times New Roman"/>
                <w:sz w:val="23"/>
                <w:szCs w:val="23"/>
                <w:color w:val="auto"/>
                <w:w w:val="95"/>
                <w:vertAlign w:val="superscript"/>
              </w:rPr>
              <w:t>(1)</w:t>
            </w:r>
            <w:r>
              <w:rPr>
                <w:rFonts w:ascii="Times New Roman" w:cs="Times New Roman" w:eastAsia="Times New Roman" w:hAnsi="Times New Roman"/>
                <w:sz w:val="14"/>
                <w:szCs w:val="14"/>
                <w:color w:val="auto"/>
                <w:w w:val="95"/>
              </w:rPr>
              <w:t>)</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(in R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60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(226,935)</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(212,235)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157" w:lineRule="exact"/>
        <w:rPr>
          <w:sz w:val="20"/>
          <w:szCs w:val="20"/>
          <w:color w:val="auto"/>
        </w:rPr>
      </w:pPr>
    </w:p>
    <w:p>
      <w:pPr>
        <w:jc w:val="both"/>
        <w:ind w:left="220" w:hanging="214"/>
        <w:spacing w:after="0" w:line="268" w:lineRule="auto"/>
        <w:tabs>
          <w:tab w:leader="none" w:pos="2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Karooooo’s research and development operating expenses increased by ZAR 14.7 million or 7% for the financial year ended February 28, 2025 compared to financial year ended February 29, 2024, primarily due to an increase in Cartrack’s research and development operating expenses by ZAR 18.1 million, or 9%, as we continued our investment in innovation to improve and expand the capabilities of our Operations Cloud and internal management system. Karooooo Logistics’s research and development operating expenses were ZAR 11.5 million incurred in the financial year ended February 28, 2025 as compared to ZAR 12.9 million incurred in financial year ended February 29, 2024. For the financial year ended February 29, 2024, Carzuka’s research and development operating expenses were ZAR 2.0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Credit Losses on Financial Assets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Expected credit losses on financial assets increased ZAR 5.1 million, or 5%, for the financial year ended February 28, 2025 compared to financial year ended February 29, 2024. The method in providing for expected credit losses is consistent with prior years.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Income</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Finance income increased ZAR 4.8 million, or 12%, for the financial year ended February 28, 2025 compared to the financial year ended February 29, 2024. This was primarily driven by higher interest earned on positive bank balances during the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Costs</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Finance costs increased ZAR 35.0 million, or 221%, for the financial year ended February 28, 2025 compared to financial year ended February 29, 2024. This was primarily due to interest incurred for an overdraft facility utilised for working capital purposes and a term loan obtained to finance the construction of the South Africa central office in Johannesburg, South Africa.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Our total effective tax rate for the financial year ended February 28, 2025 was 24.8%, which decreased from 29.2% for the financial year ended February 29, 2024. This was primarily due to the recognition of past tax losses by now-profitable entities and temporary differences between tax and accounting profits across the Group entities.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dividends tax in Singapore.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23 to the accompanying consolidated financial statements included elsewhere in this annual report for a detailed reconciliation of the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Profit attributable to non-controlling interest, which represents the share of profit accruing to holders of equity in Karooooo’s subsidiaries that are not wholly owned by the parent company, increased by ZAR 0.1 million, or less than 1%, for the financial year ended February 28, 2025 compared to financial year ended February 29,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 for the Group.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organized its business units based on its products and services into the following reportable segments:</w:t>
      </w:r>
    </w:p>
    <w:p>
      <w:pPr>
        <w:spacing w:after="0" w:line="183" w:lineRule="exact"/>
        <w:rPr>
          <w:sz w:val="20"/>
          <w:szCs w:val="20"/>
          <w:color w:val="auto"/>
        </w:rPr>
      </w:pPr>
    </w:p>
    <w:p>
      <w:pPr>
        <w:ind w:left="520" w:hanging="256"/>
        <w:spacing w:after="0" w:line="292"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23" w:lineRule="exact"/>
        <w:rPr>
          <w:rFonts w:ascii="Times New Roman" w:cs="Times New Roman" w:eastAsia="Times New Roman" w:hAnsi="Times New Roman"/>
          <w:sz w:val="14"/>
          <w:szCs w:val="14"/>
          <w:color w:val="auto"/>
        </w:rPr>
      </w:pPr>
    </w:p>
    <w:p>
      <w:pPr>
        <w:jc w:val="both"/>
        <w:ind w:left="520" w:hanging="256"/>
        <w:spacing w:after="0" w:line="274"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Logistics provides a software application enabling the management of last mile delivery and general operational logistics (Delivery-as-a-service or “Daas”).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35" w:lineRule="exact"/>
        <w:rPr>
          <w:rFonts w:ascii="Times New Roman" w:cs="Times New Roman" w:eastAsia="Times New Roman" w:hAnsi="Times New Roman"/>
          <w:sz w:val="14"/>
          <w:szCs w:val="14"/>
          <w:color w:val="auto"/>
        </w:rPr>
      </w:pPr>
    </w:p>
    <w:p>
      <w:pPr>
        <w:jc w:val="both"/>
        <w:ind w:left="520" w:hanging="256"/>
        <w:spacing w:after="0" w:line="263"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Carzuka operated as a physical and e-commerce vehicle buying and selling marketplace which allowed customers to source, buy and sell vehicles efficiently and cost effectively. In Quarter 3 of FY2024, despite the growth experienced by Carzuka in South Africa, a decision was made to cease buying second hand vehicles in South Africa. This followed considerable interaction with motor dealerships across South Africa who perceived Carzuka’s business interests to conflict with their business interests, and Cartrack did not want to risk the long-standing strategic relationships that Cartrack forged with them. There are many components within Carzuka’s platform that had been built and developed that will continue to provide value to the existing Cartrack fleet platform. With effect from financial year 2025, Carzuka has changed the focus of its operations such that the nature of the underlying services offered now aligns with Cartrack’s broader operations and has been integrated into that segment accordingly.</w:t>
      </w:r>
    </w:p>
    <w:p>
      <w:pPr>
        <w:spacing w:after="0" w:line="14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 CODM monitors the operating results of its business units separately for the purpose of making decisions about resource allocation and performance assessment. Segment performance is evaluated based on subscription revenue, total revenue and operating profit or loss.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segment information was provided to the CEO. See Note 4 to the accompanying consolidated financial statements included elsewhere in this annual report for Segment related information.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The following table sets forth the geographical region by subscriber numbers, subscription revenue and total revenue for the Cartrack business unit at the end of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17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5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8"/>
              </w:rPr>
              <w:t>Y-o-Y</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Subscription Revenue</w:t>
            </w:r>
          </w:p>
        </w:tc>
        <w:tc>
          <w:tcPr>
            <w:tcW w:w="5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8"/>
              </w:rPr>
              <w:t>Y-o-Y</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Y-o-Y</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7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color w:val="auto"/>
              </w:rPr>
              <w:t>(in Units)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160"/>
              <w:spacing w:after="0" w:line="215"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78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(in R thousands)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spacing w:after="0" w:line="215"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20" w:type="dxa"/>
            <w:vAlign w:val="bottom"/>
          </w:tcPr>
          <w:p>
            <w:pPr>
              <w:spacing w:after="0"/>
              <w:rPr>
                <w:sz w:val="18"/>
                <w:szCs w:val="18"/>
                <w:color w:val="auto"/>
              </w:rPr>
            </w:pPr>
          </w:p>
        </w:tc>
        <w:tc>
          <w:tcPr>
            <w:tcW w:w="178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(in R thousands)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South Africa</w:t>
            </w:r>
          </w:p>
        </w:tc>
        <w:tc>
          <w:tcPr>
            <w:tcW w:w="9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1,736,542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1,492,781</w:t>
            </w: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155,905</w:t>
            </w:r>
          </w:p>
        </w:tc>
        <w:tc>
          <w:tcPr>
            <w:tcW w:w="1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2,900,018</w:t>
            </w: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2,532,308</w:t>
            </w: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158,297</w:t>
            </w: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2,944,506</w:t>
            </w: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2,580,035</w:t>
            </w: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Africa-Other</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90,974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81,765</w:t>
            </w:r>
          </w:p>
        </w:tc>
        <w:tc>
          <w:tcPr>
            <w:tcW w:w="540" w:type="dxa"/>
            <w:vAlign w:val="bottom"/>
          </w:tcPr>
          <w:p>
            <w:pPr>
              <w:spacing w:after="0"/>
              <w:rPr>
                <w:sz w:val="14"/>
                <w:szCs w:val="14"/>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6,994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130,105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128,182</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143,803</w:t>
            </w: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144,020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200,774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166,845</w:t>
            </w:r>
          </w:p>
        </w:tc>
        <w:tc>
          <w:tcPr>
            <w:tcW w:w="5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20,847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387,777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337,121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399,209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347,628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55"/>
        </w:trPr>
        <w:tc>
          <w:tcPr>
            <w:tcW w:w="1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Asia-Pacific, Middle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East &amp; USA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273,946</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230,141</w:t>
            </w:r>
          </w:p>
        </w:tc>
        <w:tc>
          <w:tcPr>
            <w:tcW w:w="540" w:type="dxa"/>
            <w:vAlign w:val="bottom"/>
          </w:tcPr>
          <w:p>
            <w:pPr>
              <w:spacing w:after="0"/>
              <w:rPr>
                <w:sz w:val="17"/>
                <w:szCs w:val="17"/>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34,272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637,494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525,204</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659,593</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542,012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
        </w:trPr>
        <w:tc>
          <w:tcPr>
            <w:tcW w:w="1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95"/>
        </w:trPr>
        <w:tc>
          <w:tcPr>
            <w:tcW w:w="138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2,302,236</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1,971,532</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vMerge w:val="continue"/>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218,018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4,055,394</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3,522,815</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w:t>
            </w:r>
          </w:p>
        </w:tc>
        <w:tc>
          <w:tcPr>
            <w:tcW w:w="240" w:type="dxa"/>
            <w:vAlign w:val="bottom"/>
            <w:vMerge w:val="continue"/>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222,949</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4,147,111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3,613,695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260" w:hanging="254"/>
        <w:spacing w:after="0" w:line="268" w:lineRule="auto"/>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Africa</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leveraged our strong market position and well-established national distribution network to deliver strong subscriber growth during the financial year, contributing to Karooooo’s robust financial performance. Revenue for South Africa increased ZAR 364.5 million, or 14%, for the financial year ended February 28, 2025 driven by a 15% increase in subscription revenue of ZAR 367.7 million as a result of strong net subscriber growth of 16% or 243,761 subscribers.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Africa-Other</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This region remains a positive cash generator and is strategic to our South African operations. The number of subscribers increased by 11% to 90,974 as at financial year ended February 28, 2025 (2024: 81,765), translating to growth in subscription revenue by ZAR 1.9 million or 2%.</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Europe</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European revenue increased ZAR 51.6 million, or 15%, for the financial year ended February 28, 2025 compared to financial year ended February 29, 2024, primarily driven by subscriber growth of 20% to 200,774 subscribers. We accelerated our organic subscriber growth by expanding our customer base and increasing subscription sales to existing customers in the region.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Asia-Pacific, Middle East and USA</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Revenue for Asia-Pacific, Middle East and USA increased ZAR 117.6 million, or 22%, for the financial year ended February 28, 2025 compared to financial year ended February 29, 2024. Subscription revenue growth was driven by the number of subscribers in this region increasing 19% to 273,946 subscribers as at February 28, 2025. As the second largest contributor to the Group, we view Southeast Asia as the Group’s most compelling growth opportunity in the medium to long term.</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the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 discussion of new accounting guidance that we have recently adopted, as well as accounting guidance that has been recently issued but not yet adopted by us, is included below and in Note 3 — New standards and interpretations of our consolidated financial statements included elsewhere in this annual report.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73" w:name="page74"/>
    <w:bookmarkEnd w:id="73"/>
    <w:p>
      <w:pPr>
        <w:jc w:val="both"/>
        <w:spacing w:after="0" w:line="274" w:lineRule="auto"/>
        <w:rPr>
          <w:sz w:val="20"/>
          <w:szCs w:val="20"/>
          <w:color w:val="auto"/>
        </w:rPr>
      </w:pPr>
      <w:r>
        <w:rPr>
          <w:rFonts w:ascii="Times New Roman" w:cs="Times New Roman" w:eastAsia="Times New Roman" w:hAnsi="Times New Roman"/>
          <w:sz w:val="14"/>
          <w:szCs w:val="14"/>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At the date of authorization of the financial statements, the Group continues to assess and evaluate the impact to its financials on the initial adoption of these new accounting standards and interpretations and its related applicable period.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Details of amendment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periods beginning on/after</w:t>
            </w:r>
          </w:p>
        </w:tc>
      </w:tr>
      <w:tr>
        <w:trPr>
          <w:trHeight w:val="172"/>
        </w:trPr>
        <w:tc>
          <w:tcPr>
            <w:tcW w:w="880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Amendments to IAS 21: Lack of Exchangeability</w:t>
            </w:r>
          </w:p>
        </w:tc>
        <w:tc>
          <w:tcPr>
            <w:tcW w:w="220" w:type="dxa"/>
            <w:vAlign w:val="bottom"/>
            <w:tcBorders>
              <w:top w:val="single" w:sz="8" w:color="CCEDFF"/>
            </w:tcBorders>
            <w:shd w:val="clear" w:color="auto" w:fill="CCEDFF"/>
          </w:tcPr>
          <w:p>
            <w:pPr>
              <w:spacing w:after="0"/>
              <w:rPr>
                <w:sz w:val="14"/>
                <w:szCs w:val="14"/>
                <w:color w:val="auto"/>
              </w:rPr>
            </w:pPr>
          </w:p>
        </w:tc>
        <w:tc>
          <w:tcPr>
            <w:tcW w:w="226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r>
      <w:tr>
        <w:trPr>
          <w:trHeight w:val="172"/>
        </w:trPr>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IFRS 7 and IFRS 9: Amendments to the Classification and Measurement of Financial Instruments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2026</w:t>
            </w:r>
          </w:p>
        </w:tc>
      </w:tr>
      <w:tr>
        <w:trPr>
          <w:trHeight w:val="172"/>
        </w:trPr>
        <w:tc>
          <w:tcPr>
            <w:tcW w:w="90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4"/>
                <w:szCs w:val="14"/>
                <w:color w:val="auto"/>
              </w:rPr>
              <w:t>Annual Improvements to IFRS Accounting Standards</w:t>
            </w:r>
          </w:p>
        </w:tc>
        <w:tc>
          <w:tcPr>
            <w:tcW w:w="226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January 1, 2026</w:t>
            </w:r>
          </w:p>
        </w:tc>
      </w:tr>
      <w:tr>
        <w:trPr>
          <w:trHeight w:val="172"/>
        </w:trPr>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IFRS 18: Presentation and Disclosure in Financial Statements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2027</w:t>
            </w:r>
          </w:p>
        </w:tc>
      </w:tr>
      <w:tr>
        <w:trPr>
          <w:trHeight w:val="172"/>
        </w:trPr>
        <w:tc>
          <w:tcPr>
            <w:tcW w:w="90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4"/>
                <w:szCs w:val="14"/>
                <w:color w:val="auto"/>
              </w:rPr>
              <w:t>IFRS 19: Subsidiaries without Public Accountability: Disclosures</w:t>
            </w:r>
          </w:p>
        </w:tc>
        <w:tc>
          <w:tcPr>
            <w:tcW w:w="226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January 1, 2027</w:t>
            </w:r>
          </w:p>
        </w:tc>
      </w:tr>
      <w:tr>
        <w:trPr>
          <w:trHeight w:val="186"/>
        </w:trPr>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Amendments to IAS 28 and IFRS 10: Sale or Contribution of Assets between an Investors and its Associate or Joint Venture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 be determined</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a company with less than US$1.235 billion in revenue during our last financial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may take advantage of these provisions for up to five years from our IPO or such earlier time that we are no longer an emerging growth company. We would cease to be an emerging growth company upon (A) the last day of the financial year in which we had more than US$1.235 billion in annual revenue, (B) the date on which we are deemed to be a “large accelerated filer” under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rules of the SEC, which means the market value of our ordinary shares held by non-affiliates exceeds US$700.0 million as of the prior June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or (C) the date on which we have issued more than US$1.0 billion of non-convertible debt over a three-year period. We may choose to take advantage of some but not all of these reduced burdens. To the extent that we take advantage of these reduced reporting burdens, the information that we provide shareholders may be different than you might obtain from other public companies in which you hold equity interests.</w:t>
      </w:r>
    </w:p>
    <w:p>
      <w:pPr>
        <w:spacing w:after="0" w:line="15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LIQUIDITY AND CAPITAL RESOURCES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Our principal sources of liquidity are our cash generated from operations, cash and cash equivalents as well as borrowings available under our loan and funding facilities. Cash and cash equivalents consist primarily of cash or deposit with banks. As at February 28, 2025, our cash and cash equivalents totaled ZAR 1,042.9 million.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74" w:name="page75"/>
    <w:bookmarkEnd w:id="74"/>
    <w:p>
      <w:pPr>
        <w:jc w:val="both"/>
        <w:spacing w:after="0" w:line="263" w:lineRule="auto"/>
        <w:rPr>
          <w:sz w:val="20"/>
          <w:szCs w:val="20"/>
          <w:color w:val="auto"/>
        </w:rPr>
      </w:pPr>
      <w:r>
        <w:rPr>
          <w:rFonts w:ascii="Times New Roman" w:cs="Times New Roman" w:eastAsia="Times New Roman" w:hAnsi="Times New Roman"/>
          <w:sz w:val="14"/>
          <w:szCs w:val="14"/>
          <w:color w:val="auto"/>
        </w:rPr>
        <w:t>We believe that our cash generated from operations, cash and cash equivalents on hand and availability under our funding facility will be sufficient to fund our working capital and capital expenditure requirements for at least the next twelve months. In addition, we may choose to raise additional funds at any time through equity or debt financing arrangements, if required for additional working capital, capital expenditures or other strategic investments. Our belief concerning liquidity is based on currently available information. To the extent this information proves to be inaccurate, or if circumstances change, future availability of credit or other sources of financing may be reduced, and our liquidity could be adversely affected. Our future capital requirements and the adequacy of available funds will depend on many factors, including those described in the section of this annual report titled “Risk Factors.” Depending on the severity and direct impact of these factors on us, we may be unable to secure additional financing to meet our operating requirements on terms favorable to us, or at all.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
          </w:tcPr>
          <w:p>
            <w:pPr>
              <w:jc w:val="right"/>
              <w:ind w:right="968"/>
              <w:spacing w:after="0"/>
              <w:rPr>
                <w:sz w:val="20"/>
                <w:szCs w:val="20"/>
                <w:color w:val="auto"/>
              </w:rPr>
            </w:pPr>
            <w:r>
              <w:rPr>
                <w:rFonts w:ascii="Times New Roman" w:cs="Times New Roman" w:eastAsia="Times New Roman" w:hAnsi="Times New Roman"/>
                <w:sz w:val="14"/>
                <w:szCs w:val="14"/>
                <w:color w:val="auto"/>
              </w:rPr>
              <w:t>Year ended February 28/29</w:t>
            </w: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Y-o-Y %</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25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jc w:val="right"/>
              <w:ind w:right="388"/>
              <w:spacing w:after="0" w:line="204"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r>
      <w:tr>
        <w:trPr>
          <w:trHeight w:val="161"/>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(U.S.$</w:t>
            </w: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6"/>
        </w:trPr>
        <w:tc>
          <w:tcPr>
            <w:tcW w:w="2500" w:type="dxa"/>
            <w:vAlign w:val="bottom"/>
          </w:tcPr>
          <w:p>
            <w:pPr>
              <w:spacing w:after="0"/>
              <w:rPr>
                <w:sz w:val="18"/>
                <w:szCs w:val="18"/>
                <w:color w:val="auto"/>
              </w:rPr>
            </w:pPr>
          </w:p>
        </w:tc>
        <w:tc>
          <w:tcPr>
            <w:tcW w:w="1580" w:type="dxa"/>
            <w:vAlign w:val="bottom"/>
            <w:gridSpan w:val="2"/>
          </w:tcPr>
          <w:p>
            <w:pPr>
              <w:jc w:val="center"/>
              <w:ind w:right="220"/>
              <w:spacing w:after="0" w:line="215" w:lineRule="exact"/>
              <w:rPr>
                <w:sz w:val="20"/>
                <w:szCs w:val="20"/>
                <w:color w:val="auto"/>
              </w:rPr>
            </w:pPr>
            <w:r>
              <w:rPr>
                <w:rFonts w:ascii="Times New Roman" w:cs="Times New Roman" w:eastAsia="Times New Roman" w:hAnsi="Times New Roman"/>
                <w:sz w:val="14"/>
                <w:szCs w:val="14"/>
                <w:color w:val="auto"/>
                <w:w w:val="97"/>
              </w:rPr>
              <w:t xml:space="preserve">thousands </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14"/>
                <w:szCs w:val="14"/>
                <w:color w:val="auto"/>
                <w:w w:val="97"/>
              </w:rPr>
              <w:t>)</w:t>
            </w:r>
          </w:p>
        </w:tc>
        <w:tc>
          <w:tcPr>
            <w:tcW w:w="1540" w:type="dxa"/>
            <w:vAlign w:val="bottom"/>
          </w:tcPr>
          <w:p>
            <w:pPr>
              <w:spacing w:after="0"/>
              <w:rPr>
                <w:sz w:val="18"/>
                <w:szCs w:val="18"/>
                <w:color w:val="auto"/>
              </w:rPr>
            </w:pPr>
          </w:p>
        </w:tc>
        <w:tc>
          <w:tcPr>
            <w:tcW w:w="1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(in R thousands)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2"/>
        </w:trPr>
        <w:tc>
          <w:tcPr>
            <w:tcW w:w="25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5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Net cash generated from operating</w:t>
            </w: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7"/>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activities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103,934</w:t>
            </w: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1,933,295</w:t>
            </w:r>
          </w:p>
        </w:tc>
        <w:tc>
          <w:tcPr>
            <w:tcW w:w="17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955,040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1,126,663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cash utilized by investing activities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(57,917)</w:t>
            </w: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(1,077,335)</w:t>
            </w:r>
          </w:p>
        </w:tc>
        <w:tc>
          <w:tcPr>
            <w:tcW w:w="17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(932,187)</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(622,210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utilized by financing activities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(23,830)</w:t>
            </w: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(443,260)</w:t>
            </w:r>
          </w:p>
        </w:tc>
        <w:tc>
          <w:tcPr>
            <w:tcW w:w="17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(592,954)</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(420,026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r>
    </w:tbl>
    <w:p>
      <w:pPr>
        <w:spacing w:after="0" w:line="157" w:lineRule="exact"/>
        <w:rPr>
          <w:sz w:val="20"/>
          <w:szCs w:val="20"/>
          <w:color w:val="auto"/>
        </w:rPr>
      </w:pPr>
    </w:p>
    <w:p>
      <w:pPr>
        <w:jc w:val="both"/>
        <w:ind w:left="220" w:hanging="214"/>
        <w:spacing w:after="0" w:line="261" w:lineRule="auto"/>
        <w:tabs>
          <w:tab w:leader="none" w:pos="2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220" w:hanging="214"/>
        <w:spacing w:after="0" w:line="264" w:lineRule="auto"/>
        <w:tabs>
          <w:tab w:leader="none" w:pos="2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elected to omit discussion of the earliest of the three years covered by our consolidated financial statements presented in this annual report because the disclosure as at and for the financial year ended February 28, 2023 was included in our annual report on Form 20-F (File No. 001-40300), filed with the SEC on June 13, 2024, under the section titled “Item 5. Operating and Financial Review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Strong net cash generated from operating activities is an important factor in supporting our robust business model, and is an indication of our ability to provide the capital necessary to invest in subscriber growth and territorial expansion.</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Net cash generated from operating activities increased ZAR 978.3 million, or 102%, for the financial year ended February 28, 2025 compared to financial year ended February 29, 2024. Cash generated from operations before working capital changes increased by ZAR 287.7 million.</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at February 29, 2024, included in other receivables were fixed deposits placed with a licensed bank amounting to ZAR 485.7 million that matured in June and July 2024. As a result of these fixed deposits, net cash generated from operating activities for the financial year ended February 28, 2025 were ZAR 1,933.3 million, primarily driven by strong subscription revenue growth and improved earnings, partially offset by working capital utilization to support business growth and higher financial costs related to term loans and bank overdrafts.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Net cash utilized by investing activities increased ZAR 145.1 million, or 16%, for the financial year ended February 28, 2025 compared to the prior period. The increase was primarily driven by ZAR 242.6 million increased in investment capitalized in-vehicle telematic devices and IoT devices held for future use for planned subscribers’ growth. The increased, was partially offset by a decrease in capital expenditure due to the completion of construction of the South African Central Office during the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Net cash utilized by financing activities decreased ZAR 149.7 million for the financial year ended February 28, 2025 compared to the prior period. This was primarily due to payment of dividends of ZAR 612.4 million, partially offset by net proceeds from term loans of ZAR 266.2 million during the financial year. Net cash utilized by financing activities was also impacted by an increase in cash outflow of ZAR 77.6 million relating to lease liabilities repayment during the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Financial Assets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at February 29, 2024, the Group derecognized a derivative – call option - relating to its acquisition of Karooooo Logistics, following an agreement by shareholders to cancel the call option. The call option was derecognized in the profit or loss. There were no such derivatives as at February 28, 2025.</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Loan and Funding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Mortgage bond</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mortgage bond of ZAR 65 million is registered in favor of First Rand Bank Limited over the remaining extent of Erf 160, Rosebank and Portion 6 of Erf 161, Rosebank, registered in the name of Purple Rain Properties No 444 Proprietary Limited (“Purple Rain”). Cartrack Proprietary Limited has signed a limited suretyship of ZAR 60 million for the mortgage bond. Interest levied by First Rand Bank Limited is at a rate of prime less 1.15% and repayable in equal monthly installments over a period of 60 months. The final repayment date is December 01, 2025. Covenants are reviewed annually unless loan instalments are not met timeously. From the inception date to the date of this report, Purple Rain has not breached the Loan-to-Value (“LTV”) covenant of percentage and Minimum Debt Service Coverage Ratio (“DSCR”) of 1.2x.</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187"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4"/>
          <w:szCs w:val="14"/>
          <w:color w:val="auto"/>
        </w:rPr>
        <w:t>In September 2024, Cartrack Portugal, S.A., secured a EUR 2.0 million loan from Banco Comercial Português, S.A. The loan bears an interest rate of 6-month Euribor rate plus 0.75%, with repayments scheduled over a seven-year period. There are no covenants relating to this loan.</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June 2024, The Standard Bank of South Africa Limited extended a loan of ZAR 250.0 million to Purple Rain Properties No.444 Proprietary Limited (the owner of the South Africa Central Office) for funding the construction of the building. Interest levied by the bank is at a rate of prime less 1.5% and will mature on December 21, 2025. No security has been provided for this loan arrangement. The financial conditions under the loan agreement include the Loan to Value Ratio shall not exceed 60% from the period commencing on June 21, 2024 (the First Utilisation Date) until the first anniversary of the First Utilisation Date and 55% during the next calendar period of 12 months. The Interest Coverage Ratio shall not be less than 1.45 times for the period from the First Utilisation Date until the first anniversary of the First Utilisation Date and 1.71 times in the following period of 12 months. As at the date of this report, the financial conditions have been met.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 overdraft and overdraft facility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March 2020, Cartrack Proprietary Limited entered into an unsecured short-term overdraft and other facilities with Capitec Bank Limited, previously Mercantile Bank (“Capitec Bank”), pursuant to a Short-Term Facility Letter, as amended and supplemented from time to time (the “Overdraft Facility”). Pursuant to the most recent Addendum to the Short-Term Facility Letter, dated April 18, 2024, the Overdraft Facility was increased to ZAR 300.0 million. Amounts due under the Overdraft Facility bear interest at Capitec Bank’s prime lending rate, which as at the date of this annual report was 10.75%. Subject to completion of documentation, Capitec Bank has approved the extension of the expiry date to March 31,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February 28, 2025, ZAR 205.3 million (2024: ZAR 23.4 million) of the facility had been utilized.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 facility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February 2021, Cartrack Proprietary Limited entered a funding facility (the “Facility”) of ZAR 925.0 million with The Standard Bank of South Africa Limited. The Facility consisted of an uncommitted term facility of ZAR 850.0 million and a committed term facility of ZAR 75.0 million. The Facility was terminated on February 26, 2024.</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engage in any off-balance sheet activities or have any arrangements or relationships with unconsolidated entities, such as variable interest, special purpose and structured finance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obligations as at February 28, 2025.</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6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4 years</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3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color w:val="auto"/>
              </w:rPr>
              <w:t>(in R thousands)</w:t>
            </w: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306,556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6,355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6,355</w:t>
            </w:r>
          </w:p>
        </w:tc>
        <w:tc>
          <w:tcPr>
            <w:tcW w:w="3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341,969</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obligations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84,398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69,922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46,061</w:t>
            </w:r>
          </w:p>
        </w:tc>
        <w:tc>
          <w:tcPr>
            <w:tcW w:w="3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16,821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217,990</w:t>
            </w:r>
          </w:p>
        </w:tc>
      </w:tr>
      <w:tr>
        <w:trPr>
          <w:trHeight w:val="172"/>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414,147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414,147</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from a related party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r>
      <w:tr>
        <w:trPr>
          <w:trHeight w:val="20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overdraft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205,299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205,299</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  RESEARCH AND DEVELOPMENT, PATENTS AND LICENSES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our disclosure in respect of research and development, technology and intellectual property please refer to Item 4.B. “Information on the Company— Business Overview”.</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TREND INFORMATION</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See Item 4.B. “Information on the Company—Business Overview,” Item 5.A. “Operating and Financial Review and Prospectus—Operating Results” and Item 5.B. “Operating and Financial Review and Prospects—Liquidity and Capital Resources” within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Quarterly Financial Information and Other Information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following table sets forth our unaudited quarterly operational and financial information for each of the nine most recent quarters for the financial period ended February 28, 2025.We have prepared the unaudited quarterly operational and financial information on a consistent basis with the consolidated financial statements included elsewhere in this annual report. In the opinion of management, the unaudited quarterly operational and financial information reflects all necessary adjustments, consisting only of normal recurring adjustments, necessary for a fair statement of this data. This information should be read in conjunction with the consolidated financial statements and related notes included elsewhere in this annual report. The results of historical periods are not necessarily indicative of results for a full year or for any future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May 31,</w:t>
            </w:r>
          </w:p>
        </w:tc>
        <w:tc>
          <w:tcPr>
            <w:tcW w:w="102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110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20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February 29,</w:t>
            </w:r>
          </w:p>
        </w:tc>
        <w:tc>
          <w:tcPr>
            <w:tcW w:w="1000" w:type="dxa"/>
            <w:vAlign w:val="bottom"/>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May 31,</w:t>
            </w:r>
          </w:p>
        </w:tc>
        <w:tc>
          <w:tcPr>
            <w:tcW w:w="10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114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9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20" w:type="dxa"/>
            <w:vAlign w:val="bottom"/>
          </w:tcPr>
          <w:p>
            <w:pPr>
              <w:spacing w:after="0"/>
              <w:rPr>
                <w:sz w:val="13"/>
                <w:szCs w:val="13"/>
                <w:color w:val="auto"/>
              </w:rPr>
            </w:pPr>
          </w:p>
        </w:tc>
      </w:tr>
      <w:tr>
        <w:trPr>
          <w:trHeight w:val="190"/>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Quarterly Subscriber Data</w:t>
            </w: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r>
      <w:tr>
        <w:trPr>
          <w:trHeight w:val="173"/>
        </w:trPr>
        <w:tc>
          <w:tcPr>
            <w:tcW w:w="2660" w:type="dxa"/>
            <w:vAlign w:val="bottom"/>
            <w:tcBorders>
              <w:top w:val="single" w:sz="8" w:color="auto"/>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220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(subscribers and percentage growth)</w:t>
            </w:r>
          </w:p>
        </w:tc>
        <w:tc>
          <w:tcPr>
            <w:tcW w:w="10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17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Subscribers (as at end of period)</w:t>
            </w: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1,757,452</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1,832,708</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1,908,192</w:t>
            </w:r>
          </w:p>
        </w:tc>
        <w:tc>
          <w:tcPr>
            <w:tcW w:w="12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1,971,532</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2,047,442</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2,136,610</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2,223,227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2,302,236</w:t>
            </w:r>
          </w:p>
        </w:tc>
        <w:tc>
          <w:tcPr>
            <w:tcW w:w="120" w:type="dxa"/>
            <w:vAlign w:val="bottom"/>
            <w:shd w:val="clear" w:color="auto" w:fill="CCEEFF"/>
          </w:tcPr>
          <w:p>
            <w:pPr>
              <w:spacing w:after="0"/>
              <w:rPr>
                <w:sz w:val="14"/>
                <w:szCs w:val="14"/>
                <w:color w:val="auto"/>
              </w:rPr>
            </w:pPr>
          </w:p>
        </w:tc>
      </w:tr>
      <w:tr>
        <w:trPr>
          <w:trHeight w:val="172"/>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subscriber growth for the three months</w:t>
            </w: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40,375</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75,256</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75,484</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63,340</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75,910</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89,168</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86,617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79,009</w:t>
            </w:r>
          </w:p>
        </w:tc>
      </w:tr>
      <w:tr>
        <w:trPr>
          <w:trHeight w:val="17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Growth against comparative prior year quarter</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517"/>
        </w:trPr>
        <w:tc>
          <w:tcPr>
            <w:tcW w:w="2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1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4" w:right="31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Quarterly Financial</w:t>
            </w:r>
          </w:p>
        </w:tc>
        <w:tc>
          <w:tcPr>
            <w:tcW w:w="130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3"/>
                <w:szCs w:val="13"/>
                <w:b w:val="1"/>
                <w:bCs w:val="1"/>
                <w:color w:val="auto"/>
              </w:rPr>
              <w:t>May 31,</w:t>
            </w:r>
          </w:p>
        </w:tc>
        <w:tc>
          <w:tcPr>
            <w:tcW w:w="13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13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3"/>
                <w:szCs w:val="13"/>
                <w:b w:val="1"/>
                <w:bCs w:val="1"/>
                <w:color w:val="auto"/>
              </w:rPr>
              <w:t>November 30,</w:t>
            </w:r>
          </w:p>
        </w:tc>
        <w:tc>
          <w:tcPr>
            <w:tcW w:w="16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3"/>
                <w:szCs w:val="13"/>
                <w:b w:val="1"/>
                <w:bCs w:val="1"/>
                <w:color w:val="auto"/>
              </w:rPr>
              <w:t>February 29,</w:t>
            </w:r>
          </w:p>
        </w:tc>
        <w:tc>
          <w:tcPr>
            <w:tcW w:w="100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3"/>
                <w:szCs w:val="13"/>
                <w:b w:val="1"/>
                <w:bCs w:val="1"/>
                <w:color w:val="auto"/>
                <w:w w:val="93"/>
              </w:rPr>
              <w:t>May 31,</w:t>
            </w:r>
          </w:p>
        </w:tc>
        <w:tc>
          <w:tcPr>
            <w:tcW w:w="13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13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3"/>
                <w:szCs w:val="13"/>
                <w:b w:val="1"/>
                <w:bCs w:val="1"/>
                <w:color w:val="auto"/>
              </w:rPr>
              <w:t>November 30,</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b w:val="1"/>
                <w:bCs w:val="1"/>
                <w:color w:val="auto"/>
                <w:w w:val="99"/>
              </w:rPr>
              <w:t>February 28,</w:t>
            </w:r>
          </w:p>
        </w:tc>
        <w:tc>
          <w:tcPr>
            <w:tcW w:w="0" w:type="dxa"/>
            <w:vAlign w:val="bottom"/>
          </w:tcPr>
          <w:p>
            <w:pPr>
              <w:spacing w:after="0"/>
              <w:rPr>
                <w:sz w:val="1"/>
                <w:szCs w:val="1"/>
                <w:color w:val="auto"/>
              </w:rPr>
            </w:pPr>
          </w:p>
        </w:tc>
      </w:tr>
      <w:tr>
        <w:trPr>
          <w:trHeight w:val="175"/>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Results Data</w:t>
            </w: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11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3"/>
        </w:trPr>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3"/>
                <w:szCs w:val="13"/>
                <w:color w:val="auto"/>
              </w:rPr>
              <w:t>(in R thousands)</w:t>
            </w:r>
          </w:p>
        </w:tc>
        <w:tc>
          <w:tcPr>
            <w:tcW w:w="7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996,787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1,040,213</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1,080,143</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1,088,368</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1,081,825</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1,106,721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1,159,390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1,219,523</w:t>
            </w:r>
          </w:p>
        </w:tc>
        <w:tc>
          <w:tcPr>
            <w:tcW w:w="0" w:type="dxa"/>
            <w:vAlign w:val="bottom"/>
          </w:tcPr>
          <w:p>
            <w:pPr>
              <w:spacing w:after="0"/>
              <w:rPr>
                <w:sz w:val="1"/>
                <w:szCs w:val="1"/>
                <w:color w:val="auto"/>
              </w:rPr>
            </w:pPr>
          </w:p>
        </w:tc>
      </w:tr>
      <w:tr>
        <w:trPr>
          <w:trHeight w:val="150"/>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Subscription</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revenue</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836,397</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860,331</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903,915</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935,162</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963,768</w:t>
            </w:r>
          </w:p>
        </w:tc>
        <w:tc>
          <w:tcPr>
            <w:tcW w:w="2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985,985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1,031,942</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1,086,482</w:t>
            </w:r>
          </w:p>
        </w:tc>
        <w:tc>
          <w:tcPr>
            <w:tcW w:w="0" w:type="dxa"/>
            <w:vAlign w:val="bottom"/>
          </w:tcPr>
          <w:p>
            <w:pPr>
              <w:spacing w:after="0"/>
              <w:rPr>
                <w:sz w:val="1"/>
                <w:szCs w:val="1"/>
                <w:color w:val="auto"/>
              </w:rPr>
            </w:pPr>
          </w:p>
        </w:tc>
      </w:tr>
      <w:tr>
        <w:trPr>
          <w:trHeight w:val="153"/>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Hardware and</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installation</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revenue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16,527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21,914</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15,731</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18,264</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16,203</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15,253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16,859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18,213</w:t>
            </w:r>
          </w:p>
        </w:tc>
        <w:tc>
          <w:tcPr>
            <w:tcW w:w="0" w:type="dxa"/>
            <w:vAlign w:val="bottom"/>
          </w:tcPr>
          <w:p>
            <w:pPr>
              <w:spacing w:after="0"/>
              <w:rPr>
                <w:sz w:val="1"/>
                <w:szCs w:val="1"/>
                <w:color w:val="auto"/>
              </w:rPr>
            </w:pPr>
          </w:p>
        </w:tc>
      </w:tr>
      <w:tr>
        <w:trPr>
          <w:trHeight w:val="161"/>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revenue</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2,670</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4,029</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8,864</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w:t>
            </w:r>
          </w:p>
        </w:tc>
        <w:tc>
          <w:tcPr>
            <w:tcW w:w="2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7,103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5,044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7,774</w:t>
            </w:r>
          </w:p>
        </w:tc>
        <w:tc>
          <w:tcPr>
            <w:tcW w:w="0" w:type="dxa"/>
            <w:vAlign w:val="bottom"/>
          </w:tcPr>
          <w:p>
            <w:pPr>
              <w:spacing w:after="0"/>
              <w:rPr>
                <w:sz w:val="1"/>
                <w:szCs w:val="1"/>
                <w:color w:val="auto"/>
              </w:rPr>
            </w:pPr>
          </w:p>
        </w:tc>
      </w:tr>
      <w:tr>
        <w:trPr>
          <w:trHeight w:val="161"/>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Carzuka</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81,563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84,673</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70,463</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38,088</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Karooooo</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Logistics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59,630</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69,266</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87,154</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87,990</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96,586</w:t>
            </w:r>
          </w:p>
        </w:tc>
        <w:tc>
          <w:tcPr>
            <w:tcW w:w="2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98,380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105,545</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107,054</w:t>
            </w:r>
          </w:p>
        </w:tc>
        <w:tc>
          <w:tcPr>
            <w:tcW w:w="0" w:type="dxa"/>
            <w:vAlign w:val="bottom"/>
          </w:tcPr>
          <w:p>
            <w:pPr>
              <w:spacing w:after="0"/>
              <w:rPr>
                <w:sz w:val="1"/>
                <w:szCs w:val="1"/>
                <w:color w:val="auto"/>
              </w:rPr>
            </w:pPr>
          </w:p>
        </w:tc>
      </w:tr>
      <w:tr>
        <w:trPr>
          <w:trHeight w:val="192"/>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(370,248)</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(379,676)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(392,832)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(371,918)</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(334,416)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(328,053)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(351,359)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(350,579)</w:t>
            </w:r>
          </w:p>
        </w:tc>
        <w:tc>
          <w:tcPr>
            <w:tcW w:w="0" w:type="dxa"/>
            <w:vAlign w:val="bottom"/>
          </w:tcPr>
          <w:p>
            <w:pPr>
              <w:spacing w:after="0"/>
              <w:rPr>
                <w:sz w:val="1"/>
                <w:szCs w:val="1"/>
                <w:color w:val="auto"/>
              </w:rPr>
            </w:pPr>
          </w:p>
        </w:tc>
      </w:tr>
      <w:tr>
        <w:trPr>
          <w:trHeight w:val="145"/>
        </w:trPr>
        <w:tc>
          <w:tcPr>
            <w:tcW w:w="1220" w:type="dxa"/>
            <w:vAlign w:val="bottom"/>
            <w:tcBorders>
              <w:top w:val="single" w:sz="8" w:color="CCEEFF"/>
            </w:tcBorders>
            <w:gridSpan w:val="2"/>
          </w:tcPr>
          <w:p>
            <w:pPr>
              <w:spacing w:after="0" w:line="145" w:lineRule="exact"/>
              <w:rPr>
                <w:sz w:val="20"/>
                <w:szCs w:val="20"/>
                <w:color w:val="auto"/>
              </w:rPr>
            </w:pPr>
            <w:r>
              <w:rPr>
                <w:rFonts w:ascii="Times New Roman" w:cs="Times New Roman" w:eastAsia="Times New Roman" w:hAnsi="Times New Roman"/>
                <w:sz w:val="13"/>
                <w:szCs w:val="13"/>
                <w:color w:val="auto"/>
              </w:rPr>
              <w:t>Gross profit</w:t>
            </w:r>
          </w:p>
        </w:tc>
        <w:tc>
          <w:tcPr>
            <w:tcW w:w="10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626,539</w:t>
            </w:r>
          </w:p>
        </w:tc>
        <w:tc>
          <w:tcPr>
            <w:tcW w:w="22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660,537</w:t>
            </w: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687,311</w:t>
            </w:r>
          </w:p>
        </w:tc>
        <w:tc>
          <w:tcPr>
            <w:tcW w:w="22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716,450</w:t>
            </w: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747,409</w:t>
            </w: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778,668</w:t>
            </w: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808,031</w:t>
            </w:r>
          </w:p>
        </w:tc>
        <w:tc>
          <w:tcPr>
            <w:tcW w:w="20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868,944</w:t>
            </w:r>
          </w:p>
        </w:tc>
        <w:tc>
          <w:tcPr>
            <w:tcW w:w="0" w:type="dxa"/>
            <w:vAlign w:val="bottom"/>
          </w:tcPr>
          <w:p>
            <w:pPr>
              <w:spacing w:after="0"/>
              <w:rPr>
                <w:sz w:val="1"/>
                <w:szCs w:val="1"/>
                <w:color w:val="auto"/>
              </w:rPr>
            </w:pPr>
          </w:p>
        </w:tc>
      </w:tr>
      <w:tr>
        <w:trPr>
          <w:trHeight w:val="161"/>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3,027</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4,284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3,408</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(404,493)</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(418,290)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(414,142)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(423,243)</w:t>
            </w:r>
          </w:p>
        </w:tc>
        <w:tc>
          <w:tcPr>
            <w:tcW w:w="3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(449,344)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(480,754)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(486,264)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(484,726)</w:t>
            </w:r>
          </w:p>
        </w:tc>
        <w:tc>
          <w:tcPr>
            <w:tcW w:w="0" w:type="dxa"/>
            <w:vAlign w:val="bottom"/>
          </w:tcPr>
          <w:p>
            <w:pPr>
              <w:spacing w:after="0"/>
              <w:rPr>
                <w:sz w:val="1"/>
                <w:szCs w:val="1"/>
                <w:color w:val="auto"/>
              </w:rPr>
            </w:pPr>
          </w:p>
        </w:tc>
      </w:tr>
      <w:tr>
        <w:trPr>
          <w:trHeight w:val="150"/>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 and</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marketing</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(124,705)</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(127,890)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(124,978)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(123,330)</w:t>
            </w:r>
          </w:p>
        </w:tc>
        <w:tc>
          <w:tcPr>
            <w:tcW w:w="3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(140,248)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(156,898)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(156,981)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(160,638)</w:t>
            </w:r>
          </w:p>
        </w:tc>
        <w:tc>
          <w:tcPr>
            <w:tcW w:w="0" w:type="dxa"/>
            <w:vAlign w:val="bottom"/>
          </w:tcPr>
          <w:p>
            <w:pPr>
              <w:spacing w:after="0"/>
              <w:rPr>
                <w:sz w:val="1"/>
                <w:szCs w:val="1"/>
                <w:color w:val="auto"/>
              </w:rPr>
            </w:pPr>
          </w:p>
        </w:tc>
      </w:tr>
      <w:tr>
        <w:trPr>
          <w:trHeight w:val="150"/>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General and</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administration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(198,263)</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(208,759)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(207,753)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(222,833)</w:t>
            </w:r>
          </w:p>
        </w:tc>
        <w:tc>
          <w:tcPr>
            <w:tcW w:w="3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(221,494)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(239,418)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(249,508)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(234,413)</w:t>
            </w:r>
          </w:p>
        </w:tc>
        <w:tc>
          <w:tcPr>
            <w:tcW w:w="0" w:type="dxa"/>
            <w:vAlign w:val="bottom"/>
          </w:tcPr>
          <w:p>
            <w:pPr>
              <w:spacing w:after="0"/>
              <w:rPr>
                <w:sz w:val="1"/>
                <w:szCs w:val="1"/>
                <w:color w:val="auto"/>
              </w:rPr>
            </w:pPr>
          </w:p>
        </w:tc>
      </w:tr>
      <w:tr>
        <w:trPr>
          <w:trHeight w:val="153"/>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Research and</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development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(49,651)</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(56,035)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(53,657)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(52,892)</w:t>
            </w:r>
          </w:p>
        </w:tc>
        <w:tc>
          <w:tcPr>
            <w:tcW w:w="3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(57,609)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(54,109)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(57,447)</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(57,770)</w:t>
            </w:r>
          </w:p>
        </w:tc>
        <w:tc>
          <w:tcPr>
            <w:tcW w:w="0" w:type="dxa"/>
            <w:vAlign w:val="bottom"/>
          </w:tcPr>
          <w:p>
            <w:pPr>
              <w:spacing w:after="0"/>
              <w:rPr>
                <w:sz w:val="1"/>
                <w:szCs w:val="1"/>
                <w:color w:val="auto"/>
              </w:rPr>
            </w:pPr>
          </w:p>
        </w:tc>
      </w:tr>
      <w:tr>
        <w:trPr>
          <w:trHeight w:val="150"/>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Expected credit</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losses on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financial assets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(31,874)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(25,606)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(27,754)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(24,188)</w:t>
            </w:r>
          </w:p>
        </w:tc>
        <w:tc>
          <w:tcPr>
            <w:tcW w:w="3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(29,993)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(30,329)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(22,328)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(31,905)</w:t>
            </w:r>
          </w:p>
        </w:tc>
        <w:tc>
          <w:tcPr>
            <w:tcW w:w="0" w:type="dxa"/>
            <w:vAlign w:val="bottom"/>
          </w:tcPr>
          <w:p>
            <w:pPr>
              <w:spacing w:after="0"/>
              <w:rPr>
                <w:sz w:val="1"/>
                <w:szCs w:val="1"/>
                <w:color w:val="auto"/>
              </w:rPr>
            </w:pPr>
          </w:p>
        </w:tc>
      </w:tr>
      <w:tr>
        <w:trPr>
          <w:trHeight w:val="161"/>
        </w:trPr>
        <w:tc>
          <w:tcPr>
            <w:tcW w:w="1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profit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224,374</w:t>
            </w: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247,186</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274,706</w:t>
            </w: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296,234</w:t>
            </w: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299,747</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302,198</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325,175</w:t>
            </w: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385,213</w:t>
            </w:r>
          </w:p>
        </w:tc>
        <w:tc>
          <w:tcPr>
            <w:tcW w:w="0" w:type="dxa"/>
            <w:vAlign w:val="bottom"/>
          </w:tcPr>
          <w:p>
            <w:pPr>
              <w:spacing w:after="0"/>
              <w:rPr>
                <w:sz w:val="1"/>
                <w:szCs w:val="1"/>
                <w:color w:val="auto"/>
              </w:rPr>
            </w:pPr>
          </w:p>
        </w:tc>
      </w:t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10,878</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9,287</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8,203</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11,050</w:t>
            </w:r>
          </w:p>
        </w:tc>
        <w:tc>
          <w:tcPr>
            <w:tcW w:w="3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11,213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13,708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8,824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10,422</w:t>
            </w:r>
          </w:p>
        </w:tc>
        <w:tc>
          <w:tcPr>
            <w:tcW w:w="0" w:type="dxa"/>
            <w:vAlign w:val="bottom"/>
          </w:tcPr>
          <w:p>
            <w:pPr>
              <w:spacing w:after="0"/>
              <w:rPr>
                <w:sz w:val="1"/>
                <w:szCs w:val="1"/>
                <w:color w:val="auto"/>
              </w:rPr>
            </w:pPr>
          </w:p>
        </w:tc>
      </w:tr>
      <w:tr>
        <w:trPr>
          <w:trHeight w:val="161"/>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costs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(2,174)</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(2,982)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(4,250)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(6,416)</w:t>
            </w:r>
          </w:p>
        </w:tc>
        <w:tc>
          <w:tcPr>
            <w:tcW w:w="3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(5,634)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(11,826)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(16,784)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(16,622)</w:t>
            </w:r>
          </w:p>
        </w:tc>
        <w:tc>
          <w:tcPr>
            <w:tcW w:w="0" w:type="dxa"/>
            <w:vAlign w:val="bottom"/>
          </w:tcPr>
          <w:p>
            <w:pPr>
              <w:spacing w:after="0"/>
              <w:rPr>
                <w:sz w:val="1"/>
                <w:szCs w:val="1"/>
                <w:color w:val="auto"/>
              </w:rPr>
            </w:pPr>
          </w:p>
        </w:tc>
      </w:tr>
      <w:tr>
        <w:trPr>
          <w:trHeight w:val="150"/>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changes to</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derivative assets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(388)</w:t>
            </w:r>
          </w:p>
        </w:tc>
        <w:tc>
          <w:tcPr>
            <w:tcW w:w="3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(43,600)</w:t>
            </w:r>
          </w:p>
        </w:tc>
        <w:tc>
          <w:tcPr>
            <w:tcW w:w="0" w:type="dxa"/>
            <w:vAlign w:val="bottom"/>
          </w:tcPr>
          <w:p>
            <w:pPr>
              <w:spacing w:after="0"/>
              <w:rPr>
                <w:sz w:val="1"/>
                <w:szCs w:val="1"/>
                <w:color w:val="auto"/>
              </w:rPr>
            </w:pPr>
          </w:p>
        </w:tc>
      </w:tr>
      <w:tr>
        <w:trPr>
          <w:trHeight w:val="173"/>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Offering costs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(15,470)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407</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38"/>
        </w:trPr>
        <w:tc>
          <w:tcPr>
            <w:tcW w:w="1220" w:type="dxa"/>
            <w:vAlign w:val="bottom"/>
            <w:tcBorders>
              <w:top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Profit before</w:t>
            </w:r>
          </w:p>
        </w:tc>
        <w:tc>
          <w:tcPr>
            <w:tcW w:w="10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taxation</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233,078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253,491</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278,659</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300,480</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305,326</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288,610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317,622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335,363</w:t>
            </w:r>
          </w:p>
        </w:tc>
        <w:tc>
          <w:tcPr>
            <w:tcW w:w="0" w:type="dxa"/>
            <w:vAlign w:val="bottom"/>
          </w:tcPr>
          <w:p>
            <w:pPr>
              <w:spacing w:after="0"/>
              <w:rPr>
                <w:sz w:val="1"/>
                <w:szCs w:val="1"/>
                <w:color w:val="auto"/>
              </w:rPr>
            </w:pPr>
          </w:p>
        </w:tc>
      </w:tr>
      <w:tr>
        <w:trPr>
          <w:trHeight w:val="169"/>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(71,131)</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(75,277)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(79,327)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(85,819)</w:t>
            </w:r>
          </w:p>
        </w:tc>
        <w:tc>
          <w:tcPr>
            <w:tcW w:w="3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(80,043)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(72,844)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(76,897)</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(80,027)</w:t>
            </w:r>
          </w:p>
        </w:tc>
        <w:tc>
          <w:tcPr>
            <w:tcW w:w="0" w:type="dxa"/>
            <w:vAlign w:val="bottom"/>
          </w:tcPr>
          <w:p>
            <w:pPr>
              <w:spacing w:after="0"/>
              <w:rPr>
                <w:sz w:val="1"/>
                <w:szCs w:val="1"/>
                <w:color w:val="auto"/>
              </w:rPr>
            </w:pPr>
          </w:p>
        </w:tc>
      </w:tr>
      <w:tr>
        <w:trPr>
          <w:trHeight w:val="24"/>
        </w:trPr>
        <w:tc>
          <w:tcPr>
            <w:tcW w:w="1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Profit for the year</w:t>
            </w: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gridSpan w:val="2"/>
            <w:vMerge w:val="continue"/>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161,947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178,214</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199,332</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214,661</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225,283</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215,766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240,725</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255,336</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Profit attributable</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Owners of the parent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157,481</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173,678</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196,338</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210,692</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221,584</w:t>
            </w:r>
          </w:p>
        </w:tc>
        <w:tc>
          <w:tcPr>
            <w:tcW w:w="2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211,543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237,264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250,640</w:t>
            </w:r>
          </w:p>
        </w:tc>
        <w:tc>
          <w:tcPr>
            <w:tcW w:w="0" w:type="dxa"/>
            <w:vAlign w:val="bottom"/>
          </w:tcPr>
          <w:p>
            <w:pPr>
              <w:spacing w:after="0"/>
              <w:rPr>
                <w:sz w:val="1"/>
                <w:szCs w:val="1"/>
                <w:color w:val="auto"/>
              </w:rPr>
            </w:pPr>
          </w:p>
        </w:tc>
      </w:tr>
      <w:tr>
        <w:trPr>
          <w:trHeight w:val="150"/>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4,466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3,969</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3,461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4,696</w:t>
            </w:r>
          </w:p>
        </w:tc>
        <w:tc>
          <w:tcPr>
            <w:tcW w:w="0" w:type="dxa"/>
            <w:vAlign w:val="bottom"/>
          </w:tcPr>
          <w:p>
            <w:pPr>
              <w:spacing w:after="0"/>
              <w:rPr>
                <w:sz w:val="1"/>
                <w:szCs w:val="1"/>
                <w:color w:val="auto"/>
              </w:rPr>
            </w:pPr>
          </w:p>
        </w:tc>
      </w:tr>
      <w:tr>
        <w:trPr>
          <w:trHeight w:val="24"/>
        </w:trPr>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161,947</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178,214</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199,332</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214,661</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225,283</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215,766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240,725</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255,336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9" w:name="page80"/>
    <w:bookmarkEnd w:id="79"/>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E.</w:t>
        <w:tab/>
        <w:t>CRITICAL ACCOUNTING ESTIMATES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conformity with IFRS. The preparation of our consolidated financial statements and related disclosures requires us to make estimates, assumptions and judgments that affect the reported amounts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Useful Life of Capitalized Telematics Devices, Capitalized Commission Assets and Revenue Recognition from Deferred Revenue</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complete a detailed assessment annually on the expected life cycle of subscriber contracts across the Group. The continued growth in our customer base over the past few years has provided a more comprehensive database of information and more certainty to support the assessment of the average useful life of subscriber contracts with customers. On the basis of such information, the average useful life of a subscriber contract was over 60 months as at financial year ended February 28, 2025. Contracts that terminate prior to the end of useful life result in accelerated depreciation of the underlying capitalized telematics devices and capitalized commission assets being recognized immediately.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test goodwill for impairment on an annual basis. The recoverable amounts of cash-generating units have been determined based on the higher of value-in-use calculations and fair value less costs of disposal. The value-in-use calculations are performed internally by the Group and require the use of various estimates and assumptions regarding discount rates and the future financial performance of the cash-generating units. The fair value costs of disposal are performed by an external valuer using the market approach, by applying price-to-value metrics observed in comparable companies to the Cash Generating Unit (“CGU”).</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expected credit losses (“ECLs”) of trade receivables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apply a simplified approach in calculating ECLs. Therefore, we do not track changes in credit risk, but instead recognizes a loss allowance based on lifetime ECLs at each reporting date. We determine expected credit losses of trade receivables by making debtor-specific assessment of expected impairment loss for long overdue trade receivables and using a provision matrix for remaining trade receivables that is based on its historical credit loss experience, adjusted for forward-looking factors specific to the debtors and the economic environment. At every reporting date, historical default rates are updated and changes in the forward-looking estimates are analyzed.</w:t>
      </w:r>
    </w:p>
    <w:p>
      <w:pPr>
        <w:spacing w:after="0" w:line="14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assessment of the correlation between historical observed default rates, forecast economic conditions and ECLs is a significant estimate. The amount of ECLs is sensitive to changes in circumstances and of forecast economic conditions. The historical credit loss experience and forecast of economic conditions may also not be representative of customer’s actual default in the future.</w:t>
      </w:r>
    </w:p>
    <w:p>
      <w:pPr>
        <w:spacing w:after="0" w:line="3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Please refer to Note 2.1 to the accompanying consolidated financial statements included elsewhere in this annual report for information about the critical accounting policies, as well as Note 2.2 for a description of our other significant accounting policies.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Item 6. DIRECTORS, SENIOR MANAGEMENT AND EMPLOYEES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 DIRECTORS AND SENIOR MANAGEMENT</w:t>
            </w: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344"/>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4"/>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the current members of our board of directors.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6"/>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Age</w:t>
            </w:r>
          </w:p>
        </w:tc>
        <w:tc>
          <w:tcPr>
            <w:tcW w:w="37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2"/>
        </w:trPr>
        <w:tc>
          <w:tcPr>
            <w:tcW w:w="508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Isaias (Zak) Jose Calisto</w:t>
            </w:r>
          </w:p>
        </w:tc>
        <w:tc>
          <w:tcPr>
            <w:tcW w:w="240" w:type="dxa"/>
            <w:vAlign w:val="bottom"/>
            <w:tcBorders>
              <w:top w:val="single" w:sz="8" w:color="CCEDFF"/>
            </w:tcBorders>
            <w:shd w:val="clear" w:color="auto" w:fill="CCEDFF"/>
          </w:tcPr>
          <w:p>
            <w:pPr>
              <w:spacing w:after="0"/>
              <w:rPr>
                <w:sz w:val="14"/>
                <w:szCs w:val="14"/>
                <w:color w:val="auto"/>
              </w:rPr>
            </w:pPr>
          </w:p>
        </w:tc>
        <w:tc>
          <w:tcPr>
            <w:tcW w:w="620" w:type="dxa"/>
            <w:vAlign w:val="bottom"/>
            <w:tcBorders>
              <w:top w:val="single" w:sz="8" w:color="auto"/>
            </w:tcBorders>
            <w:shd w:val="clear" w:color="auto" w:fill="CCEDFF"/>
          </w:tcPr>
          <w:p>
            <w:pPr>
              <w:spacing w:after="0"/>
              <w:rPr>
                <w:sz w:val="14"/>
                <w:szCs w:val="14"/>
                <w:color w:val="auto"/>
              </w:rPr>
            </w:pPr>
          </w:p>
        </w:tc>
        <w:tc>
          <w:tcPr>
            <w:tcW w:w="1400" w:type="dxa"/>
            <w:vAlign w:val="bottom"/>
            <w:tcBorders>
              <w:top w:val="single" w:sz="8" w:color="auto"/>
            </w:tcBorders>
            <w:shd w:val="clear" w:color="auto" w:fill="CCEDFF"/>
          </w:tcPr>
          <w:p>
            <w:pPr>
              <w:jc w:val="center"/>
              <w:ind w:right="548"/>
              <w:spacing w:after="0"/>
              <w:rPr>
                <w:sz w:val="20"/>
                <w:szCs w:val="20"/>
                <w:color w:val="auto"/>
              </w:rPr>
            </w:pPr>
            <w:r>
              <w:rPr>
                <w:rFonts w:ascii="Times New Roman" w:cs="Times New Roman" w:eastAsia="Times New Roman" w:hAnsi="Times New Roman"/>
                <w:sz w:val="14"/>
                <w:szCs w:val="14"/>
                <w:color w:val="auto"/>
                <w:w w:val="99"/>
              </w:rPr>
              <w:t>58</w:t>
            </w:r>
          </w:p>
        </w:tc>
        <w:tc>
          <w:tcPr>
            <w:tcW w:w="220" w:type="dxa"/>
            <w:vAlign w:val="bottom"/>
            <w:tcBorders>
              <w:top w:val="single" w:sz="8" w:color="CCEDFF"/>
            </w:tcBorders>
            <w:shd w:val="clear" w:color="auto" w:fill="CCEDFF"/>
          </w:tcPr>
          <w:p>
            <w:pPr>
              <w:spacing w:after="0"/>
              <w:rPr>
                <w:sz w:val="14"/>
                <w:szCs w:val="14"/>
                <w:color w:val="auto"/>
              </w:rPr>
            </w:pPr>
          </w:p>
        </w:tc>
        <w:tc>
          <w:tcPr>
            <w:tcW w:w="372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Executive Officer and Executive Chairman</w:t>
            </w:r>
          </w:p>
        </w:tc>
      </w:tr>
      <w:tr>
        <w:trPr>
          <w:trHeight w:val="172"/>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Hoe Shin Goy</w:t>
            </w:r>
          </w:p>
        </w:tc>
        <w:tc>
          <w:tcPr>
            <w:tcW w:w="140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w w:val="99"/>
              </w:rPr>
              <w:t>45</w:t>
            </w:r>
          </w:p>
        </w:tc>
        <w:tc>
          <w:tcPr>
            <w:tcW w:w="2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w:t>
            </w:r>
          </w:p>
        </w:tc>
      </w:tr>
      <w:tr>
        <w:trPr>
          <w:trHeight w:val="172"/>
        </w:trPr>
        <w:tc>
          <w:tcPr>
            <w:tcW w:w="5940" w:type="dxa"/>
            <w:vAlign w:val="bottom"/>
            <w:gridSpan w:val="3"/>
            <w:shd w:val="clear" w:color="auto" w:fill="CCEDFF"/>
          </w:tcPr>
          <w:p>
            <w:pPr>
              <w:spacing w:after="0"/>
              <w:rPr>
                <w:sz w:val="20"/>
                <w:szCs w:val="20"/>
                <w:color w:val="auto"/>
              </w:rPr>
            </w:pPr>
            <w:r>
              <w:rPr>
                <w:rFonts w:ascii="Times New Roman" w:cs="Times New Roman" w:eastAsia="Times New Roman" w:hAnsi="Times New Roman"/>
                <w:sz w:val="14"/>
                <w:szCs w:val="14"/>
                <w:color w:val="auto"/>
              </w:rPr>
              <w:t>Siew Koon Lim</w:t>
            </w:r>
          </w:p>
        </w:tc>
        <w:tc>
          <w:tcPr>
            <w:tcW w:w="1400" w:type="dxa"/>
            <w:vAlign w:val="bottom"/>
            <w:shd w:val="clear" w:color="auto" w:fill="CCEDFF"/>
          </w:tcPr>
          <w:p>
            <w:pPr>
              <w:jc w:val="center"/>
              <w:ind w:right="548"/>
              <w:spacing w:after="0"/>
              <w:rPr>
                <w:sz w:val="20"/>
                <w:szCs w:val="20"/>
                <w:color w:val="auto"/>
              </w:rPr>
            </w:pPr>
            <w:r>
              <w:rPr>
                <w:rFonts w:ascii="Times New Roman" w:cs="Times New Roman" w:eastAsia="Times New Roman" w:hAnsi="Times New Roman"/>
                <w:sz w:val="14"/>
                <w:szCs w:val="14"/>
                <w:color w:val="auto"/>
                <w:w w:val="99"/>
              </w:rPr>
              <w:t>66</w:t>
            </w:r>
          </w:p>
        </w:tc>
        <w:tc>
          <w:tcPr>
            <w:tcW w:w="220" w:type="dxa"/>
            <w:vAlign w:val="bottom"/>
            <w:shd w:val="clear" w:color="auto" w:fill="CCEDFF"/>
          </w:tcPr>
          <w:p>
            <w:pPr>
              <w:spacing w:after="0"/>
              <w:rPr>
                <w:sz w:val="14"/>
                <w:szCs w:val="14"/>
                <w:color w:val="auto"/>
              </w:rPr>
            </w:pPr>
          </w:p>
        </w:tc>
        <w:tc>
          <w:tcPr>
            <w:tcW w:w="372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Lead Independent Director</w:t>
            </w:r>
          </w:p>
        </w:tc>
      </w:tr>
      <w:tr>
        <w:trPr>
          <w:trHeight w:val="172"/>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Andrew Leong</w:t>
            </w:r>
          </w:p>
        </w:tc>
        <w:tc>
          <w:tcPr>
            <w:tcW w:w="140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w w:val="99"/>
              </w:rPr>
              <w:t>50</w:t>
            </w:r>
          </w:p>
        </w:tc>
        <w:tc>
          <w:tcPr>
            <w:tcW w:w="2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172"/>
        </w:trPr>
        <w:tc>
          <w:tcPr>
            <w:tcW w:w="5940" w:type="dxa"/>
            <w:vAlign w:val="bottom"/>
            <w:gridSpan w:val="3"/>
            <w:shd w:val="clear" w:color="auto" w:fill="CCEDFF"/>
          </w:tcPr>
          <w:p>
            <w:pPr>
              <w:spacing w:after="0"/>
              <w:rPr>
                <w:sz w:val="20"/>
                <w:szCs w:val="20"/>
                <w:color w:val="auto"/>
              </w:rPr>
            </w:pPr>
            <w:r>
              <w:rPr>
                <w:rFonts w:ascii="Times New Roman" w:cs="Times New Roman" w:eastAsia="Times New Roman" w:hAnsi="Times New Roman"/>
                <w:sz w:val="14"/>
                <w:szCs w:val="14"/>
                <w:color w:val="auto"/>
              </w:rPr>
              <w:t>Kim White</w:t>
            </w:r>
          </w:p>
        </w:tc>
        <w:tc>
          <w:tcPr>
            <w:tcW w:w="1400" w:type="dxa"/>
            <w:vAlign w:val="bottom"/>
            <w:shd w:val="clear" w:color="auto" w:fill="CCEDFF"/>
          </w:tcPr>
          <w:p>
            <w:pPr>
              <w:jc w:val="center"/>
              <w:ind w:right="548"/>
              <w:spacing w:after="0"/>
              <w:rPr>
                <w:sz w:val="20"/>
                <w:szCs w:val="20"/>
                <w:color w:val="auto"/>
              </w:rPr>
            </w:pPr>
            <w:r>
              <w:rPr>
                <w:rFonts w:ascii="Times New Roman" w:cs="Times New Roman" w:eastAsia="Times New Roman" w:hAnsi="Times New Roman"/>
                <w:sz w:val="14"/>
                <w:szCs w:val="14"/>
                <w:color w:val="auto"/>
                <w:w w:val="99"/>
              </w:rPr>
              <w:t>49</w:t>
            </w:r>
          </w:p>
        </w:tc>
        <w:tc>
          <w:tcPr>
            <w:tcW w:w="220" w:type="dxa"/>
            <w:vAlign w:val="bottom"/>
            <w:shd w:val="clear" w:color="auto" w:fill="CCEDFF"/>
          </w:tcPr>
          <w:p>
            <w:pPr>
              <w:spacing w:after="0"/>
              <w:rPr>
                <w:sz w:val="14"/>
                <w:szCs w:val="14"/>
                <w:color w:val="auto"/>
              </w:rPr>
            </w:pPr>
          </w:p>
        </w:tc>
        <w:tc>
          <w:tcPr>
            <w:tcW w:w="372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343"/>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4"/>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sets forth information regarding individuals who serve as executive officers.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6"/>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Age</w:t>
            </w:r>
          </w:p>
        </w:tc>
        <w:tc>
          <w:tcPr>
            <w:tcW w:w="37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2"/>
        </w:trPr>
        <w:tc>
          <w:tcPr>
            <w:tcW w:w="508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Isaias (Zak) Jose Calisto</w:t>
            </w:r>
          </w:p>
        </w:tc>
        <w:tc>
          <w:tcPr>
            <w:tcW w:w="240" w:type="dxa"/>
            <w:vAlign w:val="bottom"/>
            <w:tcBorders>
              <w:top w:val="single" w:sz="8" w:color="CCEDFF"/>
            </w:tcBorders>
            <w:shd w:val="clear" w:color="auto" w:fill="CCEDFF"/>
          </w:tcPr>
          <w:p>
            <w:pPr>
              <w:spacing w:after="0"/>
              <w:rPr>
                <w:sz w:val="14"/>
                <w:szCs w:val="14"/>
                <w:color w:val="auto"/>
              </w:rPr>
            </w:pPr>
          </w:p>
        </w:tc>
        <w:tc>
          <w:tcPr>
            <w:tcW w:w="620" w:type="dxa"/>
            <w:vAlign w:val="bottom"/>
            <w:tcBorders>
              <w:top w:val="single" w:sz="8" w:color="auto"/>
            </w:tcBorders>
            <w:shd w:val="clear" w:color="auto" w:fill="CCEDFF"/>
          </w:tcPr>
          <w:p>
            <w:pPr>
              <w:spacing w:after="0"/>
              <w:rPr>
                <w:sz w:val="14"/>
                <w:szCs w:val="14"/>
                <w:color w:val="auto"/>
              </w:rPr>
            </w:pPr>
          </w:p>
        </w:tc>
        <w:tc>
          <w:tcPr>
            <w:tcW w:w="1400" w:type="dxa"/>
            <w:vAlign w:val="bottom"/>
            <w:tcBorders>
              <w:top w:val="single" w:sz="8" w:color="auto"/>
            </w:tcBorders>
            <w:shd w:val="clear" w:color="auto" w:fill="CCEDFF"/>
          </w:tcPr>
          <w:p>
            <w:pPr>
              <w:jc w:val="center"/>
              <w:ind w:right="548"/>
              <w:spacing w:after="0"/>
              <w:rPr>
                <w:sz w:val="20"/>
                <w:szCs w:val="20"/>
                <w:color w:val="auto"/>
              </w:rPr>
            </w:pPr>
            <w:r>
              <w:rPr>
                <w:rFonts w:ascii="Times New Roman" w:cs="Times New Roman" w:eastAsia="Times New Roman" w:hAnsi="Times New Roman"/>
                <w:sz w:val="14"/>
                <w:szCs w:val="14"/>
                <w:color w:val="auto"/>
                <w:w w:val="99"/>
              </w:rPr>
              <w:t>58</w:t>
            </w:r>
          </w:p>
        </w:tc>
        <w:tc>
          <w:tcPr>
            <w:tcW w:w="220" w:type="dxa"/>
            <w:vAlign w:val="bottom"/>
            <w:tcBorders>
              <w:top w:val="single" w:sz="8" w:color="CCEDFF"/>
            </w:tcBorders>
            <w:shd w:val="clear" w:color="auto" w:fill="CCEDFF"/>
          </w:tcPr>
          <w:p>
            <w:pPr>
              <w:spacing w:after="0"/>
              <w:rPr>
                <w:sz w:val="14"/>
                <w:szCs w:val="14"/>
                <w:color w:val="auto"/>
              </w:rPr>
            </w:pPr>
          </w:p>
        </w:tc>
        <w:tc>
          <w:tcPr>
            <w:tcW w:w="372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72"/>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Hoe Shin Goy</w:t>
            </w:r>
          </w:p>
        </w:tc>
        <w:tc>
          <w:tcPr>
            <w:tcW w:w="140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w w:val="99"/>
              </w:rPr>
              <w:t>45</w:t>
            </w:r>
          </w:p>
        </w:tc>
        <w:tc>
          <w:tcPr>
            <w:tcW w:w="2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4"/>
        </w:trPr>
        <w:tc>
          <w:tcPr>
            <w:tcW w:w="5940" w:type="dxa"/>
            <w:vAlign w:val="bottom"/>
            <w:gridSpan w:val="3"/>
            <w:shd w:val="clear" w:color="auto" w:fill="CCEDFF"/>
          </w:tcPr>
          <w:p>
            <w:pPr>
              <w:spacing w:after="0" w:line="204" w:lineRule="exact"/>
              <w:rPr>
                <w:sz w:val="20"/>
                <w:szCs w:val="20"/>
                <w:color w:val="auto"/>
              </w:rPr>
            </w:pPr>
            <w:r>
              <w:rPr>
                <w:rFonts w:ascii="Times New Roman" w:cs="Times New Roman" w:eastAsia="Times New Roman" w:hAnsi="Times New Roman"/>
                <w:sz w:val="14"/>
                <w:szCs w:val="14"/>
                <w:color w:val="auto"/>
              </w:rPr>
              <w:t xml:space="preserve">Juan Marais </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DFF"/>
          </w:tcPr>
          <w:p>
            <w:pPr>
              <w:jc w:val="center"/>
              <w:ind w:right="548"/>
              <w:spacing w:after="0"/>
              <w:rPr>
                <w:sz w:val="20"/>
                <w:szCs w:val="20"/>
                <w:color w:val="auto"/>
              </w:rPr>
            </w:pPr>
            <w:r>
              <w:rPr>
                <w:rFonts w:ascii="Times New Roman" w:cs="Times New Roman" w:eastAsia="Times New Roman" w:hAnsi="Times New Roman"/>
                <w:sz w:val="14"/>
                <w:szCs w:val="14"/>
                <w:color w:val="auto"/>
                <w:w w:val="99"/>
              </w:rPr>
              <w:t>56</w:t>
            </w:r>
          </w:p>
        </w:tc>
        <w:tc>
          <w:tcPr>
            <w:tcW w:w="220" w:type="dxa"/>
            <w:vAlign w:val="bottom"/>
            <w:shd w:val="clear" w:color="auto" w:fill="CCEDFF"/>
          </w:tcPr>
          <w:p>
            <w:pPr>
              <w:spacing w:after="0"/>
              <w:rPr>
                <w:sz w:val="17"/>
                <w:szCs w:val="17"/>
                <w:color w:val="auto"/>
              </w:rPr>
            </w:pPr>
          </w:p>
        </w:tc>
        <w:tc>
          <w:tcPr>
            <w:tcW w:w="372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Chief Sales Officer</w:t>
            </w:r>
          </w:p>
        </w:tc>
      </w:tr>
    </w:tbl>
    <w:p>
      <w:pPr>
        <w:spacing w:after="0" w:line="157" w:lineRule="exact"/>
        <w:rPr>
          <w:sz w:val="20"/>
          <w:szCs w:val="20"/>
          <w:color w:val="auto"/>
        </w:rPr>
      </w:pPr>
    </w:p>
    <w:p>
      <w:pPr>
        <w:ind w:left="260" w:hanging="254"/>
        <w:spacing w:after="0" w:line="292" w:lineRule="auto"/>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Marais is included above as executive officer by virtue of his shareholding in Karooooo. Mr. Marais is the beneficial owner of 3,250,793 shares through One Spire (Pty) Ltd., which corresponds to 10.5% of the outstanding shares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members of our current senior management team.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37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2"/>
        </w:trPr>
        <w:tc>
          <w:tcPr>
            <w:tcW w:w="508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Richard Schubert</w:t>
            </w:r>
          </w:p>
        </w:tc>
        <w:tc>
          <w:tcPr>
            <w:tcW w:w="240" w:type="dxa"/>
            <w:vAlign w:val="bottom"/>
            <w:tcBorders>
              <w:top w:val="single" w:sz="8" w:color="CCEDFF"/>
            </w:tcBorders>
            <w:shd w:val="clear" w:color="auto" w:fill="CCEDFF"/>
          </w:tcPr>
          <w:p>
            <w:pPr>
              <w:spacing w:after="0"/>
              <w:rPr>
                <w:sz w:val="14"/>
                <w:szCs w:val="14"/>
                <w:color w:val="auto"/>
              </w:rPr>
            </w:pPr>
          </w:p>
        </w:tc>
        <w:tc>
          <w:tcPr>
            <w:tcW w:w="202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220" w:type="dxa"/>
            <w:vAlign w:val="bottom"/>
            <w:tcBorders>
              <w:top w:val="single" w:sz="8" w:color="CCEDFF"/>
            </w:tcBorders>
            <w:shd w:val="clear" w:color="auto" w:fill="CCEDFF"/>
          </w:tcPr>
          <w:p>
            <w:pPr>
              <w:spacing w:after="0"/>
              <w:rPr>
                <w:sz w:val="14"/>
                <w:szCs w:val="14"/>
                <w:color w:val="auto"/>
              </w:rPr>
            </w:pPr>
          </w:p>
        </w:tc>
        <w:tc>
          <w:tcPr>
            <w:tcW w:w="372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72"/>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Carmen Calisto</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2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Chief Strategy and Marketing Officer</w:t>
            </w:r>
          </w:p>
        </w:tc>
      </w:tr>
      <w:tr>
        <w:trPr>
          <w:trHeight w:val="172"/>
        </w:trPr>
        <w:tc>
          <w:tcPr>
            <w:tcW w:w="5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4"/>
                <w:szCs w:val="14"/>
                <w:color w:val="auto"/>
              </w:rPr>
              <w:t>Pedro Ventura</w:t>
            </w:r>
          </w:p>
        </w:tc>
        <w:tc>
          <w:tcPr>
            <w:tcW w:w="20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220" w:type="dxa"/>
            <w:vAlign w:val="bottom"/>
            <w:shd w:val="clear" w:color="auto" w:fill="CCEDFF"/>
          </w:tcPr>
          <w:p>
            <w:pPr>
              <w:spacing w:after="0"/>
              <w:rPr>
                <w:sz w:val="14"/>
                <w:szCs w:val="14"/>
                <w:color w:val="auto"/>
              </w:rPr>
            </w:pPr>
          </w:p>
        </w:tc>
        <w:tc>
          <w:tcPr>
            <w:tcW w:w="372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517"/>
        </w:trPr>
        <w:tc>
          <w:tcPr>
            <w:tcW w:w="5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548"/>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4" w:right="319" w:bottom="1440" w:gutter="0" w:footer="0" w:header="0"/>
        </w:sectPr>
      </w:pPr>
    </w:p>
    <w:bookmarkStart w:id="81" w:name="page82"/>
    <w:bookmarkEnd w:id="81"/>
    <w:p>
      <w:pPr>
        <w:jc w:val="both"/>
        <w:spacing w:after="0" w:line="292" w:lineRule="auto"/>
        <w:rPr>
          <w:sz w:val="20"/>
          <w:szCs w:val="20"/>
          <w:color w:val="auto"/>
        </w:rPr>
      </w:pPr>
      <w:r>
        <w:rPr>
          <w:rFonts w:ascii="Times New Roman" w:cs="Times New Roman" w:eastAsia="Times New Roman" w:hAnsi="Times New Roman"/>
          <w:sz w:val="14"/>
          <w:szCs w:val="14"/>
          <w:color w:val="auto"/>
        </w:rPr>
        <w:t>The following sets forth certain biographical information with respect to our directors, executive officers and senior management. Unless otherwise stated, the business address for our directors, executive officers and senior management is 17 Kallang Junction #06-05/06 Singapore 339274.</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Isaias (Zak) Jose Calisto </w:t>
      </w:r>
      <w:r>
        <w:rPr>
          <w:rFonts w:ascii="Times New Roman" w:cs="Times New Roman" w:eastAsia="Times New Roman" w:hAnsi="Times New Roman"/>
          <w:sz w:val="14"/>
          <w:szCs w:val="14"/>
          <w:color w:val="auto"/>
        </w:rPr>
        <w:t>is our Chief Executive Officer and has been a member of our board of directors since May 2018. He has been the Chief Executive Officer of the Group since its founding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2001. Before founding the Company, Mr. Calisto was a Member of Vehicle Tracking Services, a company specializing in the distribution of telematics services, from 1994 through 2001. Prior to that, Mr. Calisto was a Member of Cell Communications, a company specializing in the distribution of telecommunication services, from 1994 to 1996. Mr. Calisto also completed an accelerated training program at Standard Bank, Africa’s largest lender by assets, from 1986 through 1991. Mr. Calisto studied at the University of South Africa and University of the Witwatersrand.</w:t>
      </w:r>
    </w:p>
    <w:p>
      <w:pPr>
        <w:spacing w:after="0" w:line="1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Hoe Shin Goy </w:t>
      </w:r>
      <w:r>
        <w:rPr>
          <w:rFonts w:ascii="Times New Roman" w:cs="Times New Roman" w:eastAsia="Times New Roman" w:hAnsi="Times New Roman"/>
          <w:sz w:val="14"/>
          <w:szCs w:val="14"/>
          <w:color w:val="auto"/>
        </w:rPr>
        <w:t>was appointed as Karooooo’s CFO on June 30, 2022. Hoe Shin is a registered Chartered Accountant based in Singapore. Hoe Shin joined Ernst &amp; Young LLP in 2004 and was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firm until 2009. She has extensive experience in audit, full spectrum finance and Group financial reporting throughout the span of her career. Hoe Shin was the Director of Consolidation and Group Reporting for DFS Group, under the Selective Retailing Maison of LVMH</w:t>
      </w:r>
      <w:r>
        <w:rPr>
          <w:rFonts w:ascii="Times New Roman" w:cs="Times New Roman" w:eastAsia="Times New Roman" w:hAnsi="Times New Roman"/>
          <w:sz w:val="14"/>
          <w:szCs w:val="14"/>
          <w:i w:val="1"/>
          <w:iCs w:val="1"/>
          <w:color w:val="auto"/>
        </w:rPr>
        <w:t>.</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Siew Koon Ong </w:t>
      </w:r>
      <w:r>
        <w:rPr>
          <w:rFonts w:ascii="Times New Roman" w:cs="Times New Roman" w:eastAsia="Times New Roman" w:hAnsi="Times New Roman"/>
          <w:sz w:val="14"/>
          <w:szCs w:val="14"/>
          <w:color w:val="auto"/>
        </w:rPr>
        <w:t>(Siew Koon Lim) was appointed to our board in July 2021 and is currently Karooooo’s Lead Independent Director and the Chair of the Audit and Risk Committee. Mrs. Lim holds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Bachelor of Accountancy degree from the National University of Singapore and is a Chartered Accountant and fellow member of the Institute of Singapore Chartered Accountants. Mrs. Lim has 38 years of experience in providing audit and business advisory services to local companies as well as major public listed companies in a wide range of industries, including banks. She has led initial public offerings of companies in the retail and lifestyle, manufacturing, construction and property development industries. Mrs. Lim joined Ernst &amp; Young LLP (then known as Ernst &amp; Whinney) in April 1982 and was a partner of the firm from July 1998 to June 2019, acting as Chief Financial Officer for a period of 3 years with the responsibility for the firm’s financial and management accounts. Mrs. Lim is also an independent director of Nanofilm Technologies International Limited, which is listed on the Mainboard of the SGX, serving as the Lead Independent Director and Chairperson of the Audit Committee and member of the Risk Committee and Nominating Committee. Mrs. Lim is also an independent director of Maribank (Singapore) Pte Ltd, one of the four digital banks in Singapore. At Maribank, she is the Lead Independent Director and Chairperson of the Audit Committee. She also sits on the Risk Committee and Remuneration and Nominating Committee at Maribank. In addition to Mrs. Lim’s global financial expertise and deep understanding of regulatory and technical compliance in a listed environment, we believe her extensive local knowledge and experience qualifies her to serve as a member of the Board.</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Andrew Leong </w:t>
      </w:r>
      <w:r>
        <w:rPr>
          <w:rFonts w:ascii="Times New Roman" w:cs="Times New Roman" w:eastAsia="Times New Roman" w:hAnsi="Times New Roman"/>
          <w:sz w:val="14"/>
          <w:szCs w:val="14"/>
          <w:color w:val="auto"/>
        </w:rPr>
        <w:t>has been a member of our board of directors since February 2021 and was the co- founder and the Chief Executive Officer of Videre Security Solutions, a software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established in 2016, providing data analytics and cyber security to Singapore. Mr. Leong started his career in Singapore’s Intelligence Agency in 1998 and was head of the cybersecurity division from 1999 until 2005. From 2005 until 2015, Mr. Leong was the Managing Director of Chameleon Associates Pte. Ltd., a company specializing in risk mitigation utilizing predictive profiling. Mr. Leong holds a Bachelor of Applied Sciences in computer engineering from the Nanyang Technology University, Singapore. We believe that Mr. Leong is well qualified to serve as a member of our board of directors given his extensive experience in artificial intelligence and data analytics.</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Kim White </w:t>
      </w:r>
      <w:r>
        <w:rPr>
          <w:rFonts w:ascii="Times New Roman" w:cs="Times New Roman" w:eastAsia="Times New Roman" w:hAnsi="Times New Roman"/>
          <w:sz w:val="14"/>
          <w:szCs w:val="14"/>
          <w:color w:val="auto"/>
        </w:rPr>
        <w:t>was appointed to our board on June 25, 2021. Mrs. White served as a member of the board of directors of Cartrack Holdings Limited since 2014. Mrs White also served as Chairman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Audit and Risk Committee and member of the Remuneration Committee for Cartrack Holdings Limited during this time. Mrs. White started her career at RSM South Africa and then founded KCE Consulting, an audit and advisory firm, in 2001. Mrs. White currently holds the position of managing director at this firm. Mrs White holds a Bachelor of accounting science degree, an Honours degree in Accounting Science, a post-graduate certificate in Advanced taxation, a post-graduate certificate in International taxation, a certified financial planner diploma and a MBA from Guglielmo Marconi University, Italy. Mrs. White is a registered Chartered Accountant (South Africa). We believe Mrs. White is well qualified to serve as a member of our board of directors given her extensive knowledge, leadership, and experience.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2" w:name="page83"/>
    <w:bookmarkEnd w:id="82"/>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Juan Marais </w:t>
      </w:r>
      <w:r>
        <w:rPr>
          <w:rFonts w:ascii="Times New Roman" w:cs="Times New Roman" w:eastAsia="Times New Roman" w:hAnsi="Times New Roman"/>
          <w:sz w:val="14"/>
          <w:szCs w:val="14"/>
          <w:color w:val="auto"/>
        </w:rPr>
        <w:t>is our Chief Sales Officer. Before joining Cartrack Holdings Limited in this role in 2004, he was the Chief Executive Officer of Advancor (Pty) Ltd., an insurance brokerage,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2001 to 2004. Prior to that, Mr. Marais was the Chief Executive Officer of Finance Mart (Pty) Ltd., a financial services company, from 1998 to 2001. Mr. Marais began his career in the insurance industry at Broadstreet Financial Advisory Services, where he was a Managing Member from 1993 to 1998. Mr. Marais holds a Certification in Financial Planning from Milpark Business School.</w:t>
      </w:r>
    </w:p>
    <w:p>
      <w:pPr>
        <w:spacing w:after="0" w:line="13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Richard Schubert </w:t>
      </w:r>
      <w:r>
        <w:rPr>
          <w:rFonts w:ascii="Times New Roman" w:cs="Times New Roman" w:eastAsia="Times New Roman" w:hAnsi="Times New Roman"/>
          <w:sz w:val="14"/>
          <w:szCs w:val="14"/>
          <w:color w:val="auto"/>
        </w:rPr>
        <w:t>is our Chief Operating Officer. Mr. Schubert joined Cartrack Holdings Limited in 2007 and has held this role at Cartrack Holdings Limited since 2017, and prior to that, served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Information Officer from 2007 through 2017. Mr. Schubert holds a National Higher Diploma in Electronic Engineering from the Technikon of the Witwatersrand.</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Carmen Calisto </w:t>
      </w:r>
      <w:r>
        <w:rPr>
          <w:rFonts w:ascii="Times New Roman" w:cs="Times New Roman" w:eastAsia="Times New Roman" w:hAnsi="Times New Roman"/>
          <w:sz w:val="14"/>
          <w:szCs w:val="14"/>
          <w:color w:val="auto"/>
        </w:rPr>
        <w:t>joined Cartrack Holdings Limited in February 2020 as Group Chief Marketing Officer. Before joining Cartrack Holdings Limited in this role, she was a Media Activation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at Essence Global from 2019-2020, a global data and measurement-driven full-service agency. Prior to that, Ms. Calisto interned as an Actuarial Marketer with the Cartrack Group and an Actuarial Advisor at Ernst &amp; Young. She holds a BSc (Honours) in Actuarial Science from Cass Business School and an MSc in Strategic Marketing from Imperial College London.</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Pedro Ventura </w:t>
      </w:r>
      <w:r>
        <w:rPr>
          <w:rFonts w:ascii="Times New Roman" w:cs="Times New Roman" w:eastAsia="Times New Roman" w:hAnsi="Times New Roman"/>
          <w:sz w:val="14"/>
          <w:szCs w:val="14"/>
          <w:color w:val="auto"/>
        </w:rPr>
        <w:t>is our Chief Technology Officer. Mr. Ventura joined Cartrack Holdings Limited in 2015 as a senior Software Engineer and he was promoted to Chief Technology Officer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November 2020 assuming full responsibility for the strategic and technical direction of Research and Development and our IT infrastructure. Prior to joining Cartrack Holdings Limited, Mr. Ventura held various senior roles in technology and software development including being the founder of Internet Business Solutions &amp; Technologies S.A., an Internet based start-up. Mr. Ventura studied Computer Engineering at the Instituto Superior Técnico in Lisbon.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Carmen Calisto is the daughter of Isaias (Zak) Jose Calisto.</w:t>
      </w:r>
    </w:p>
    <w:p>
      <w:pPr>
        <w:spacing w:after="0" w:line="18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 Compensation footnote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the aggregate compensation, including benefits in kind, accrued or paid to our executive officers and directors with respect to the years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2025 and 2024 for services in all capacities: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8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7360" w:type="dxa"/>
            <w:vAlign w:val="bottom"/>
          </w:tcPr>
          <w:p>
            <w:pPr>
              <w:spacing w:after="0"/>
              <w:rPr>
                <w:sz w:val="17"/>
                <w:szCs w:val="17"/>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68"/>
              <w:spacing w:after="0" w:line="204"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23"/>
                <w:szCs w:val="23"/>
                <w:b w:val="1"/>
                <w:bCs w:val="1"/>
                <w:color w:val="auto"/>
                <w:vertAlign w:val="superscript"/>
              </w:rPr>
              <w:t>(2)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8"/>
              <w:spacing w:after="0" w:line="204"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7"/>
                <w:szCs w:val="17"/>
                <w:color w:val="auto"/>
              </w:rPr>
            </w:pPr>
          </w:p>
        </w:tc>
      </w:tr>
      <w:tr>
        <w:trPr>
          <w:trHeight w:val="161"/>
        </w:trPr>
        <w:tc>
          <w:tcPr>
            <w:tcW w:w="7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 thousands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360" w:type="dxa"/>
            <w:vAlign w:val="bottom"/>
          </w:tcPr>
          <w:p>
            <w:pPr>
              <w:spacing w:after="0"/>
              <w:rPr>
                <w:sz w:val="18"/>
                <w:szCs w:val="18"/>
                <w:color w:val="auto"/>
              </w:rPr>
            </w:pPr>
          </w:p>
        </w:tc>
        <w:tc>
          <w:tcPr>
            <w:tcW w:w="1120" w:type="dxa"/>
            <w:vAlign w:val="bottom"/>
          </w:tcPr>
          <w:p>
            <w:pPr>
              <w:jc w:val="center"/>
              <w:ind w:right="371"/>
              <w:spacing w:after="0" w:line="214" w:lineRule="exact"/>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24"/>
                <w:szCs w:val="24"/>
                <w:color w:val="auto"/>
                <w:vertAlign w:val="subscript"/>
              </w:rPr>
              <w:t>)</w:t>
            </w:r>
          </w:p>
        </w:tc>
        <w:tc>
          <w:tcPr>
            <w:tcW w:w="24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 R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2"/>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18,285</w:t>
            </w: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18,094</w:t>
            </w:r>
          </w:p>
        </w:tc>
        <w:tc>
          <w:tcPr>
            <w:tcW w:w="100" w:type="dxa"/>
            <w:vAlign w:val="bottom"/>
            <w:tcBorders>
              <w:top w:val="single" w:sz="8" w:color="CCEEFF"/>
            </w:tcBorders>
            <w:shd w:val="clear" w:color="auto" w:fill="CCEEFF"/>
          </w:tcPr>
          <w:p>
            <w:pPr>
              <w:spacing w:after="0"/>
              <w:rPr>
                <w:sz w:val="14"/>
                <w:szCs w:val="14"/>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Post-employment benefits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w:t>
            </w: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430</w:t>
            </w:r>
          </w:p>
        </w:tc>
      </w:tr>
      <w:tr>
        <w:trPr>
          <w:trHeight w:val="173"/>
        </w:trPr>
        <w:tc>
          <w:tcPr>
            <w:tcW w:w="73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jc w:val="both"/>
        <w:ind w:left="200" w:hanging="194"/>
        <w:spacing w:after="0" w:line="261" w:lineRule="auto"/>
        <w:tabs>
          <w:tab w:leader="none" w:pos="2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jc w:val="both"/>
        <w:ind w:left="200" w:hanging="194"/>
        <w:spacing w:after="0" w:line="261" w:lineRule="auto"/>
        <w:tabs>
          <w:tab w:leader="none" w:pos="2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information disclosed includes directors and executive management given Karooooo’s IPO in the United States and the incorporation of international headquarters in Singapore with a centralized management function. The Group CEO and CFO drive the Group’s strategy implementation, operation and direction with focus on sustainability and top and bottom-line growth. In 2022 Mr. Marais was included as executive officer by virtue of his shareholding in Karooooo. Mr. Marais is the beneficial owner of 3,250,793 shares through One Spire (Pty) Ltd., which corresponds to 10.5% of the outstanding shares of the Company.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3" w:name="page84"/>
    <w:bookmarkEnd w:id="83"/>
    <w:p>
      <w:pPr>
        <w:ind w:right="9380" w:firstLine="264"/>
        <w:spacing w:after="0" w:line="513" w:lineRule="auto"/>
        <w:tabs>
          <w:tab w:leader="none" w:pos="515"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BOARD PRACTICES Board Composition</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board of directors is composed of five members, of whom Siew Koon Lim, Andrew Leong and Kim White qualify as “independent” under Nasdaq listing rules. Our constitution provides that our board of directors initially be divided into three classes with staggered terms over a three-year period. Only Class I directors were subject to re- election at the first annual meeting of stockholders held after the Nasdaq listing, with the other classes continuing for the remainder of their respective terms. Our current directors are divided among the three classes as follows:</w:t>
      </w:r>
    </w:p>
    <w:p>
      <w:pPr>
        <w:spacing w:after="0" w:line="136" w:lineRule="exact"/>
        <w:rPr>
          <w:sz w:val="20"/>
          <w:szCs w:val="20"/>
          <w:color w:val="auto"/>
        </w:rPr>
      </w:pPr>
    </w:p>
    <w:p>
      <w:pPr>
        <w:ind w:left="520" w:hanging="256"/>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 is Andrew Leong, who was re-elected for a term of three years at the annual meeting of stockholders held on August 29, 2024;</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are Kim White and Siew Koon Lim;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are Isaias (Zak) Jose Calisto and Hoe Shin Goy, who were both re-elected at the AGM held on July 12, 2023, for a term of three years.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This classification of our board of directors may have the effect of delaying or preventing changes in control of our company. For additional information regarding our board of directors, see Exhibit 2.2 “Description of Ordinary Shares—Election and Reelection of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not entered into service contracts with any directors of our company or any of our subsidiaries providing for benefits upon termination of employment.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audit committee, which consists of Siew Koon Lim, Andrew Leong and Kim White assists the board in overseeing our accounting and financial reporting processes, the audits of our financial statements and business risk analysis.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Item 7.B.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defined under the rules of the SEC and the Nasdaq applicable to foreign private issuers. Siew Koon Lim acts as chairman of our audit committee.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and Nomination Committee</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compensation and nomination committee consists of Andrew Leong, Siew Koon Lim and Kim White, who are all independent non-executive directors, and assists the board in identifying and nominating candidates for election to the board of directors; reviews and recommends the compensation arrangements for the executive members of our board of directors and administers any equity compensation plan. Andrew Leong is the appointed director to act as chairman of our compensation and nomination committee. Although the CEO and CFO are invitees to the meetings to provide input on management performance and to motivate and explain the remuneration of our people and present proposals for general increases and bonuses, they are not members of this committee and therefore have no vote.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committee is also charged with evaluating individual director performance, the performance of the sub-committees and the board as a whole, which is done on an annual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Duties of Directors and attendance of meetings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Under Singapore law, members of the board of directors of a Singapore company owe certain fiduciary duties towards the company, including a duty to act in good faith in the best interests of the company, a duty to act honestly and to use reasonable diligence in the discharge of the duties of their office. Directors generally owe fiduciary duties to the company, and not to the company’s individual shareholders. Our shareholders may not have a direct cause of action against our directors. The company has a right to seek damages if a duty owed by directors is breached.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directors have, without exception, attended all board meetings held during the reporting period.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color w:val="auto"/>
        </w:rPr>
        <w:t>Foreign Private Issuer and Controlled Company Exemptions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general, under the Nasdaq corporate governance standards, foreign private issuers, as defined by the rules adopted under the Securities Exchange Act of 1934, as amended (the “Exchange Act”), are permitted to follow home country corporate governance practices instead of the corporate governance practices of the Nasdaq. Accordingly, we follow certain corporate governance practices of our home country, Singapore, in lieu of certain of the corporate governance requirements of the Nasdaq in respect of the following:</w:t>
      </w:r>
    </w:p>
    <w:p>
      <w:pPr>
        <w:spacing w:after="0" w:line="136" w:lineRule="exact"/>
        <w:rPr>
          <w:sz w:val="20"/>
          <w:szCs w:val="20"/>
          <w:color w:val="auto"/>
        </w:rPr>
      </w:pPr>
    </w:p>
    <w:p>
      <w:pPr>
        <w:ind w:left="520" w:hanging="256"/>
        <w:spacing w:after="0" w:line="292"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5605(d) of Nasdaq listing rules that a compensation committee comprised solely of independent directors governed by a compensation committee charter oversee executive compensation;</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5605(b)(2) of Nasdaq listing rules that the independent directors have regularly scheduled meetings with only the independent directors present;</w:t>
      </w:r>
    </w:p>
    <w:p>
      <w:pPr>
        <w:spacing w:after="0" w:line="182" w:lineRule="exact"/>
        <w:rPr>
          <w:rFonts w:ascii="Times New Roman" w:cs="Times New Roman" w:eastAsia="Times New Roman" w:hAnsi="Times New Roman"/>
          <w:sz w:val="14"/>
          <w:szCs w:val="14"/>
          <w:color w:val="auto"/>
        </w:rPr>
      </w:pPr>
    </w:p>
    <w:p>
      <w:pPr>
        <w:ind w:left="520" w:hanging="256"/>
        <w:spacing w:after="0" w:line="266"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5605(c) of Nasdaq listing rules that a quorum must consist of at least 331⁄3 percent of the outstanding shares of a listed company’s common voting stock; and</w:t>
      </w:r>
    </w:p>
    <w:p>
      <w:pPr>
        <w:spacing w:after="0" w:line="337"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5610 of Nasdaq listing rules that a company must have adopted one or more codes of conduct applicable to all directors, officers and employees, and that such codes are publicly available.</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and chief executive officer, Zak Calisto, controls a majority of the combined voting power of our outstanding ordinary shares, and will be able to nominate a majority of directors for election to our board of directors. Accordingly, we would be eligible to, and, in the event we no longer qualify as a foreign private issuer, we intend to, take advantage of certain exemptions under the Nasdaq corporate governance rules.</w:t>
      </w:r>
    </w:p>
    <w:p>
      <w:pPr>
        <w:spacing w:after="0" w:line="31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“foreign private issuer” exemption and the “controlled company” exemption do not modify the independence requirements for the audit committee, and we comply with the requirements of the Sarbanes-Oxley Act and the Nasdaq rules, which require that our audit committee be composed of at least three directors, all of whom are independent.</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If at any time we cease to be a “controlled company” or a “foreign private issuer” under the rules of the Nasdaq and the Exchange Act, as applicable, our board of directors will take all action necessary to comply with the NASDAQ corporate governance rules.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Due to our status as a foreign private issuer and our intent to follow certain home country corporate governance practices, our shareholders will not have the same protections afforded to shareholders of companies that are subject to all the Nasdaq corporate governance standards. See Exhibit 2.2 “Description of Ordinary Shares.”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EMPLOYEES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at February 28, 2025, we had 5,711 full-time employees, of which 4,047 are located in South Africa, 310 are located in Africa-Other, 360 are located in Europe, and 994 are located in Asia-Pacific and Middle East. None of our employees are represented by a labor union or covered by a collective bargaining agreement.</w:t>
      </w:r>
    </w:p>
    <w:p>
      <w:pPr>
        <w:spacing w:after="0" w:line="1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312"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E.</w:t>
        <w:tab/>
        <w:t>SHARE OWNERSHIP</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information regarding the share ownership of our directors and executive officers, please refer to Item 6.B. “—Compensation” and Item 7.A. “Major Shareholders and Related Party Transactions—Major Shareholders.”</w:t>
      </w:r>
    </w:p>
    <w:p>
      <w:pPr>
        <w:spacing w:after="0" w:line="122" w:lineRule="exact"/>
        <w:rPr>
          <w:sz w:val="20"/>
          <w:szCs w:val="20"/>
          <w:color w:val="auto"/>
        </w:rPr>
      </w:pPr>
    </w:p>
    <w:p>
      <w:pPr>
        <w:ind w:left="520" w:hanging="256"/>
        <w:spacing w:after="0"/>
        <w:tabs>
          <w:tab w:leader="none" w:pos="52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DISCLOSURE OF A REGISTRANT’S ACTION TO RECOVER ERRONEOUSLY AWARDED COMPENSATION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Pursuant to Rule 10D-1 under the Exchange Act and Nasdaq Rule 5608, on November 20, 2023, we adopted a Compensation Recoupment Policy providing that we will recover reasonably promptly the amount of erroneously awarded incentive-based compensation from any “Executive Officer” (as such term is defined in Rule 10D-1 under the Exchange Act and Nasdaq Rule 5608) in the event that the Company is required to prepare an accounting restatement due to our material non-compliance with any financial reporting requirement under the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our Compensation Recoupment Policy is filed as Exhibit 97.1 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financial year ended February 28, 2025, we were not required to recoup any compensation awarded under the Compensation Recoupment Policy.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Item 7. MAJOR SHAREHOLDERS AND RELATED PARTY TRANSACTIONS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MAJOR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as at May 9, 2025 regarding actual ownership of our ordinary shares by:</w:t>
      </w:r>
    </w:p>
    <w:p>
      <w:pPr>
        <w:spacing w:after="0" w:line="183" w:lineRule="exact"/>
        <w:rPr>
          <w:sz w:val="20"/>
          <w:szCs w:val="20"/>
          <w:color w:val="auto"/>
        </w:rPr>
      </w:pPr>
    </w:p>
    <w:p>
      <w:pPr>
        <w:ind w:left="520" w:hanging="256"/>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entity we know to own 5% or more of our ordinary shares;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executive officer;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director.</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For purposes of the table below, the percentage ownership calculations are based on 30,893,300 ordinary shares outstanding as at May 9, 2025. To the extent different, beneficial ownership determined in accordance with the rules of the SEC, including voting or investment power with respect to the securities, is described in the footnotes to the table.</w:t>
      </w:r>
    </w:p>
    <w:p>
      <w:pPr>
        <w:sectPr>
          <w:pgSz w:w="11900" w:h="16838" w:orient="portrait"/>
          <w:cols w:equalWidth="0" w:num="1">
            <w:col w:w="11280"/>
          </w:cols>
          <w:pgMar w:left="300" w:top="724" w:right="31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Isaias (Zak) Jose Calisto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60260" cy="129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186" w:lineRule="auto"/>
        <w:rPr>
          <w:sz w:val="20"/>
          <w:szCs w:val="20"/>
          <w:color w:val="auto"/>
        </w:rPr>
      </w:pPr>
      <w:r>
        <w:rPr>
          <w:rFonts w:ascii="Times New Roman" w:cs="Times New Roman" w:eastAsia="Times New Roman" w:hAnsi="Times New Roman"/>
          <w:sz w:val="14"/>
          <w:szCs w:val="14"/>
          <w:color w:val="auto"/>
        </w:rPr>
        <w:t>Hoe Shin Goy</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60260" cy="109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Kim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Siew Koon Lim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Andrew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Executive Officers</w:t>
      </w:r>
    </w:p>
    <w:p>
      <w:pPr>
        <w:spacing w:after="0" w:line="196" w:lineRule="auto"/>
        <w:rPr>
          <w:sz w:val="20"/>
          <w:szCs w:val="20"/>
          <w:color w:val="auto"/>
        </w:rPr>
      </w:pPr>
      <w:r>
        <w:rPr>
          <w:rFonts w:ascii="Times New Roman" w:cs="Times New Roman" w:eastAsia="Times New Roman" w:hAnsi="Times New Roman"/>
          <w:sz w:val="14"/>
          <w:szCs w:val="14"/>
          <w:color w:val="auto"/>
        </w:rPr>
        <w:t>Richard Schubert</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60260" cy="1295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186" w:lineRule="auto"/>
        <w:rPr>
          <w:sz w:val="20"/>
          <w:szCs w:val="20"/>
          <w:color w:val="auto"/>
        </w:rPr>
      </w:pPr>
      <w:r>
        <w:rPr>
          <w:rFonts w:ascii="Times New Roman" w:cs="Times New Roman" w:eastAsia="Times New Roman" w:hAnsi="Times New Roman"/>
          <w:sz w:val="14"/>
          <w:szCs w:val="14"/>
          <w:color w:val="auto"/>
        </w:rPr>
        <w:t xml:space="preserve">Juan Marais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60260" cy="1092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Carmen Calisto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Pedro Ventura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executive officers and directors as a group (9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60260" cy="136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652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160260" cy="1092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Gobi Capital LLC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60260" cy="1225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Ordinary Shares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at May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17780</wp:posOffset>
            </wp:positionV>
            <wp:extent cx="156845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17780</wp:posOffset>
            </wp:positionV>
            <wp:extent cx="156845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390"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4"/>
          <w:szCs w:val="14"/>
          <w:color w:val="auto"/>
        </w:rPr>
        <w:t>19,450,000</w:t>
      </w:r>
      <w:r>
        <w:rPr>
          <w:sz w:val="20"/>
          <w:szCs w:val="20"/>
          <w:color w:val="auto"/>
        </w:rPr>
        <w:tab/>
      </w:r>
      <w:r>
        <w:rPr>
          <w:rFonts w:ascii="Times New Roman" w:cs="Times New Roman" w:eastAsia="Times New Roman" w:hAnsi="Times New Roman"/>
          <w:sz w:val="14"/>
          <w:szCs w:val="14"/>
          <w:color w:val="auto"/>
        </w:rPr>
        <w:t>62.96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260"/>
        <w:spacing w:after="0"/>
        <w:tabs>
          <w:tab w:leader="none" w:pos="1820" w:val="left"/>
        </w:tabs>
        <w:rPr>
          <w:sz w:val="20"/>
          <w:szCs w:val="20"/>
          <w:color w:val="auto"/>
        </w:rPr>
      </w:pPr>
      <w:r>
        <w:rPr>
          <w:rFonts w:ascii="Times New Roman" w:cs="Times New Roman" w:eastAsia="Times New Roman" w:hAnsi="Times New Roman"/>
          <w:sz w:val="14"/>
          <w:szCs w:val="14"/>
          <w:color w:val="auto"/>
        </w:rPr>
        <w:t>3,250,793</w:t>
      </w:r>
      <w:r>
        <w:rPr>
          <w:sz w:val="20"/>
          <w:szCs w:val="20"/>
          <w:color w:val="auto"/>
        </w:rPr>
        <w:tab/>
      </w:r>
      <w:r>
        <w:rPr>
          <w:rFonts w:ascii="Times New Roman" w:cs="Times New Roman" w:eastAsia="Times New Roman" w:hAnsi="Times New Roman"/>
          <w:sz w:val="14"/>
          <w:szCs w:val="14"/>
          <w:color w:val="auto"/>
        </w:rPr>
        <w:t>10.52</w:t>
      </w:r>
    </w:p>
    <w:p>
      <w:pPr>
        <w:spacing w:after="0" w:line="387"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4"/>
          <w:szCs w:val="14"/>
          <w:color w:val="auto"/>
        </w:rPr>
        <w:t>22,700,793</w:t>
      </w:r>
      <w:r>
        <w:rPr>
          <w:sz w:val="20"/>
          <w:szCs w:val="20"/>
          <w:color w:val="auto"/>
        </w:rPr>
        <w:tab/>
      </w:r>
      <w:r>
        <w:rPr>
          <w:rFonts w:ascii="Times New Roman" w:cs="Times New Roman" w:eastAsia="Times New Roman" w:hAnsi="Times New Roman"/>
          <w:sz w:val="14"/>
          <w:szCs w:val="14"/>
          <w:color w:val="auto"/>
        </w:rPr>
        <w:t>73.48</w:t>
      </w:r>
    </w:p>
    <w:p>
      <w:pPr>
        <w:spacing w:after="0" w:line="200" w:lineRule="exact"/>
        <w:rPr>
          <w:sz w:val="20"/>
          <w:szCs w:val="20"/>
          <w:color w:val="auto"/>
        </w:rPr>
      </w:pPr>
    </w:p>
    <w:p>
      <w:pPr>
        <w:spacing w:after="0" w:line="219" w:lineRule="exact"/>
        <w:rPr>
          <w:sz w:val="20"/>
          <w:szCs w:val="20"/>
          <w:color w:val="auto"/>
        </w:rPr>
      </w:pPr>
    </w:p>
    <w:p>
      <w:pPr>
        <w:jc w:val="both"/>
        <w:ind w:left="260"/>
        <w:spacing w:after="0"/>
        <w:tabs>
          <w:tab w:leader="none" w:pos="1880" w:val="left"/>
        </w:tabs>
        <w:rPr>
          <w:sz w:val="20"/>
          <w:szCs w:val="20"/>
          <w:color w:val="auto"/>
        </w:rPr>
      </w:pPr>
      <w:r>
        <w:rPr>
          <w:rFonts w:ascii="Times New Roman" w:cs="Times New Roman" w:eastAsia="Times New Roman" w:hAnsi="Times New Roman"/>
          <w:sz w:val="14"/>
          <w:szCs w:val="14"/>
          <w:color w:val="auto"/>
        </w:rPr>
        <w:t>2,200,668</w:t>
      </w:r>
      <w:r>
        <w:rPr>
          <w:sz w:val="20"/>
          <w:szCs w:val="20"/>
          <w:color w:val="auto"/>
        </w:rPr>
        <w:tab/>
      </w:r>
      <w:r>
        <w:rPr>
          <w:rFonts w:ascii="Times New Roman" w:cs="Times New Roman" w:eastAsia="Times New Roman" w:hAnsi="Times New Roman"/>
          <w:sz w:val="14"/>
          <w:szCs w:val="14"/>
          <w:color w:val="auto"/>
        </w:rPr>
        <w:t>7.12</w:t>
      </w:r>
    </w:p>
    <w:p>
      <w:pPr>
        <w:spacing w:after="0" w:line="236"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4"/>
          <w:szCs w:val="14"/>
          <w:color w:val="auto"/>
        </w:rPr>
        <w:t>24,901,461</w:t>
      </w:r>
      <w:r>
        <w:rPr>
          <w:sz w:val="20"/>
          <w:szCs w:val="20"/>
          <w:color w:val="auto"/>
        </w:rPr>
        <w:tab/>
      </w:r>
      <w:r>
        <w:rPr>
          <w:rFonts w:ascii="Times New Roman" w:cs="Times New Roman" w:eastAsia="Times New Roman" w:hAnsi="Times New Roman"/>
          <w:sz w:val="14"/>
          <w:szCs w:val="14"/>
          <w:color w:val="auto"/>
        </w:rPr>
        <w:t>80.60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16510</wp:posOffset>
            </wp:positionV>
            <wp:extent cx="15684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845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60"/>
          </w:cols>
          <w:pgMar w:left="300" w:top="724" w:right="319" w:bottom="1440" w:gutter="0" w:footer="0" w:header="0"/>
          <w:type w:val="continuous"/>
        </w:sectPr>
      </w:pPr>
    </w:p>
    <w:p>
      <w:pPr>
        <w:spacing w:after="0" w:line="36" w:lineRule="exact"/>
        <w:rPr>
          <w:sz w:val="20"/>
          <w:szCs w:val="20"/>
          <w:color w:val="auto"/>
        </w:rPr>
      </w:pPr>
    </w:p>
    <w:p>
      <w:pPr>
        <w:jc w:val="both"/>
        <w:ind w:left="200" w:hanging="194"/>
        <w:spacing w:after="0" w:line="261" w:lineRule="auto"/>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Calisto owns 19,450,000 shares, or 62.96%. However,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Marais’ 3,250,793 shares may be deemed to be beneficially owned by Mr. Calisto. Therefore, Mr. Calisto may be deemed to beneficially own 22,700,793 shares or 73.48%. Mr. Calisto disclaims beneficial ownership of Mr. Marais’ 3,250,793 ordinary shares.</w:t>
      </w:r>
    </w:p>
    <w:p>
      <w:pPr>
        <w:ind w:left="200" w:hanging="194"/>
        <w:spacing w:after="0"/>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Goy owns less than 1% of the issued and outstanding shares of the Company.</w:t>
      </w:r>
    </w:p>
    <w:p>
      <w:pPr>
        <w:spacing w:after="0" w:line="10"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Schubert owns less than 1% of the issued and outstanding shares of the Company.</w:t>
      </w:r>
    </w:p>
    <w:p>
      <w:pPr>
        <w:spacing w:after="0" w:line="10" w:lineRule="exact"/>
        <w:rPr>
          <w:rFonts w:ascii="Times New Roman" w:cs="Times New Roman" w:eastAsia="Times New Roman" w:hAnsi="Times New Roman"/>
          <w:sz w:val="14"/>
          <w:szCs w:val="14"/>
          <w:color w:val="auto"/>
        </w:rPr>
      </w:pPr>
    </w:p>
    <w:p>
      <w:pPr>
        <w:jc w:val="both"/>
        <w:ind w:left="200" w:hanging="194"/>
        <w:spacing w:after="0" w:line="256" w:lineRule="auto"/>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Marais is the beneficial owner of 3,250,793 shares through One Spire (Pty) Ltd., which corresponds to 10.52% of the outstanding shares of the Company. Mr. Marais and Jennie Allen are directors of One Spire (Pty) Ltd., and accordingly, Mr. Marais and Ms. Allen share voting and investment power over the shares held by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Calisto may be deemed to beneficially own such shares. Mr. Calisto disclaims beneficial ownership of such ordinary shares.</w:t>
      </w:r>
    </w:p>
    <w:p>
      <w:pPr>
        <w:ind w:left="200" w:hanging="194"/>
        <w:spacing w:after="0" w:line="272" w:lineRule="auto"/>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Gobi Capital LLC is controlled by Bo Shan. Gobi Capital LLC and Bo Shan disclaim beneficial ownership of the ordinary shares listed above except to the extent of any pecuniary interest therein. The business address of Gobi Capital LLC is 909 Montgomery Street, Suite 400, San Francisco, CA 94133.</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type w:val="continuous"/>
        </w:sectPr>
      </w:pPr>
    </w:p>
    <w:bookmarkStart w:id="86" w:name="page87"/>
    <w:bookmarkEnd w:id="86"/>
    <w:p>
      <w:pPr>
        <w:jc w:val="both"/>
        <w:spacing w:after="0" w:line="274" w:lineRule="auto"/>
        <w:rPr>
          <w:sz w:val="20"/>
          <w:szCs w:val="20"/>
          <w:color w:val="auto"/>
        </w:rPr>
      </w:pPr>
      <w:r>
        <w:rPr>
          <w:rFonts w:ascii="Times New Roman" w:cs="Times New Roman" w:eastAsia="Times New Roman" w:hAnsi="Times New Roman"/>
          <w:sz w:val="14"/>
          <w:szCs w:val="14"/>
          <w:color w:val="auto"/>
        </w:rPr>
        <w:t>As at May 9, 2025, we had 1 holder of record of our ordinary shares in the United States, holding approximately 25,463,340 of our total issued ordinary shares. The U.S. shareholder of record is CEDE &amp; CO., a nominee of The Depository Trust Company. We believe that the shares held by CEDE &amp; CO. include ordinary shares beneficially owned by both holders in the United States and non-U.S. beneficial owners. The share register in South Africa holds 5,429,960 ordinary shares.</w:t>
      </w:r>
    </w:p>
    <w:p>
      <w:pPr>
        <w:spacing w:after="0" w:line="13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RELATED PARTY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Person Transaction Policy</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have adopted a policy requiring approval by the audit committee, subject to certain exceptions, of certain transactions between us and a related person (as defined below). Transactions subject to the policy would include the following transactions in which a related person has or will have a direct or indirect material interest:</w:t>
      </w:r>
    </w:p>
    <w:p>
      <w:pPr>
        <w:spacing w:after="0" w:line="124" w:lineRule="exact"/>
        <w:rPr>
          <w:sz w:val="20"/>
          <w:szCs w:val="20"/>
          <w:color w:val="auto"/>
        </w:rPr>
      </w:pPr>
    </w:p>
    <w:p>
      <w:pPr>
        <w:ind w:left="520" w:hanging="256"/>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or series of transactions with a related person that is material to us or the related person, or</w:t>
      </w:r>
    </w:p>
    <w:p>
      <w:pPr>
        <w:spacing w:after="0" w:line="182" w:lineRule="exact"/>
        <w:rPr>
          <w:rFonts w:ascii="Times New Roman" w:cs="Times New Roman" w:eastAsia="Times New Roman" w:hAnsi="Times New Roman"/>
          <w:sz w:val="14"/>
          <w:szCs w:val="14"/>
          <w:color w:val="auto"/>
        </w:rPr>
      </w:pPr>
    </w:p>
    <w:p>
      <w:pPr>
        <w:ind w:right="2480" w:firstLine="264"/>
        <w:spacing w:after="0" w:line="512" w:lineRule="auto"/>
        <w:tabs>
          <w:tab w:leader="none" w:pos="51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transactions that are unusual in their nature or conditions, involving goods, services, or tangible or intangible assets, to which we are a party. For purposes of the policy, “related person” means:</w:t>
      </w:r>
    </w:p>
    <w:p>
      <w:pPr>
        <w:ind w:left="520" w:hanging="256"/>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director or executive officer of (i) the Company or (ii) an affiliated entity of the Company;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 director or executive officer of (i) the Company or (ii) an affiliated entity of the Company;</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nominee for director of (i) the Company or (ii) an affiliated entity of the Company and the immediate family members of such nominee;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 beneficial owner of the Company’s voting securities or any immediate family member of such owner; and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enterprises in which a substantial interest in the voting power is owned, directly or indirectly by a person described in any of the immediately preceding four bullet points or over which such a person is able to exercise significant influence.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information below describes related party transactions we have entered into, which are material to the company or the related party, or any transactions that are unusual in their nature or conditions, involving goods, services or tangible or intangible assets, to which the company or any of its affiliates was a party.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about our related party transactions is included in Note 28 to the audited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connection with the Offering, we entered into a registration rights agreement with our Chief Executive Officer, Isaias (Zak) Jose Calisto. The registration rights agreement grants Mr. Calisto and his designees specified registration rights in connection with any transfer of ordinary shares issuable to us or our affiliates upon conversion of any shares. As a result, Mr. Calisto may require us to use reasonable best efforts to effect the registration under the Securities Act of our ordinary shares that he or his affiliates own, in each case at our own expense. The registration rights agreement also provides that we will indemnify Mr. Calisto in connection with the registration of our ordinary shares.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Loan Arrangements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Given our commitment to South Africa’s broad-based Black economic codes of good practice, we entered into an Enterprise Development Loan Agreement with Bumbene House (Proprietary) Limited in February 2020 under which we provided Bumbene House (Proprietary) Limited with a loan in an aggregate amount of ZAR 11.0 million. The loan was extended by a further ZAR 8.4 million during the 2021 financial year, ZAR 6.4 million during the 2023 financial year, another ZAR 2.4 million in the 2024 financial year and ZAR 0.5 million in the 2025 financial year. Amounts due under this loan bear no interest, have no fixed terms of repayment and are repayable on demand. As at February 28, 2025, ZAR 28.7 million of this loan remained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Karooooo Logistics (Pty) Ltd: </w:t>
      </w:r>
      <w:r>
        <w:rPr>
          <w:rFonts w:ascii="Times New Roman" w:cs="Times New Roman" w:eastAsia="Times New Roman" w:hAnsi="Times New Roman"/>
          <w:sz w:val="14"/>
          <w:szCs w:val="14"/>
          <w:color w:val="auto"/>
        </w:rPr>
        <w:t>In September 2021, the Group strategically acquired 70.1% of the shares and voting interest in Karooooo Logistics (Picup), a logistics cloud- based disruptive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company located in South Africa. The acquisition may be a related party transaction given that Isaias (Zak) Jose Calisto, founder and CEO of Karooooo, had been working with Picup prior to its acquisition by the Group, to build the Picup business for scale, including through a ZAR 4.5 million loan from Onecell Holdings (Pty) Ltd of which Mr J Marais and Mr Calisto hold substantial voting interests, and Mr Calisto is a director, given the timing of the approval of the transaction. The loan was intended as a once-off short-term bridge financing for Picup prior to final acquisition approvals, and was fully repaid in September 2021 following the completion of the acquisition.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J Marais, Mr Calisto and Onecell Holdings (Pty) Ltd had no interest in Picup prior to the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Q2 FY 2025, by way of a repurchase and cancellation by Karooooo Logistics (Pty) Ltd of its own shares from minority shareholders, the Group’s interest increased to 74.8%.</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Karooooo Logistics (Pty) Ltd: </w:t>
      </w:r>
      <w:r>
        <w:rPr>
          <w:rFonts w:ascii="Times New Roman" w:cs="Times New Roman" w:eastAsia="Times New Roman" w:hAnsi="Times New Roman"/>
          <w:sz w:val="14"/>
          <w:szCs w:val="14"/>
          <w:b w:val="1"/>
          <w:bCs w:val="1"/>
          <w:i w:val="1"/>
          <w:iCs w:val="1"/>
          <w:color w:val="auto"/>
        </w:rPr>
        <w:t>Put Option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 Karooooo acquired 70.1% of Karooooo Logistics (Picup) in September 2021, Karooooo entered into a Put Option Agreement with our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Officer, Isaias (Zak) Jose Calisto, the ultimate controlling shareholder of Karooooo, to grant Karooooo the right to sell all its interest in Karooooo Logistics to Isaias (Zak) Jose Calisto. The put option expired on August 31, 2022. As this was a transaction between Karooooo and the ultimate controlling shareholder of Karooooo, Isaias (Zak) Jose Calisto, the fair value and subsequent changes in fair value of the put option is recognized directly against retained earnings, amounting to ZAR 15.3 million.</w:t>
      </w:r>
    </w:p>
    <w:p>
      <w:pPr>
        <w:spacing w:after="0" w:line="1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Purple Rain Properties (Pty) Ltd (“Purple Rain”): </w:t>
      </w:r>
      <w:r>
        <w:rPr>
          <w:rFonts w:ascii="Times New Roman" w:cs="Times New Roman" w:eastAsia="Times New Roman" w:hAnsi="Times New Roman"/>
          <w:sz w:val="14"/>
          <w:szCs w:val="14"/>
          <w:color w:val="auto"/>
        </w:rPr>
        <w:t>In February 2022, the Group acquired 100% of the shares and voting interest in Purple Rain for a nominal consideration of ZAR 100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equaled the net asset value and issued share capital of Purple Rain at the time.</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Transaction was a related party transaction due to Mr J Marais and Mr Calisto indirectly owning Purple Rain through their interest in Onecell Holdings (Pty) Ltd, a private company registered in South Africa.</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Purple Rain’s only asset is the properties at the location of the office space situated at 11 Keyes Avenue Rosebank (“office premises”), previously utilized by Cartrack businesses in Johannesburg, South Africa prior to this acquisition, Independent valuation appraisals of these properties had been concluded.</w:t>
      </w:r>
    </w:p>
    <w:p>
      <w:pPr>
        <w:spacing w:after="0" w:line="124"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4"/>
          <w:szCs w:val="14"/>
          <w:color w:val="auto"/>
        </w:rPr>
        <w:t>Given Karooooo’s consistent annual growth rate since inception, the office premises no longer provided adequate space to accommodate the expected growth, resulting in the decision to demolish and consolidate the properties to enable the erection of a head office suite for South Africa.</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at February 28, 2025, the total cost for the redevelopment of the office premises, including the site, was ZAR 429.2 million. The complete asset, equates to an estimated monthly long term lease cost of approximately ZAR 115 per square meter in comparison to the current market rate of approximately ZAR 140 per square meter, with an annual escalation of 8%. The new offices, including 404 parking bays, has a built-up area of approximately 31,800 square meters. Cartrack has moved into the new premises pursuant to lease agreements with Purple Rain. The leases of premises in Rosebank, Johannesburg and another location in Randburg, Johannesburg, South Africa, are set out in Item 4.D “Property, Plant and Equipment”.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  INTERESTS OF EXPERTS AND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8" w:name="page89"/>
    <w:bookmarkEnd w:id="88"/>
    <w:p>
      <w:pPr>
        <w:ind w:left="4460"/>
        <w:spacing w:after="0"/>
        <w:rPr>
          <w:sz w:val="20"/>
          <w:szCs w:val="20"/>
          <w:color w:val="auto"/>
        </w:rPr>
      </w:pPr>
      <w:r>
        <w:rPr>
          <w:rFonts w:ascii="Times New Roman" w:cs="Times New Roman" w:eastAsia="Times New Roman" w:hAnsi="Times New Roman"/>
          <w:sz w:val="14"/>
          <w:szCs w:val="14"/>
          <w:b w:val="1"/>
          <w:bCs w:val="1"/>
          <w:color w:val="auto"/>
        </w:rPr>
        <w:t>Item 8. FINANCIAL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CONSOLIDATED STATEMENTS AND OTHER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18.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To our knowledge, we are not currently a party to any legal proceeding that would have a material adverse effect on our financial condition, results of operations, or liquidity, nor are we aware of any pending legal proceedings, which may have a material adverse effect on our financial condition, results of operations, or liquidity. From time to time in the future, we may become involved in legal proceedings arising in the ordinary course of our business. Litigation is subject to many uncertainties, the outcome of individual litigated matters is not predictable with assurance, and it is reasonably possible that some of these matters may be decided unfavorably to 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DIVIDEND POLICY</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“Risk Factors—Although Karooooo has paid dividends in the past, our ability to pay dividends in the future depends on many factors and we cannot guarantee you that we will continue to pay dividends in the future.”</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accordance with the stated dividend policy above, an interim dividend of 1.08 U.S. cents per ordinary share, pertaining to the second quarter of Karooooo’s 2025 financial year, that was paid out of Karooooo’s retained earnings, on August 12, 2024 (in South Africa) and August 14, 2024 (in the US) to shareholders on record as at the close of business on August 8, 2024. Although Karooooo’s reporting currency is ZAR, its statutory filings in Singapore are reported in USD, as a result of which dividends are declared in USD.</w:t>
      </w:r>
    </w:p>
    <w:p>
      <w:pPr>
        <w:spacing w:after="0" w:line="13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SIGNIFICANT 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35 in the notes to the consolidated financial statements attached to this annual report for discussion of subsequent events since the date of our most recent audited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89" w:name="page90"/>
    <w:bookmarkEnd w:id="89"/>
    <w:p>
      <w:pPr>
        <w:ind w:left="4520"/>
        <w:spacing w:after="0"/>
        <w:rPr>
          <w:sz w:val="20"/>
          <w:szCs w:val="20"/>
          <w:color w:val="auto"/>
        </w:rPr>
      </w:pPr>
      <w:r>
        <w:rPr>
          <w:rFonts w:ascii="Times New Roman" w:cs="Times New Roman" w:eastAsia="Times New Roman" w:hAnsi="Times New Roman"/>
          <w:sz w:val="14"/>
          <w:szCs w:val="14"/>
          <w:b w:val="1"/>
          <w:bCs w:val="1"/>
          <w:color w:val="auto"/>
        </w:rPr>
        <w:t>Item 9. THE OFFER AND LISTING</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 OFFER AND LISTING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market in which our ordinary shares trade is the Nasdaq Capital Market under the symbol “KARO”.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secondary market in which our ordinary shares trade is the Johannesburg Stock Exchange (“JSE”) under the symbol “KRO”.</w:t>
      </w:r>
    </w:p>
    <w:p>
      <w:pPr>
        <w:spacing w:after="0" w:line="18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PLAN OF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SELLING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E.</w:t>
        <w:tab/>
        <w:t>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520" w:hanging="256"/>
        <w:spacing w:after="0"/>
        <w:tabs>
          <w:tab w:leader="none" w:pos="52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EXPENSES OF THE ISSUE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159"/>
          </w:cols>
          <w:pgMar w:left="300" w:top="724"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Item 10. ADDITIONAL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SHARE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MEMORANDUM AND ARTICLES OF ASSOCIATION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information required by this section, including a summary of certain key provisions of our constitution, has been included previously in our Registration Statement on Form F-1 (Registration No. 333-253625) as filed under the Securities Act with the SEC on February 26, 2021 and has not changed since, and therefore is incorporated by reference to that Registration Statement. A copy of our constitution is attached as Exhibit 1.1 to this annual report. For additional information on our memorandum and articles of association, please see Exhibit 2.2 “Description of Ordinary Shares” to this annual report.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  MATERIAL CONTRACTS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have not entered into any material contracts other than in the ordinary course of business and other than as may be described in Item 5.B. “Operating and Financial Review and Prospects— Liquidity and Capital Resources,” Item 7.B. “Major Shareholders and Related Party Transactions—Related Party Transactions” or elsewhere in this annual report.</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EXCHANGE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governmental laws, decrees, regulations or other legislation of Singapore that may affect:</w:t>
      </w:r>
    </w:p>
    <w:p>
      <w:pPr>
        <w:spacing w:after="0" w:line="183" w:lineRule="exact"/>
        <w:rPr>
          <w:sz w:val="20"/>
          <w:szCs w:val="20"/>
          <w:color w:val="auto"/>
        </w:rPr>
      </w:pPr>
    </w:p>
    <w:p>
      <w:pPr>
        <w:ind w:left="520" w:hanging="256"/>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import or export of capital including the availability of cash and cash equivalents for use by the Company, or</w:t>
      </w:r>
    </w:p>
    <w:p>
      <w:pPr>
        <w:spacing w:after="0" w:line="182" w:lineRule="exact"/>
        <w:rPr>
          <w:rFonts w:ascii="Times New Roman" w:cs="Times New Roman" w:eastAsia="Times New Roman" w:hAnsi="Times New Roman"/>
          <w:sz w:val="14"/>
          <w:szCs w:val="14"/>
          <w:color w:val="auto"/>
        </w:rPr>
      </w:pPr>
    </w:p>
    <w:p>
      <w:pPr>
        <w:ind w:right="380" w:firstLine="264"/>
        <w:spacing w:after="0" w:line="510" w:lineRule="auto"/>
        <w:tabs>
          <w:tab w:leader="none" w:pos="51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remittance of dividends, interests or other payments to non-resident holders of the Company’s securities other than those deriving from the U.S.-Singapore double taxation treaty. The risks associated with exchange controls experienced in the ordinary course of business are described in Item 3.D. “Key Information—Risk Factors.”</w:t>
      </w:r>
    </w:p>
    <w:p>
      <w:pPr>
        <w:spacing w:after="0" w:line="1" w:lineRule="exact"/>
        <w:rPr>
          <w:sz w:val="20"/>
          <w:szCs w:val="20"/>
          <w:color w:val="auto"/>
        </w:rPr>
      </w:pPr>
    </w:p>
    <w:p>
      <w:pPr>
        <w:ind w:right="9660" w:firstLine="264"/>
        <w:spacing w:after="0" w:line="512" w:lineRule="auto"/>
        <w:tabs>
          <w:tab w:leader="none" w:pos="515"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TAXATION TAX CONSIDERATIONS</w:t>
      </w:r>
    </w:p>
    <w:p>
      <w:pPr>
        <w:jc w:val="both"/>
        <w:spacing w:after="0" w:line="275" w:lineRule="auto"/>
        <w:rPr>
          <w:sz w:val="20"/>
          <w:szCs w:val="20"/>
          <w:color w:val="auto"/>
        </w:rPr>
      </w:pPr>
      <w:r>
        <w:rPr>
          <w:rFonts w:ascii="Times New Roman" w:cs="Times New Roman" w:eastAsia="Times New Roman" w:hAnsi="Times New Roman"/>
          <w:sz w:val="14"/>
          <w:szCs w:val="14"/>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Singaporean Tax Considerations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statements made herein regarding taxation are general in nature and based on certain aspects of current tax laws of Singapore and administrative guidelines issued by the relevant authorities in force as at the date of this annual report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annual report accepts responsibility for any tax effects or liabilities resulting from the subscription for, purchase, holding or disposal of our ordinary shares.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Individual Income Tax</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91" w:name="page92"/>
    <w:bookmarkEnd w:id="91"/>
    <w:p>
      <w:pPr>
        <w:jc w:val="both"/>
        <w:spacing w:after="0" w:line="268" w:lineRule="auto"/>
        <w:rPr>
          <w:sz w:val="20"/>
          <w:szCs w:val="20"/>
          <w:color w:val="auto"/>
        </w:rPr>
      </w:pPr>
      <w:r>
        <w:rPr>
          <w:rFonts w:ascii="Times New Roman" w:cs="Times New Roman" w:eastAsia="Times New Roman" w:hAnsi="Times New Roman"/>
          <w:sz w:val="14"/>
          <w:szCs w:val="14"/>
          <w:color w:val="auto"/>
        </w:rPr>
        <w:t>Individual taxpayers who are Singapore tax residents are subject to Singapore income tax on income accruing in or derived from Singapore. All foreign-sourced income received in Singapore on or after January 01,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22% up to YA2023. With effect from YA2024, the maximum tax rate for tax resident is 24%.</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Non-resident individuals, subject to certain exceptions and conditions, are subject to Singapore income tax on income accruing in or derived from Singapore at the rate of 22% up to year of assessment (“YA”) 2023. With effect from YA2024, the non-resident tax rate is 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Income Tax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corporate taxpayer is regarded as resident in Singapore for Singapore tax purposes if the control and management of its business is exercised in Singapore.</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or after June 01, 2003 are exempt from tax if certain prescribed conditions are met, including the following:</w:t>
      </w:r>
    </w:p>
    <w:p>
      <w:pPr>
        <w:spacing w:after="0" w:line="136" w:lineRule="exact"/>
        <w:rPr>
          <w:sz w:val="20"/>
          <w:szCs w:val="20"/>
          <w:color w:val="auto"/>
        </w:rPr>
      </w:pPr>
    </w:p>
    <w:p>
      <w:pPr>
        <w:ind w:left="520" w:hanging="256"/>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income is subject to tax of a similar character to income tax under the law of the jurisdiction from which such income is received; and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concessions and clarifications have also been announced by the Inland Revenue Authority of Singapore (“IRAS”) with respect to such conditions.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 non-resident corporate taxpayer is subject to income tax on income that is accrued in or derived from Singapore, and on foreign-sourced income received or deemed received in Singapore, subject to certain exceptions.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corporate tax rate in Singapore is currently 17%. In addition, 75% of up to the first S$10,000 of a company’s annual normal chargeable income, and 50% of up to the next S$190,000, is exempt from corporate tax from the YA2020 onwards. The remaining chargeable income (after the tax exemption) will be fully taxable at the prevailing corporate tax rate.</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New companies will also, subject to certain conditions and exceptions, be eligible for tax exemption on 75% of up to the first S$100,000 of a company’s annual normal chargeable income, and 50% of up to the next S$100,000, a year for each of the Company’s first three YAs from YA2020 onwards. The remaining chargeable income (after the tax exemption) will be taxed at the applicable corporate tax rate.</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part of its budget for 2024, the Singapore government has announced a Corporate Income Tax rebate (“CIT Rebate”) of 50% of the corporate tax payables, to assist companies to manage rising costs, available to all taxpaying companies, whether tax resident or not, for YA 2024. Companies that have employed at least one local employee in 2023 will receive $2,000 in cash payout (referred to as “CIT Rebate Cash Grant”). Such companies will therefore receive a minimum benefit of $2,000. The maximum total benefits of CIT Rebate and CIT Rebate Cash Grant that a company may receive is $40,000.</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its Budget 2025, in order to provide support for the cash flow requirements of companies, the Singapore government announced a Corporate Income Tax rebate (“CIT Rebate”) of 50% of the corporate tax payable to all taxpaying companies, whether tax resident or not, for YA 2025. Active companies that have employed at least one local employee in 2024 (referred to as “local employee condition”) will receive a minimum benefit of $2,000 in the form of a CIT Rebate Cash Grant. The total maximum benefits of the CIT Rebate and CIT Rebate Cash Grant that a company may receive is $40,000.</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Under Pillar Two of the Base Erosion and Profit Shifting (“BEPS”) 2.0 initiative, the Singapore Pillar Two legislation relating to the Income Inclusion Rule (“IIR”), through the Multinational Top up Tax (“MTT”) and Domestic Top-up Tax (“DTT”), has been officially enacted on January 01, 2025. A minimum effective tax rate of 15% on businesses’ profits from financial years starting on or after January 01, 2025 will be imposed on relevant Multinational Enterprise (“MNE”) with annual group revenue of EUR 750 million or more in at least two of the four preceding financial years (referred to as “in-scope MNE groups”), in line with the Pillar Two Global Anti-Base Erosion (“GloBE”) Model Rules. As at February 28, 2025, the Group is not in-scope.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Distributions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Singapore-resident companies are currently under the one-tier corporate tax system (“one-tier system”).</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i w:val="1"/>
          <w:iCs w:val="1"/>
          <w:color w:val="auto"/>
        </w:rPr>
        <w:t>Gains on Disposal of our Ordinary Shares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 In any event, gains arising from the disposal of our ordinary shares by a non-resident person that does not carry on any trade or business in Singapore and does not have any permanent establishment in Singapore for Singapore tax purposes should not be subject to tax in Singapore where such gains are not received or deemed to be received in Singapore.</w:t>
      </w:r>
    </w:p>
    <w:p>
      <w:pPr>
        <w:spacing w:after="0" w:line="3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Stamp Duty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Pursuant to recent amendments to the Stamp Duties Act, Chapter 312 of Singapore, stamp duty is payable on certain electronic instruments that effect a transfer of interest in our ordinary shares, where such instruments are regarded or deemed to be executed in Singapore, or executed outside Singapore and received in Singapore. In this regard, an electronic instrument that is executed outside Singapore is received in Singapore if (a) it is retrieved or accessed by a person in Singapore; (b) an electronic copy of it is stored on a device (including a computer) and brought into Singapore; or (c) an electronic copy of it is stored on a computer in Singapore.</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the basis that any transfer instruments in respect of any interests in our ordinary shares (whether traded on Nasdaq or JSE) are executed outside Singapore through the transfer agent(s), share registrar(s) and/or administrative depositary agent(s) in the United States and/or South Africa for registration in our share register(s) and/or administrative depositary register(s) (including branch register(s) of members) maintained in the United States and/or South Africa respectively,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Estate Duty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Singapore estate duty was abolished with respect to all deaths occurring on or after February 15, 2008.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Goods and Services Tax (“GST”)</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3" w:name="page94"/>
    <w:bookmarkEnd w:id="93"/>
    <w:p>
      <w:pPr>
        <w:jc w:val="both"/>
        <w:spacing w:after="0" w:line="268" w:lineRule="auto"/>
        <w:rPr>
          <w:sz w:val="20"/>
          <w:szCs w:val="20"/>
          <w:color w:val="auto"/>
        </w:rPr>
      </w:pPr>
      <w:r>
        <w:rPr>
          <w:rFonts w:ascii="Times New Roman" w:cs="Times New Roman" w:eastAsia="Times New Roman" w:hAnsi="Times New Roman"/>
          <w:sz w:val="14"/>
          <w:szCs w:val="14"/>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9.0%. Similar services rendered by a GST registered person contractually to and for the direct benefit of an investor belonging outside Singapore should generally, subject to the satisfaction of certain conditions, be subject to GST at 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African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summary describes the principal South African income tax considerations generally applicable to the acquisition, holding and disposal of the Company’s ordinary shares.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registration statement, the term “SA Corporate” means a person in section 64F(1)(a) of the Income Tax Act being “a company which is a resident” for tax purposes in South Africa.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registration statement, the term “Regulated Intermediary” means a regulated intermediary as contemplated in section 64D of the Income Tax Act.</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tax years ending before March 31, 2023, the Corporate Income Tax rate applicable to the corporate income of both resident and non-resident companies is 28%. This rate has been reduced to 27% with effect for years of assessment ending on or after March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 Tax Resident Shareholders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SA Tax Resident Shareholders (i.e. shareholders of the Company who are subject to income tax in South Africa on their worldwide income) will initially be reflected in the administrative depositary share register in South Africa and will not hold their shares through DTC. Individual SA Tax Resident Shareholders who choose to hold their shares through DTC will need to ensure they have sufficient annual single discretionary allowance, trusts and SA corporates would require foreign direct investment allowance clearance in addition to SARB approval for this purpose.</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South African dividend tax at 20% will be withheld on any cash dividends declared and paid by the Company to SA Tax Resident Shareholders holding Company ordinary shares listed on the JSE, subject to any applicable exemptions that may apply.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4" w:name="page95"/>
    <w:bookmarkEnd w:id="94"/>
    <w:p>
      <w:pPr>
        <w:jc w:val="both"/>
        <w:spacing w:after="0" w:line="292" w:lineRule="auto"/>
        <w:rPr>
          <w:sz w:val="20"/>
          <w:szCs w:val="20"/>
          <w:color w:val="auto"/>
        </w:rPr>
      </w:pPr>
      <w:r>
        <w:rPr>
          <w:rFonts w:ascii="Times New Roman" w:cs="Times New Roman" w:eastAsia="Times New Roman" w:hAnsi="Times New Roman"/>
          <w:sz w:val="14"/>
          <w:szCs w:val="14"/>
          <w:color w:val="auto"/>
        </w:rPr>
        <w:t>No South African dividend tax will be withheld on any cash dividends declared and paid by the Company to SA Tax Resident Shareholders holding Company ordinary shares through DTC. Such dividends will be subject to income tax in South Africa in the hands of the SA Tax Resident Shareholders.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 controlled foreign company (“CFC”) is a non-South African company in which more than 50% of the participation rights/voting rights are directly or indirectly held/exercisable by SA Tax Residents who are not headquarter companies. Certain profits of CFCs are included in the taxable income of certain SA Tax Resident ordinary shareholders.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shares are not held more than 50% by SA Tax Resident ordinary shareholders and thus the Company is not currently a CFC.</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shareholder base of the Company, classified either as SA Tax Resident Shareholders or non-SA Tax Resident Shareholders, may vary over time. Where the Company achieves CFC status in future, only those SA Tax Resident Shareholders holding, alone or together with any connected person, 10% or more of the Company’s ordinary shares must include in their taxable income (i.e. impute unless any of the exemptions from imputation apply — see below) their proportion of the “profit” of the Company, with such proportion being their proportional shareholding equivalent to the percentage of their shareholding in the Company’s ordinary shares.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 Tax Resident Shareholders that dispose of their Company ordinary shares will be subject to either income tax (in the case of share dealers) or capital gains tax (in the case of capital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Non-SA Tax Resident Shareholders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No South African dividend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is applicable in terms of the Income Tax Act,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 tax is not applicable.</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Where the Non-SA Tax Resident Shareholders are share dealers no income tax will be payable on disposal of their Company ordinary shares registered on the JSE or through the DTC as the income will not be from a South African source, provided that the Company ordinary shares are not attributable to a permanent establishment of the Non-SA Tax Resident shareholder in South Africa.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following are certain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This discussion applies only to a U.S. Holder that holds the ordinary shares as capital assets for U.S. federal income tax purposes. In addition, it does not describe all of the tax consequences that may be relevant in light of a U.S. Holder’s particular circumstances, including any minimum tax or Medicare contribution tax considerations, or consequences applicable to U.S. Holders subject to special rules, such as:</w:t>
      </w:r>
    </w:p>
    <w:p>
      <w:pPr>
        <w:spacing w:after="0" w:line="136" w:lineRule="exact"/>
        <w:rPr>
          <w:sz w:val="20"/>
          <w:szCs w:val="20"/>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financial institutions;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traders in securities that use a mark-to-market method of tax accounting;</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as part of a straddle, integrated or similar transaction;</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for U.S. federal income tax purposes is not the U.S. dollar;</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classified as partnerships for U.S. federal income tax purposes and their partners;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 “individual retirement accounts” or “Roth IRAs”;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expatriates and former citizens or long-term residents of the United States;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10% or more of our stock by voting power or value;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our ordinary shares pursuant to the exercise of an employee stock option or otherwise as compensation; or</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in connection with a trade or business outside the United States.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that own ordinary shares and their partners should consult their tax advisers as to their particular U.S. federal income tax consequences of owning and disposing of ordinary shares.</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This discussion is based on the Internal Revenue Code of 1986, as amended (the “Code”), administrative pronouncements, judicial decisions, and final, temporary and proposed Treasury regulations, all as at the date hereof, any of which is subject to change, possibly with retroactive effect.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herein, a “U.S. Holder” is a person that is, for U.S. federal income tax purposes, a beneficial owner of ordinary shares and:</w:t>
      </w:r>
    </w:p>
    <w:p>
      <w:pPr>
        <w:spacing w:after="0" w:line="183" w:lineRule="exact"/>
        <w:rPr>
          <w:sz w:val="20"/>
          <w:szCs w:val="20"/>
          <w:color w:val="auto"/>
        </w:rPr>
      </w:pPr>
    </w:p>
    <w:p>
      <w:pPr>
        <w:ind w:left="520" w:hanging="256"/>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in or under the laws of the United States, any state therein or the District of Columbia; or</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or trust the income of which is subject to U.S. federal income taxation regardless of its source.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color w:val="auto"/>
        </w:rPr>
        <w:t>This discussion does not address the effects of any state, local or non-U.S. tax laws, or any U.S. federal tax laws other than income tax laws (such as U.S. federal estate or gift tax laws).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should consult their tax advisers concerning the U.S. federal, state, local and non-U.S. tax consequences of owning and disposing of ordinary shares in their particular circumstances.</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Except as described below under “— Passive Foreign Investment Company Rules,” this discussion assumes that we are not, and will not be, a passive foreign investment company (a “PFIC”) for any taxable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of Distributions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(or is treated as a PFIC with respect to a particular U.S. Holder) for a taxable year of ours in which the dividend is paid or the preceding taxable year. Non-corporate U.S. Holders should consult their tax advisers regarding the availability of the preferential rate and any limitations that may apply in their particular circumstances.</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described under Item 10.E. “Tax Considerations—Singaporean Tax Considerations—Dividend Distributions” and “Tax Considerations—South African Tax Considerations— 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or Other Taxable Disposition of Ordinary Shares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This discussion assumes that sales or dispositions of our ordinary shares will not be subject to any non-U.S.tax. U.S. Holders should consult their tax advisers regarding the U.S. federal income tax consequences of the imposition of any non-U.S. taxes on dispositions of our ordinary shares in general and in their particular circumstances.</w:t>
      </w:r>
    </w:p>
    <w:p>
      <w:pPr>
        <w:spacing w:after="0" w:line="2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color w:val="auto"/>
        </w:rPr>
        <w:t>Passive Foreign Investment Company Rules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Based on the composition of our income and assets and the value of our assets, including the estimated value of our goodwill and other intangible assets, we believe that we were not a PFIC for our taxable year ended February 28, 2025. However, our PFIC status for any taxable year is an annual factual determination that can be made only after the end of that year, and depends on the composition of our income and assets and the value of our assets from time to time (including the value of our goodwill and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certain other intangible assets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general, if we are a PFIC for any taxable year of ours during which a U.S. Holder owns ordinary shares, gain recognized by such U.S. Holder on a sale or other disposition (including certain pledges) of its ordinary shares will be allocated ratably over its holding period. The amounts allocated to the U.S. Holder’s taxable year of the sale or disposition and to any taxable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98" w:name="page99"/>
    <w:bookmarkEnd w:id="98"/>
    <w:p>
      <w:pPr>
        <w:jc w:val="both"/>
        <w:spacing w:after="0" w:line="292" w:lineRule="auto"/>
        <w:rPr>
          <w:sz w:val="20"/>
          <w:szCs w:val="20"/>
          <w:color w:val="auto"/>
        </w:rPr>
      </w:pPr>
      <w:r>
        <w:rPr>
          <w:rFonts w:ascii="Times New Roman" w:cs="Times New Roman" w:eastAsia="Times New Roman" w:hAnsi="Times New Roman"/>
          <w:sz w:val="14"/>
          <w:szCs w:val="14"/>
          <w:color w:val="auto"/>
        </w:rPr>
        <w:t>If we are a PFIC (or with respect to a particular U.S. Holder are treated as a PFIC) for a taxable year of ours in which we pay a dividend or for the prior taxable year, the preferential tax rate described above with respect to dividends paid to certain non-corporate U.S. Holders will not apply.</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establishes that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34" w:lineRule="exact"/>
        <w:rPr>
          <w:sz w:val="20"/>
          <w:szCs w:val="20"/>
          <w:color w:val="auto"/>
        </w:rPr>
      </w:pPr>
    </w:p>
    <w:p>
      <w:pPr>
        <w:ind w:left="520" w:hanging="256"/>
        <w:spacing w:after="0"/>
        <w:tabs>
          <w:tab w:leader="none" w:pos="52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DIVIDENDS AND PAYING AGENTS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  STATEMENT BY EXPERTS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H.  DOCUMENTS ON DISPLAY</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w:t>
      </w:r>
    </w:p>
    <w:p>
      <w:pPr>
        <w:spacing w:after="0" w:line="134" w:lineRule="exact"/>
        <w:rPr>
          <w:sz w:val="20"/>
          <w:szCs w:val="20"/>
          <w:color w:val="auto"/>
        </w:rPr>
      </w:pPr>
    </w:p>
    <w:p>
      <w:pPr>
        <w:ind w:left="520" w:hanging="256"/>
        <w:spacing w:after="0"/>
        <w:tabs>
          <w:tab w:leader="none" w:pos="52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SUBSIDIARY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520" w:hanging="256"/>
        <w:spacing w:after="0"/>
        <w:tabs>
          <w:tab w:leader="none" w:pos="52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ANNUAL REPORT TO SECURITY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Item 11. QUANTITATIVE AND QUALITATIVE DISCLOSURES ABOUT RISK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Please refer to Note 29 to the accompanying consolidated financial statements included elsewhere in this annual report for information about quantitative and qualitative disclosures about market risk.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Thai baht, the Singapore dollar and Polish zloty.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Risk Factors note on foreign currencies on page 23 and Note 29.2 (c) on Currency Risk on page F-47) At this time, we do not hedge our foreign currency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Interest rate risk primarily relates to our loan obligations with variable interest rates. For example, amounts outstanding under our Term Loan Facilities accrue interest at variable rates linked to the South African prime rate and 12-month Euribor which exposes us to interest rate risk. Short-term deposits held at banking institutions also carry interest rates at prevailing market conditions.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An increase of 100 basis points as at February 28, 2025 would have resulted in ZAR 5.20 million in additional interest expenses. We have not entered into any financial instruments to mitigate interest rate risk.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Credit risk primarily results from when a customer fails to meet its contractual obligations, and arises principally from our receivables from customer, cash deposits and cash equivalents. Credit risk is managed by each subsidiary subject to our policies and procedures. A significant percentage of our individual customers pay via direct debit in order to minimize our credit risk.</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evaluate credit risk relating to customers on an ongoing basis using independent ratings, or if independent ratings are not available, we assess the credit quality of our customers by taking into account their financial position, past experience and other factors, including the default risk associated with the country in which the customer operates. Individual risk limits are set based on internal or external ratings in accordance with limits set by our board of directors. The utilization of credit limits is regularly monitored.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have any significant credit risk exposure to any single customer or any group of customers having similar characteristics.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0" w:name="page101"/>
    <w:bookmarkEnd w:id="100"/>
    <w:p>
      <w:pPr>
        <w:jc w:val="right"/>
        <w:ind w:right="1919"/>
        <w:spacing w:after="0"/>
        <w:rPr>
          <w:sz w:val="20"/>
          <w:szCs w:val="20"/>
          <w:color w:val="auto"/>
        </w:rPr>
      </w:pPr>
      <w:r>
        <w:rPr>
          <w:rFonts w:ascii="Times New Roman" w:cs="Times New Roman" w:eastAsia="Times New Roman" w:hAnsi="Times New Roman"/>
          <w:sz w:val="14"/>
          <w:szCs w:val="14"/>
          <w:b w:val="1"/>
          <w:bCs w:val="1"/>
          <w:color w:val="auto"/>
        </w:rPr>
        <w:t>Item 12. DESCRIPTION OF SECURITIES OTHER THAN EQUITY SECURITIES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DEBT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WARRANTS AND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  OTHER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AMERICAN DEPOSITORY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159"/>
          </w:cols>
          <w:pgMar w:left="300" w:top="724"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13. DEFAULTS, DIVIDEND ARREARAGES AND DELINQUENCIES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DEFAULTS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ARREARS AND DELINQUENCIES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14. MATERIAL MODIFICATIONS TO THE RIGHTS OF SECURITY HOLDERS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15. CONTROLS AND PROCEDURES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DISCLOSURE CONTROLS AND PROCEDURES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evaluated, with the participation of our Chief Executive Officer and Chief Financial Officer, the effectiveness of the Group’s disclosure controls and procedures (as defined in Rule 13a-15(e) of the Exchange Act, as amended) as at February 28, 2025. Based on that evaluation, we concluded that, as at such date, as a result of the material weaknesses in our internal control over financial reporting described below, our disclosure controls and procedures were not effective to ensure that the information required to be disclosed by us in reports that we file or submit under the Exchange Act is accumulated and communicated to our management, including our Chief Executive Officer and our Chief Financial Officer, to allow timely decisions regarding required disclosures, and is recorded, processed, summarized and reported within the time periods specified by the SEC’s rules and forms.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Notwithstanding such material weaknesses in our internal control over financial reporting, our management, including our principal executive officer and principal financial officer, concluded that our consolidated financial statements in this Annual Report present fairly, in all material respects, our financial position, results of operations and cash flows for the periods presented, in accordance with IFRS as issued by the IASB.</w:t>
      </w:r>
    </w:p>
    <w:p>
      <w:pPr>
        <w:spacing w:after="0" w:line="13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MANAGEMENT’S ANNUAL REPORT ON INTERNAL CONTROL OVER FINANCIAL REPORTING</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Management of Karooooo is responsible for establishing and maintaining adequate internal control over financial reporting as defined in Rule 13a-15(f) under the Securities Exchange Act of 1934, as amended, for the Company. Karooooo’s internal control over financial reporting is a process designed to provide reasonable assurance regarding the reliability of Karooooo’s financial reporting and the preparation and fair presentation of financial statements for external purposes in accordance with IFRS as issued by the IASB.</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Karooooo’s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in accordance with IFRS.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Management assessed the effectiveness of the Company’s internal control over financial reporting as at February 28, 2025. In making these assessments, management used the criteria set forth by the Committee of Sponsoring Organizations of the Treadway Commission (COSO) in “Internal Control— Integrated Framework (2013)’’ and because of the material weaknesses described below, management concluded that the Internal Control over Financial Reporting (“ICFR”) was not effective as at February 28, 2025.</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part of our ongoing project to evaluate and enhance our internal control over financial reporting, during the financial year ended February 28, 2025, we refined our controls documentation, identified control gaps, and conducted testing to evaluate the design, implementation and in certain regards the operating effectiveness of our key controls. During this process, we identified material weaknesses with respect to privileged user access and change management controls relating to certain of our systems as well as journal processing controls at one of our subsidiaries. A material weakness is a deficiency, or combination of deficiencies, in ICFR, such that there is a reasonable possibility that a material misstatement of financial statements will not be prevented or detected on a timely basis. To address the financial reporting risks arising from the material weaknesses identified, management performed mitigation controls and validation procedures to determine that no inappropriate transactions were processed during the year ended February 28,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Remediation of material weaknesses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part of our iterative improvement efforts to our internal control over financial reporting, following our identification of the material weaknesses described above, we enhanced our control procedures and attributes, and subsequently implemented revised controls. These revised controls have been tested by our management subsequent to February 28, 2025 and management believes that they are designed and implemented effectively; however, we will only conclude on remediation once our revised controls have been fully tested and deemed to have been operating effectively for a sufficient period of time.As part of our ongoing project to evaluate and enhance our internal control over financial reporting, we expect to continue to refine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b w:val="1"/>
          <w:bCs w:val="1"/>
          <w:color w:val="auto"/>
        </w:rPr>
        <w:t>C. ATTESTATION REPORT OF INDEPENDENT REGISTERED PUBLIC ACCOUNTING FIRM</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Karooooo is still classified as an Emerging Growth Company (“EGC”), under the Jumpstart our Business Startups Act (JOBS Act), the effectiveness of internal control over financial reporting as at February 28, 2025 need not be independently audited by the independent registered public accounting firm. This exemption was applied in the current reporting cycle and our independent auditor has not audited the effectiveness of our internal control over financial reporting.</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  CHANGES IN INTERNAL CONTROL OVER FINANCIAL REPORTING</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Except as disclosed above, there were no changes in our internal control over financial reporting that occurred during the year ended February 28, 2025 that have materially affected, or are reasonably likely to materially affect, the Group’s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16. RESERVED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16A. AUDIT COMMITTEE FINANCIAL EXPERT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audit committee, which consists of Siew Koon Lim, Andrew Leong and Kim White assists the board in overseeing our accounting and financial reporting processes and the audits of our financial statements.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“Certain Relationships and Related Party Transactions —Related Person Transaction Policy.” The board of directors has determined that Siew Koon Lim qualifies as an “audit committee financial expert,” as such term is defined in the rules of the SEC, and that Siew Koon Lim, Andrew Leong and Kim White are independent, as independence is defined under the rules of the SEC and the Nasdaq applicable to foreign private issuers. Siew Koon Lim acts as chairman of our audit committee and is also the appointed Lead Independent Director.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16B. CODE OF ETHICS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of our website at https://www. karooooo.com/governance-documents/. We intend to disclose any amendments to our code of business conduct and ethics, or waivers of its requirements, as it applies to our executive officers and directors, on our website or in filings under the Exchange Act.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Item 16C. PRINCIPAL ACCOUNTANT FEES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aggregate audit and audit-related fees, tax fees and all other fees billed or accrued for professional services rendered by our principal accountants Deloitte &amp;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Touche (located in South Africa) for the financial year ended February 28, 2025 and Ernst &amp; Young LLP, Singapore for the financial year ended February 29,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314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7300" w:type="dxa"/>
            <w:vAlign w:val="bottom"/>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206"/>
        </w:trPr>
        <w:tc>
          <w:tcPr>
            <w:tcW w:w="73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4"/>
                <w:szCs w:val="14"/>
                <w:color w:val="auto"/>
                <w:w w:val="98"/>
              </w:rPr>
              <w:t xml:space="preserve">(U.S.$ thousands </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14"/>
                <w:szCs w:val="14"/>
                <w:color w:val="auto"/>
                <w:w w:val="98"/>
              </w:rPr>
              <w:t>)</w:t>
            </w:r>
          </w:p>
        </w:tc>
        <w:tc>
          <w:tcPr>
            <w:tcW w:w="2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color w:val="auto"/>
              </w:rPr>
              <w:t>(in R thousands)</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7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15,568</w:t>
            </w:r>
          </w:p>
        </w:tc>
        <w:tc>
          <w:tcPr>
            <w:tcW w:w="3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18,690</w:t>
            </w:r>
          </w:p>
        </w:tc>
        <w:tc>
          <w:tcPr>
            <w:tcW w:w="80" w:type="dxa"/>
            <w:vAlign w:val="bottom"/>
            <w:shd w:val="clear" w:color="auto" w:fill="CCEEFF"/>
          </w:tcPr>
          <w:p>
            <w:pPr>
              <w:spacing w:after="0"/>
              <w:rPr>
                <w:sz w:val="14"/>
                <w:szCs w:val="14"/>
                <w:color w:val="auto"/>
              </w:rPr>
            </w:pPr>
          </w:p>
        </w:tc>
      </w:tr>
      <w:tr>
        <w:trPr>
          <w:trHeight w:val="172"/>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Tax fees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5"/>
        </w:trPr>
        <w:tc>
          <w:tcPr>
            <w:tcW w:w="7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15,568</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18,690</w:t>
            </w:r>
          </w:p>
        </w:tc>
        <w:tc>
          <w:tcPr>
            <w:tcW w:w="80" w:type="dxa"/>
            <w:vAlign w:val="bottom"/>
          </w:tcPr>
          <w:p>
            <w:pPr>
              <w:spacing w:after="0"/>
              <w:rPr>
                <w:sz w:val="16"/>
                <w:szCs w:val="16"/>
                <w:color w:val="auto"/>
              </w:rPr>
            </w:pPr>
          </w:p>
        </w:tc>
      </w:tr>
      <w:tr>
        <w:trPr>
          <w:trHeight w:val="20"/>
        </w:trPr>
        <w:tc>
          <w:tcPr>
            <w:tcW w:w="7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260" w:hanging="254"/>
        <w:spacing w:after="0" w:line="268" w:lineRule="auto"/>
        <w:tabs>
          <w:tab w:leader="none" w:pos="2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convenience purposes only, amounts in South African rand as at February 28, 2025 have been translated to U.S. dollars using an exchange rate of ZAR 18.6012 to U.S.$1.00, the exchange rate for U.S. dollars at February 28, 2025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Audit fees consist of fees billed or accrued for the annual audit of our consolidated financial statements and the audit of statutory financial statements of our subsidiaries, including fees billed for assurance and related services that are reasonably related to the performance of the audit or reviews of our financial statements that are services that only an external auditor can reasonably provide.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16D. EXEMPTIONS FROM THE LISTING STANDARDS FOR AUDIT COMMITTEES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16E. PURCHASE OF EQUITY SECURITIES BY THE ISSUER AND AFFILIATED PURCHASERS</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At the Annual General Meeting (AGM) held on August 29, 2024 the shareholders of Karooooo passed a resolution by a 97.08% majority vote authorizing the repurchase of up to 10% of the Company’s shares. The Board is duly authorized to implement this share buyback program in accordance with the requirements outlined in the resolution.</w:t>
      </w:r>
    </w:p>
    <w:p>
      <w:pPr>
        <w:spacing w:after="0" w:line="12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Purchases of ordinary shares by the Company may be made by way of market purchases on the Nasdaq and/or the JSE. At our next AGM, we expect to seek approval of the renewal of our share repurchase program on the same terms as currently in effect.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the authorization by shareholders granted at the prior AGM, held on July 12, 2023, Karooooo purchased 57,806 of its common stock, as set out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price per ordinary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 the plans</w:t>
            </w:r>
          </w:p>
        </w:tc>
      </w:tr>
      <w:tr>
        <w:trPr>
          <w:trHeight w:val="19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r>
      <w:tr>
        <w:trPr>
          <w:trHeight w:val="172"/>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9, 2024 to February 29, 2024</w:t>
            </w: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51,106</w:t>
            </w: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ZAR 466.01</w:t>
            </w:r>
          </w:p>
        </w:tc>
        <w:tc>
          <w:tcPr>
            <w:tcW w:w="2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51,106</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3,044,004</w:t>
            </w:r>
          </w:p>
        </w:tc>
        <w:tc>
          <w:tcPr>
            <w:tcW w:w="100" w:type="dxa"/>
            <w:vAlign w:val="bottom"/>
            <w:tcBorders>
              <w:top w:val="single" w:sz="8" w:color="CCEEFF"/>
            </w:tcBorders>
            <w:shd w:val="clear" w:color="auto" w:fill="CCEEFF"/>
          </w:tcPr>
          <w:p>
            <w:pPr>
              <w:spacing w:after="0"/>
              <w:rPr>
                <w:sz w:val="14"/>
                <w:szCs w:val="14"/>
                <w:color w:val="auto"/>
              </w:rPr>
            </w:pPr>
          </w:p>
        </w:tc>
      </w:tr>
      <w:tr>
        <w:trPr>
          <w:trHeight w:val="186"/>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16, 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ZAR 515.20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2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3,037,304</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Karooooo subsequently cancelled 51,106 shares, effective May 24, 2024, and 6,700 shares, effective July 2, 2024.</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authority conferred by the share repurchase mandate will continue by law until the earliest of either the date of the next AGM, the date by which the next AGM of the Company is required by law to be held or the date on which the share purchases are carried out to the full extent mandated or revoked by shareholders at a general meeting.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Item 16F. CHANGE IN REGISTRANT’S CERTIFYING ACCOUNTANT</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 previously reported in our report on Form 6-K filed on August 12, 2024, the Audit and Risk Committee of the board of directors conducted a review process to consider the selection of our independent registered public accounting firm for the audit of our financial statements for the financial year ended February 28, 2025, included in this annual report.</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On August 5, 2024, following this process, the Audit and Risk Committee recommended to our board of directors, the appointment of Deloitte &amp; Touche, located in South Africa, as our independent registered public accounting firm for the audit of our financial statements for the year ended February 28, 2025, and the dismissal of Ernst &amp; Young LLP, subject to shareholder approval at the Annual General Meeting of Karooooo Ltd held on August 29, 2024. On August 29, 2024, shareholders approved this appointment by a 99.63% majority vote.</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Ernst &amp;Young LLP issued an audit report on our financial statements for the financial years ended February 29, 2024 and February 28, 2023. These reports did not contain an adverse opinion or a disclaimer of opinion, and were not qualified or modified as to uncertainty, audit scope, or accounting principles.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During our two most recent financial years and subsequent interim periods through August 12, 2024, we had no disagreements with Ernst &amp; Young LLP on any matter of accounting principles or practices, financial statement disclosure, or auditing scope or procedure, which disagreements, if not resolved to its satisfaction, would have caused Ernst &amp; Young LLP to make reference in connection with its report. During our two most recent financial years there were no reportable events as such term is defined in Item 16F(a)(1)(iv) of Form 20-F.</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our two most recent financial years and subsequent interim periods through August 12, 2024, neither we, nor anyone acting on our behalf, consulted with Deloitte &amp; Touche on matters that involved (i) the application of accounting principles to a specified transaction, either completed or proposed, the type of audit opinion that might be rendered on our financial statements, and neither a written report nor oral advice was provided to us that Deloitte &amp; Touche concluded was an important factor considered by the Company in reaching a decision as to any accounting, auditing, or financial reporting issue, or (ii) any other matter that was either the subject of a disagreement as that term is used in Form 20-F or a reportable event.</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have provided Ernst &amp; Young LLP with a copy of the foregoing disclosure and requested that Ernst &amp; Young LLP furnish to us a letter addressed to the SEC stating whether Ernst &amp; Young LLP agrees with such disclosure, as specified by Item 16F(a)(3) of Form 20-F.</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have included as Exhibit 16.1 a copy of such letter from Ernst &amp; Young LLP incorporated by reference to our report on Form 6-K filed on August 12, 2024. The relevant Form 6-K is available on our website and at sec.gov.</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Item 16G. CORPORATE GOVERNANCE</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are a “foreign private issuer” under the securities laws of the United States and the rules of Nasdaq. Under Nasdaq’s rules, a foreign private issuer is subject to less stringent corporate governance requirements. Subject to certain exceptions, the rules of Nasdaq permit a foreign private issuer to follow its home country practice in lieu of the listing requirements of Nasdaq. We intend to follow home country practices in lieu of the listing requirements of Nasdaq with regard to the following:</w:t>
      </w:r>
    </w:p>
    <w:p>
      <w:pPr>
        <w:spacing w:after="0" w:line="136" w:lineRule="exact"/>
        <w:rPr>
          <w:sz w:val="20"/>
          <w:szCs w:val="20"/>
          <w:color w:val="auto"/>
        </w:rPr>
      </w:pPr>
    </w:p>
    <w:p>
      <w:pPr>
        <w:ind w:left="520" w:hanging="256"/>
        <w:spacing w:after="0" w:line="292"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5605(d) of Nasdaq listing rules that a compensation committee comprised solely of independent directors governed by a compensation committee charter oversee executive compensation;</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5605(b)(2) of Nasdaq listing rules that the independent directors have regularly scheduled meetings with only the independent directors present;</w:t>
      </w:r>
    </w:p>
    <w:p>
      <w:pPr>
        <w:spacing w:after="0" w:line="182" w:lineRule="exact"/>
        <w:rPr>
          <w:rFonts w:ascii="Times New Roman" w:cs="Times New Roman" w:eastAsia="Times New Roman" w:hAnsi="Times New Roman"/>
          <w:sz w:val="14"/>
          <w:szCs w:val="14"/>
          <w:color w:val="auto"/>
        </w:rPr>
      </w:pPr>
    </w:p>
    <w:p>
      <w:pPr>
        <w:ind w:left="520" w:hanging="256"/>
        <w:spacing w:after="0" w:line="266"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5605(c) of Nasdaq listing rules that a quorum must consist of at least 331⁄3 percent of the outstanding shares of a listed company’s common voting stock; and</w:t>
      </w:r>
    </w:p>
    <w:p>
      <w:pPr>
        <w:spacing w:after="0" w:line="337"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under Section 5610 of Nasdaq listing rules that a company must have adopted one or more codes of conduct applicable to all directors, officers and employees, and that such codes are publicly available.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Otherwise, we intend to follow the requirements of Nasdaq to the extent possible under Singapore law.</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addition, because we are a foreign private issuer, our directors and executive officers are not subject to short-swing profit liability and insider trading reporting obligations under Section 16 of the Exchange Act. They will, however, be subject to the obligations to report changes in share ownership under Section 13 of the Exchange Act and related SEC rules to the extent appropriate.</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SEC maintains an internet site that contains reports, proxy and information statements, other information regarding issuers that file electronically with the SEC and the address of that site is http://www.sec.gov</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16H. MINE SAFETY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16I. DISCLOSURE REGARDING FOREIGN JURISDICTIONS THAT PREVENT INSPECTIONS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16J. INSIDER TRADING POLICIES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Board has implemented an Insider Trading Policy which governs the purchase, sale and other dispositions of our securities by our directors, officers and other employees. This policy promotes compliance with applicable securities laws and regulations, including those that prohibit insider trading. A copy of the Insider Trading Policy is filed as Exhibit 11.1.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16K. CYBERSECURITY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While the Board has delegated risk management responsibilities to the Audit and Risk Committee, the Board remains ultimately responsible for the governance of risk, including cybersecurity risk. The enterprise risk management framework defines Karooooo’s risk management philosophy and encourages a risk-conscious business culture through agreed internal controls and commitment to mitigating actions. Karooooo’s risk management framework implements a bottom-up and top-down approach and has been reviewed to specifically consider the governance of risk to support the achievement of strategic objectives, including compliance and performance- related matters.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risk management framework ensures an effective system of risk identification, analysis, evaluation and treatment throughout the Group. Major risk categories have been identified as financial risk, operational risk, business risk, legal and regulatory risk and information technology risk. A dashboard of significant risks is compiled through the internal risk function from risks identified by business. Individual risk ratings are determined by the probability and impact of each risk.</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Appropriate risk response planning is ascribed to each risk and mitigating actions are monitored. This report is regularly reviewed and interrogated by the Audit and Risk Committee.</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 system of internal controls, designed to protect value and enable business growth in a sustainable manner, encompasses financial, operational, compliance and sustainability issues. This system includes a documented organisational structure and division of responsibility, clarity of accountability, established policies and procedures which are communicated throughout the Group, and the careful selection, training and development of people.</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internal audit function has been outsourced to BDO. An annual internal audit plan, containing a programme of financial and operational audits and reviews for the Group, including information technology, is agreed with the Audit and Risk Committee. This plan is developed by applying a risk-based approach and is reviewed and ultimately approved by the Board on recommendation of the Audit and Risk Committee. It is regularly revised to ensure that it remains relevant to the key business priorities and changing risk environment.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Information Technology (IT) Governance</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view of its importance as a key driver of Karooooo’s strategy and value proposition, the governance of IT, including the identification and management of risks, is managed through a separate management structure, the IT Steering Committee, that reports to the Audit and Risk Committee. Governance is achieved through the adoption and implementation of appropriate policies and procedures and the management and monitoring of compliance.</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IT Steering Committee is responsible for the effective supply and use of information and technology for the Group and is composed of the Group Chief Operating Officer (“COO”), Group Chief Information Officer (“CIO”), Group Chief Technology Officer (“CTO”), IT Governance and Risk Officer and other senior members of management as nominated by the Group Chief Executive Officer. The CIO has overall responsibility for cybersecurity in the Group, including information security risk and compliance programs, as well as cyber resilience and response plans. The CIO is supported by the IT Governance and Risk Officer and they work in partnership with various other senior members of the business, including the COO, Group Chief Financial Officer, CTO, Legal Officer, Compliance Officer and the Data Protection Officer to ensure that the Group’s information security posture is fit for purpose. Both the CIO and the IT Governance and Risk officer hold degrees in Computer Science.</w:t>
      </w:r>
    </w:p>
    <w:p>
      <w:pPr>
        <w:spacing w:after="0" w:line="1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CIO is supported by a global team of experts who manage the day-to-day information and cybersecurity activities of the business. These staff hold certifications in their various domains of expertise.</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IT Steering Committee presents regular reports to the Audit and Risk Committee, which consist of a comprehensive governance report and dedicated risk register, including ISO27001 risks, cybersecurity, information security and technology risks, management’s action plans to remediate material issues, the mitigating controls that are in place, additional measures to be implemented, as well as anticipated residual risk levels. Significant risks are extracted and included in the enterprise risk management dashboard. At the request of the Board, the external auditors review the IT general controls as part of the annual audit.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The Board reviews and discusses the Group’s technology strategy with the COO bi-annually.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procedures are:</w:t>
      </w:r>
    </w:p>
    <w:p>
      <w:pPr>
        <w:spacing w:after="0" w:line="183" w:lineRule="exact"/>
        <w:rPr>
          <w:sz w:val="20"/>
          <w:szCs w:val="20"/>
          <w:color w:val="auto"/>
        </w:rPr>
      </w:pPr>
    </w:p>
    <w:p>
      <w:pPr>
        <w:ind w:left="520" w:hanging="256"/>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risk assessment;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security incident management, including incident response and simulation tests;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incident notification schedule.</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At an operational level, the Group has implemented technologies and systems architectures to ensure business resilience and we have adopted robust frameworks for managing threat intelligence, performing vulnerability assessments and implementing appropriate technical and organizational measures to remediate identified risks.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We use the information gained through testing and monitoring to manage any identified vulnerabilities and further improve our cybersecurity preparedness and response infrastructure, including the actions to be taken in responding to and recovering from cybersecurity incidents, which include assessing the severity of incidents, escalation protocols, containment of incidents, investigation of incidents and remediation.</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Our aim is to address cybersecurity risks by way of a cross-functional approach,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We regularly engage in network and endpoint monitoring, vulnerability assessments, threat hunting and penetration testing. Data collected from these activities informs our response and action, as appropriate. This includes routinely performing incident simulations and recovery exercises at both a technical and management level.</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All staff receive annual cybersecurity awareness training. Our security training, incorporates awareness of cyber threats (including but not limited to malware, ransomware, and social engineering attacks), password hygiene and incident reporting processes. We incorporate external expertise and reviews in all aspects of our program, which includes the ongoing certification of the Group to the ISO/IEC 27001, ISO/IEC 27017 and ISO/IEC 27018 information security standards.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Access to personal data is restricted in accordance with applicable Data Protection legislation and monitored in conjunction with appointed Data Protection Officers.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As at the date of this annual report, cybersecurity threats, including as a result of any previous cybersecurity incidents, have not materially affected our business, results of operations or financial conditions. We face risks from cybersecurity threats that, if realized, could have a material adverse effect on us including an adverse effect on our business, financial condition and results of operations. See Also “Risks Factors – Risks Relating to Our Intellectual Property, Data Privacy and Cybersecurity.”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18.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financial statements beginning on page F-1 of this annual report.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Item 19.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List all exhibits filed as part of the registration statement or annual report, including exhibits incorporated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8"/>
          </w:tcPr>
          <w:p>
            <w:pPr>
              <w:ind w:left="14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598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980" w:type="dxa"/>
            <w:vAlign w:val="bottom"/>
            <w:tcBorders>
              <w:bottom w:val="single" w:sz="8" w:color="auto"/>
            </w:tcBorders>
            <w:gridSpan w:val="2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Schedule/ Form</w:t>
            </w: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File Date</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Constitution of Karooooo Ltd.</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rPr>
              <w:t>Form F-1</w:t>
            </w:r>
          </w:p>
        </w:tc>
        <w:tc>
          <w:tcPr>
            <w:tcW w:w="112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333-253635</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Specimen Share Certificate</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rPr>
              <w:t>Form F-1/A</w:t>
            </w:r>
          </w:p>
        </w:tc>
        <w:tc>
          <w:tcPr>
            <w:tcW w:w="112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333-253635</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4.1</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March 22, 2021</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Description of Ordinary Shares</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w w:val="99"/>
              </w:rPr>
              <w:t>Form 20-F</w:t>
            </w:r>
          </w:p>
        </w:tc>
        <w:tc>
          <w:tcPr>
            <w:tcW w:w="112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rPr>
              <w:t>001-40300</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rPr>
              <w:t>2.2</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13, 2023</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12"/>
                <w:szCs w:val="12"/>
                <w:color w:val="auto"/>
              </w:rPr>
            </w:pPr>
          </w:p>
        </w:tc>
        <w:tc>
          <w:tcPr>
            <w:tcW w:w="5860" w:type="dxa"/>
            <w:vAlign w:val="bottom"/>
            <w:tcBorders>
              <w:bottom w:val="single" w:sz="8" w:color="0000EE"/>
            </w:tcBorders>
            <w:gridSpan w:val="20"/>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Loan Agreement dated June 21, 2024, between the Standard Bank of South Africa Limited and Purple</w:t>
            </w:r>
          </w:p>
        </w:tc>
        <w:tc>
          <w:tcPr>
            <w:tcW w:w="120" w:type="dxa"/>
            <w:vAlign w:val="bottom"/>
            <w:tcBorders>
              <w:bottom w:val="single" w:sz="8" w:color="CCEEFF"/>
            </w:tcBorders>
            <w:gridSpan w:val="2"/>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64"/>
        </w:trPr>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98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Rain Properties No. 444 Proprietary Limited</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2"/>
                <w:szCs w:val="12"/>
                <w:color w:val="auto"/>
              </w:rPr>
            </w:pPr>
          </w:p>
        </w:tc>
        <w:tc>
          <w:tcPr>
            <w:tcW w:w="5820" w:type="dxa"/>
            <w:vAlign w:val="bottom"/>
            <w:tcBorders>
              <w:bottom w:val="single" w:sz="8" w:color="0000EE"/>
            </w:tcBorders>
            <w:gridSpan w:val="18"/>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Short Term Facility Letter, dated March 5, 2020 between Capitec Bank Limited (formerly Mercantile</w:t>
            </w:r>
          </w:p>
        </w:tc>
        <w:tc>
          <w:tcPr>
            <w:tcW w:w="160" w:type="dxa"/>
            <w:vAlign w:val="bottom"/>
            <w:tcBorders>
              <w:bottom w:val="single" w:sz="8" w:color="CCEEFF"/>
            </w:tcBorders>
            <w:gridSpan w:val="4"/>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64"/>
        </w:trPr>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98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Bank Limited) and Cartrack Proprietary Limited</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2"/>
                <w:szCs w:val="12"/>
                <w:color w:val="auto"/>
              </w:rPr>
            </w:pPr>
          </w:p>
        </w:tc>
        <w:tc>
          <w:tcPr>
            <w:tcW w:w="598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Addendum, dated April 18, 2024, to Short Term Facility Letter, dated March 5, 2020 between Capitec</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64"/>
        </w:trPr>
        <w:tc>
          <w:tcPr>
            <w:tcW w:w="8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40" w:type="dxa"/>
            <w:vAlign w:val="bottom"/>
            <w:tcBorders>
              <w:top w:val="single" w:sz="8" w:color="0000EE"/>
            </w:tcBorders>
            <w:gridSpan w:val="1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Bank Limited and Cartrack Proprietary Limited</w:t>
            </w:r>
          </w:p>
        </w:tc>
        <w:tc>
          <w:tcPr>
            <w:tcW w:w="14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Registration Rights Agreement</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rPr>
              <w:t>Form F-1/A</w:t>
            </w:r>
          </w:p>
        </w:tc>
        <w:tc>
          <w:tcPr>
            <w:tcW w:w="112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333-253635</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10.5</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March 22, 2021</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Form of Deed of Indemnity</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rPr>
              <w:t>Form F-1/A</w:t>
            </w:r>
          </w:p>
        </w:tc>
        <w:tc>
          <w:tcPr>
            <w:tcW w:w="112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333-253635</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10.6</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March 12, 2021</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List of subsidiaries</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Insider Trading Policy</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bottom w:val="single" w:sz="8" w:color="CCEEFF"/>
            </w:tcBorders>
            <w:shd w:val="clear" w:color="auto" w:fill="CCEEFF"/>
          </w:tcPr>
          <w:p>
            <w:pPr>
              <w:spacing w:after="0"/>
              <w:rPr>
                <w:sz w:val="12"/>
                <w:szCs w:val="12"/>
                <w:color w:val="auto"/>
              </w:rPr>
            </w:pPr>
          </w:p>
        </w:tc>
        <w:tc>
          <w:tcPr>
            <w:tcW w:w="5800" w:type="dxa"/>
            <w:vAlign w:val="bottom"/>
            <w:tcBorders>
              <w:bottom w:val="single" w:sz="8" w:color="0000EE"/>
            </w:tcBorders>
            <w:gridSpan w:val="17"/>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Certification by the Principal Executive Officer pursuant to Securities Exchange Act Rules 13a-14(a)</w:t>
            </w:r>
          </w:p>
        </w:tc>
        <w:tc>
          <w:tcPr>
            <w:tcW w:w="180" w:type="dxa"/>
            <w:vAlign w:val="bottom"/>
            <w:tcBorders>
              <w:bottom w:val="single" w:sz="8" w:color="CCEEFF"/>
            </w:tcBorders>
            <w:gridSpan w:val="5"/>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64"/>
        </w:trPr>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98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and 15d-14(a) as adopted pursuant to Section 302 of the Sarbanes-Oxley Act of 2002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100" w:type="dxa"/>
            <w:vAlign w:val="bottom"/>
            <w:tcBorders>
              <w:top w:val="single" w:sz="8" w:color="0000EE"/>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bottom w:val="single" w:sz="8" w:color="CCEEFF"/>
            </w:tcBorders>
            <w:shd w:val="clear" w:color="auto" w:fill="CCEEFF"/>
          </w:tcPr>
          <w:p>
            <w:pPr>
              <w:spacing w:after="0"/>
              <w:rPr>
                <w:sz w:val="12"/>
                <w:szCs w:val="12"/>
                <w:color w:val="auto"/>
              </w:rPr>
            </w:pPr>
          </w:p>
        </w:tc>
        <w:tc>
          <w:tcPr>
            <w:tcW w:w="5760" w:type="dxa"/>
            <w:vAlign w:val="bottom"/>
            <w:tcBorders>
              <w:bottom w:val="single" w:sz="8" w:color="0000EE"/>
            </w:tcBorders>
            <w:gridSpan w:val="16"/>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Certification by the Principal Financial Officer pursuant to Securities Exchange Act Rules 13a-14(a)</w:t>
            </w:r>
          </w:p>
        </w:tc>
        <w:tc>
          <w:tcPr>
            <w:tcW w:w="220" w:type="dxa"/>
            <w:vAlign w:val="bottom"/>
            <w:tcBorders>
              <w:bottom w:val="single" w:sz="8" w:color="CCEEFF"/>
            </w:tcBorders>
            <w:gridSpan w:val="6"/>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64"/>
        </w:trPr>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98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and 15d-14(a) as adopted pursuant to Section 302 of the Sarbanes-Oxley Act of 2002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100" w:type="dxa"/>
            <w:vAlign w:val="bottom"/>
            <w:tcBorders>
              <w:top w:val="single" w:sz="8" w:color="0000EE"/>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shd w:val="clear" w:color="auto" w:fill="CCEEFF"/>
          </w:tcPr>
          <w:p>
            <w:pPr>
              <w:spacing w:after="0"/>
              <w:rPr>
                <w:sz w:val="12"/>
                <w:szCs w:val="12"/>
                <w:color w:val="auto"/>
              </w:rPr>
            </w:pPr>
          </w:p>
        </w:tc>
        <w:tc>
          <w:tcPr>
            <w:tcW w:w="5880" w:type="dxa"/>
            <w:vAlign w:val="bottom"/>
            <w:tcBorders>
              <w:bottom w:val="single" w:sz="8" w:color="0000EE"/>
            </w:tcBorders>
            <w:gridSpan w:val="21"/>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Certification by the Principal Executive Officer and Principal Financial Office pursuant to Section 906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64"/>
        </w:trPr>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98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of the Sarbanes-Oxley Act of 2002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Consent of Deloitte &amp; Touche</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Consent of Ernst &amp; Young LLP</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9, 2025</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Letter regarding change in certifying accountant</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rPr>
              <w:t>Form 6-K</w:t>
            </w:r>
          </w:p>
        </w:tc>
        <w:tc>
          <w:tcPr>
            <w:tcW w:w="112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001-40300</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16.1</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August 12, 2024</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97.1</w:t>
            </w:r>
          </w:p>
        </w:tc>
        <w:tc>
          <w:tcPr>
            <w:tcW w:w="120" w:type="dxa"/>
            <w:vAlign w:val="bottom"/>
            <w:shd w:val="clear" w:color="auto" w:fill="CCEEFF"/>
          </w:tcPr>
          <w:p>
            <w:pPr>
              <w:spacing w:after="0"/>
              <w:rPr>
                <w:sz w:val="13"/>
                <w:szCs w:val="13"/>
                <w:color w:val="auto"/>
              </w:rPr>
            </w:pPr>
          </w:p>
        </w:tc>
        <w:tc>
          <w:tcPr>
            <w:tcW w:w="5980" w:type="dxa"/>
            <w:vAlign w:val="bottom"/>
            <w:gridSpan w:val="22"/>
            <w:shd w:val="clear" w:color="auto" w:fill="CCEEFF"/>
          </w:tcPr>
          <w:p>
            <w:pPr>
              <w:spacing w:after="0" w:line="140"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Compensation Recoupment Policy</w:t>
              </w:r>
            </w:hyperlink>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8"/>
              <w:spacing w:after="0" w:line="140" w:lineRule="exact"/>
              <w:rPr>
                <w:sz w:val="20"/>
                <w:szCs w:val="20"/>
                <w:color w:val="auto"/>
              </w:rPr>
            </w:pPr>
            <w:r>
              <w:rPr>
                <w:rFonts w:ascii="Times New Roman" w:cs="Times New Roman" w:eastAsia="Times New Roman" w:hAnsi="Times New Roman"/>
                <w:sz w:val="14"/>
                <w:szCs w:val="14"/>
                <w:color w:val="auto"/>
                <w:w w:val="99"/>
              </w:rPr>
              <w:t>Form 20-F</w:t>
            </w:r>
          </w:p>
        </w:tc>
        <w:tc>
          <w:tcPr>
            <w:tcW w:w="112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001-40300</w:t>
            </w:r>
          </w:p>
        </w:tc>
        <w:tc>
          <w:tcPr>
            <w:tcW w:w="80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97.1</w:t>
            </w:r>
          </w:p>
        </w:tc>
        <w:tc>
          <w:tcPr>
            <w:tcW w:w="1200" w:type="dxa"/>
            <w:vAlign w:val="bottom"/>
            <w:shd w:val="clear" w:color="auto" w:fill="CCEEFF"/>
          </w:tcPr>
          <w:p>
            <w:pPr>
              <w:jc w:val="center"/>
              <w:ind w:left="8"/>
              <w:spacing w:after="0" w:line="140" w:lineRule="exact"/>
              <w:rPr>
                <w:sz w:val="20"/>
                <w:szCs w:val="20"/>
                <w:color w:val="auto"/>
              </w:rPr>
            </w:pPr>
            <w:r>
              <w:rPr>
                <w:rFonts w:ascii="Times New Roman" w:cs="Times New Roman" w:eastAsia="Times New Roman" w:hAnsi="Times New Roman"/>
                <w:sz w:val="14"/>
                <w:szCs w:val="14"/>
                <w:color w:val="auto"/>
              </w:rPr>
              <w:t>June 13, 2024</w:t>
            </w:r>
          </w:p>
        </w:tc>
        <w:tc>
          <w:tcPr>
            <w:tcW w:w="0" w:type="dxa"/>
            <w:vAlign w:val="bottom"/>
          </w:tcPr>
          <w:p>
            <w:pPr>
              <w:spacing w:after="0"/>
              <w:rPr>
                <w:sz w:val="1"/>
                <w:szCs w:val="1"/>
                <w:color w:val="auto"/>
              </w:rPr>
            </w:pPr>
          </w:p>
        </w:tc>
      </w:tr>
      <w:tr>
        <w:trPr>
          <w:trHeight w:val="172"/>
        </w:trPr>
        <w:tc>
          <w:tcPr>
            <w:tcW w:w="8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101.INS*</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20" w:type="dxa"/>
            <w:vAlign w:val="bottom"/>
            <w:shd w:val="clear" w:color="auto" w:fill="CCEDFF"/>
          </w:tcPr>
          <w:p>
            <w:pPr>
              <w:spacing w:after="0"/>
              <w:rPr>
                <w:sz w:val="16"/>
                <w:szCs w:val="16"/>
                <w:color w:val="auto"/>
              </w:rPr>
            </w:pPr>
          </w:p>
        </w:tc>
        <w:tc>
          <w:tcPr>
            <w:tcW w:w="1140" w:type="dxa"/>
            <w:vAlign w:val="bottom"/>
            <w:shd w:val="clear" w:color="auto" w:fill="CCEDFF"/>
          </w:tcPr>
          <w:p>
            <w:pPr>
              <w:spacing w:after="0"/>
              <w:rPr>
                <w:sz w:val="16"/>
                <w:szCs w:val="16"/>
                <w:color w:val="auto"/>
              </w:rPr>
            </w:pPr>
          </w:p>
        </w:tc>
        <w:tc>
          <w:tcPr>
            <w:tcW w:w="1120" w:type="dxa"/>
            <w:vAlign w:val="bottom"/>
            <w:shd w:val="clear" w:color="auto" w:fill="CCEDFF"/>
          </w:tcPr>
          <w:p>
            <w:pPr>
              <w:spacing w:after="0"/>
              <w:rPr>
                <w:sz w:val="16"/>
                <w:szCs w:val="16"/>
                <w:color w:val="auto"/>
              </w:rPr>
            </w:pPr>
          </w:p>
        </w:tc>
        <w:tc>
          <w:tcPr>
            <w:tcW w:w="800" w:type="dxa"/>
            <w:vAlign w:val="bottom"/>
            <w:shd w:val="clear" w:color="auto" w:fill="CCEDFF"/>
          </w:tcPr>
          <w:p>
            <w:pPr>
              <w:spacing w:after="0"/>
              <w:rPr>
                <w:sz w:val="16"/>
                <w:szCs w:val="16"/>
                <w:color w:val="auto"/>
              </w:rPr>
            </w:pPr>
          </w:p>
        </w:tc>
        <w:tc>
          <w:tcPr>
            <w:tcW w:w="120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101.SCH*</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20" w:type="dxa"/>
            <w:vAlign w:val="bottom"/>
            <w:shd w:val="clear" w:color="auto" w:fill="CCEDFF"/>
          </w:tcPr>
          <w:p>
            <w:pPr>
              <w:spacing w:after="0"/>
              <w:rPr>
                <w:sz w:val="21"/>
                <w:szCs w:val="21"/>
                <w:color w:val="auto"/>
              </w:rPr>
            </w:pPr>
          </w:p>
        </w:tc>
        <w:tc>
          <w:tcPr>
            <w:tcW w:w="1140" w:type="dxa"/>
            <w:vAlign w:val="bottom"/>
            <w:shd w:val="clear" w:color="auto" w:fill="CCEDFF"/>
          </w:tcPr>
          <w:p>
            <w:pPr>
              <w:spacing w:after="0"/>
              <w:rPr>
                <w:sz w:val="21"/>
                <w:szCs w:val="21"/>
                <w:color w:val="auto"/>
              </w:rPr>
            </w:pPr>
          </w:p>
        </w:tc>
        <w:tc>
          <w:tcPr>
            <w:tcW w:w="1120" w:type="dxa"/>
            <w:vAlign w:val="bottom"/>
            <w:shd w:val="clear" w:color="auto" w:fill="CCEDFF"/>
          </w:tcPr>
          <w:p>
            <w:pPr>
              <w:spacing w:after="0"/>
              <w:rPr>
                <w:sz w:val="21"/>
                <w:szCs w:val="21"/>
                <w:color w:val="auto"/>
              </w:rPr>
            </w:pPr>
          </w:p>
        </w:tc>
        <w:tc>
          <w:tcPr>
            <w:tcW w:w="800" w:type="dxa"/>
            <w:vAlign w:val="bottom"/>
            <w:shd w:val="clear" w:color="auto" w:fill="CCEDFF"/>
          </w:tcPr>
          <w:p>
            <w:pPr>
              <w:spacing w:after="0"/>
              <w:rPr>
                <w:sz w:val="21"/>
                <w:szCs w:val="21"/>
                <w:color w:val="auto"/>
              </w:rPr>
            </w:pPr>
          </w:p>
        </w:tc>
        <w:tc>
          <w:tcPr>
            <w:tcW w:w="12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101.CAL*</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20" w:type="dxa"/>
            <w:vAlign w:val="bottom"/>
            <w:shd w:val="clear" w:color="auto" w:fill="CCEDFF"/>
          </w:tcPr>
          <w:p>
            <w:pPr>
              <w:spacing w:after="0"/>
              <w:rPr>
                <w:sz w:val="22"/>
                <w:szCs w:val="22"/>
                <w:color w:val="auto"/>
              </w:rPr>
            </w:pPr>
          </w:p>
        </w:tc>
        <w:tc>
          <w:tcPr>
            <w:tcW w:w="1140" w:type="dxa"/>
            <w:vAlign w:val="bottom"/>
            <w:shd w:val="clear" w:color="auto" w:fill="CCEDFF"/>
          </w:tcPr>
          <w:p>
            <w:pPr>
              <w:spacing w:after="0"/>
              <w:rPr>
                <w:sz w:val="22"/>
                <w:szCs w:val="22"/>
                <w:color w:val="auto"/>
              </w:rPr>
            </w:pPr>
          </w:p>
        </w:tc>
        <w:tc>
          <w:tcPr>
            <w:tcW w:w="1120" w:type="dxa"/>
            <w:vAlign w:val="bottom"/>
            <w:shd w:val="clear" w:color="auto" w:fill="CCEDFF"/>
          </w:tcPr>
          <w:p>
            <w:pPr>
              <w:spacing w:after="0"/>
              <w:rPr>
                <w:sz w:val="22"/>
                <w:szCs w:val="22"/>
                <w:color w:val="auto"/>
              </w:rPr>
            </w:pPr>
          </w:p>
        </w:tc>
        <w:tc>
          <w:tcPr>
            <w:tcW w:w="800" w:type="dxa"/>
            <w:vAlign w:val="bottom"/>
            <w:shd w:val="clear" w:color="auto" w:fill="CCEDFF"/>
          </w:tcPr>
          <w:p>
            <w:pPr>
              <w:spacing w:after="0"/>
              <w:rPr>
                <w:sz w:val="22"/>
                <w:szCs w:val="22"/>
                <w:color w:val="auto"/>
              </w:rPr>
            </w:pPr>
          </w:p>
        </w:tc>
        <w:tc>
          <w:tcPr>
            <w:tcW w:w="1200" w:type="dxa"/>
            <w:vAlign w:val="bottom"/>
            <w:shd w:val="clear" w:color="auto" w:fill="CCED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101.DEF*</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20" w:type="dxa"/>
            <w:vAlign w:val="bottom"/>
            <w:shd w:val="clear" w:color="auto" w:fill="CCEDFF"/>
          </w:tcPr>
          <w:p>
            <w:pPr>
              <w:spacing w:after="0"/>
              <w:rPr>
                <w:sz w:val="22"/>
                <w:szCs w:val="22"/>
                <w:color w:val="auto"/>
              </w:rPr>
            </w:pPr>
          </w:p>
        </w:tc>
        <w:tc>
          <w:tcPr>
            <w:tcW w:w="1140" w:type="dxa"/>
            <w:vAlign w:val="bottom"/>
            <w:shd w:val="clear" w:color="auto" w:fill="CCEDFF"/>
          </w:tcPr>
          <w:p>
            <w:pPr>
              <w:spacing w:after="0"/>
              <w:rPr>
                <w:sz w:val="22"/>
                <w:szCs w:val="22"/>
                <w:color w:val="auto"/>
              </w:rPr>
            </w:pPr>
          </w:p>
        </w:tc>
        <w:tc>
          <w:tcPr>
            <w:tcW w:w="1120" w:type="dxa"/>
            <w:vAlign w:val="bottom"/>
            <w:shd w:val="clear" w:color="auto" w:fill="CCEDFF"/>
          </w:tcPr>
          <w:p>
            <w:pPr>
              <w:spacing w:after="0"/>
              <w:rPr>
                <w:sz w:val="22"/>
                <w:szCs w:val="22"/>
                <w:color w:val="auto"/>
              </w:rPr>
            </w:pPr>
          </w:p>
        </w:tc>
        <w:tc>
          <w:tcPr>
            <w:tcW w:w="800" w:type="dxa"/>
            <w:vAlign w:val="bottom"/>
            <w:shd w:val="clear" w:color="auto" w:fill="CCEDFF"/>
          </w:tcPr>
          <w:p>
            <w:pPr>
              <w:spacing w:after="0"/>
              <w:rPr>
                <w:sz w:val="22"/>
                <w:szCs w:val="22"/>
                <w:color w:val="auto"/>
              </w:rPr>
            </w:pPr>
          </w:p>
        </w:tc>
        <w:tc>
          <w:tcPr>
            <w:tcW w:w="1200" w:type="dxa"/>
            <w:vAlign w:val="bottom"/>
            <w:shd w:val="clear" w:color="auto" w:fill="CCED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101.LAB*</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20" w:type="dxa"/>
            <w:vAlign w:val="bottom"/>
            <w:shd w:val="clear" w:color="auto" w:fill="CCEDFF"/>
          </w:tcPr>
          <w:p>
            <w:pPr>
              <w:spacing w:after="0"/>
              <w:rPr>
                <w:sz w:val="22"/>
                <w:szCs w:val="22"/>
                <w:color w:val="auto"/>
              </w:rPr>
            </w:pPr>
          </w:p>
        </w:tc>
        <w:tc>
          <w:tcPr>
            <w:tcW w:w="1140" w:type="dxa"/>
            <w:vAlign w:val="bottom"/>
            <w:shd w:val="clear" w:color="auto" w:fill="CCEDFF"/>
          </w:tcPr>
          <w:p>
            <w:pPr>
              <w:spacing w:after="0"/>
              <w:rPr>
                <w:sz w:val="22"/>
                <w:szCs w:val="22"/>
                <w:color w:val="auto"/>
              </w:rPr>
            </w:pPr>
          </w:p>
        </w:tc>
        <w:tc>
          <w:tcPr>
            <w:tcW w:w="1120" w:type="dxa"/>
            <w:vAlign w:val="bottom"/>
            <w:shd w:val="clear" w:color="auto" w:fill="CCEDFF"/>
          </w:tcPr>
          <w:p>
            <w:pPr>
              <w:spacing w:after="0"/>
              <w:rPr>
                <w:sz w:val="22"/>
                <w:szCs w:val="22"/>
                <w:color w:val="auto"/>
              </w:rPr>
            </w:pPr>
          </w:p>
        </w:tc>
        <w:tc>
          <w:tcPr>
            <w:tcW w:w="800" w:type="dxa"/>
            <w:vAlign w:val="bottom"/>
            <w:shd w:val="clear" w:color="auto" w:fill="CCEDFF"/>
          </w:tcPr>
          <w:p>
            <w:pPr>
              <w:spacing w:after="0"/>
              <w:rPr>
                <w:sz w:val="22"/>
                <w:szCs w:val="22"/>
                <w:color w:val="auto"/>
              </w:rPr>
            </w:pPr>
          </w:p>
        </w:tc>
        <w:tc>
          <w:tcPr>
            <w:tcW w:w="1200" w:type="dxa"/>
            <w:vAlign w:val="bottom"/>
            <w:shd w:val="clear" w:color="auto" w:fill="CCED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101.PRE*</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20" w:type="dxa"/>
            <w:vAlign w:val="bottom"/>
            <w:shd w:val="clear" w:color="auto" w:fill="CCEDFF"/>
          </w:tcPr>
          <w:p>
            <w:pPr>
              <w:spacing w:after="0"/>
              <w:rPr>
                <w:sz w:val="22"/>
                <w:szCs w:val="22"/>
                <w:color w:val="auto"/>
              </w:rPr>
            </w:pPr>
          </w:p>
        </w:tc>
        <w:tc>
          <w:tcPr>
            <w:tcW w:w="1140" w:type="dxa"/>
            <w:vAlign w:val="bottom"/>
            <w:shd w:val="clear" w:color="auto" w:fill="CCEDFF"/>
          </w:tcPr>
          <w:p>
            <w:pPr>
              <w:spacing w:after="0"/>
              <w:rPr>
                <w:sz w:val="22"/>
                <w:szCs w:val="22"/>
                <w:color w:val="auto"/>
              </w:rPr>
            </w:pPr>
          </w:p>
        </w:tc>
        <w:tc>
          <w:tcPr>
            <w:tcW w:w="1120" w:type="dxa"/>
            <w:vAlign w:val="bottom"/>
            <w:shd w:val="clear" w:color="auto" w:fill="CCEDFF"/>
          </w:tcPr>
          <w:p>
            <w:pPr>
              <w:spacing w:after="0"/>
              <w:rPr>
                <w:sz w:val="22"/>
                <w:szCs w:val="22"/>
                <w:color w:val="auto"/>
              </w:rPr>
            </w:pPr>
          </w:p>
        </w:tc>
        <w:tc>
          <w:tcPr>
            <w:tcW w:w="800" w:type="dxa"/>
            <w:vAlign w:val="bottom"/>
            <w:shd w:val="clear" w:color="auto" w:fill="CCEDFF"/>
          </w:tcPr>
          <w:p>
            <w:pPr>
              <w:spacing w:after="0"/>
              <w:rPr>
                <w:sz w:val="22"/>
                <w:szCs w:val="22"/>
                <w:color w:val="auto"/>
              </w:rPr>
            </w:pPr>
          </w:p>
        </w:tc>
        <w:tc>
          <w:tcPr>
            <w:tcW w:w="1200" w:type="dxa"/>
            <w:vAlign w:val="bottom"/>
            <w:shd w:val="clear" w:color="auto" w:fill="CCED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0" w:type="dxa"/>
            <w:vAlign w:val="bottom"/>
            <w:shd w:val="clear" w:color="auto" w:fill="CCEDFF"/>
          </w:tcPr>
          <w:p>
            <w:pPr>
              <w:spacing w:after="0"/>
              <w:rPr>
                <w:sz w:val="20"/>
                <w:szCs w:val="20"/>
                <w:color w:val="auto"/>
              </w:rPr>
            </w:pPr>
            <w:r>
              <w:rPr>
                <w:rFonts w:ascii="Times New Roman" w:cs="Times New Roman" w:eastAsia="Times New Roman" w:hAnsi="Times New Roman"/>
                <w:sz w:val="14"/>
                <w:szCs w:val="14"/>
                <w:color w:val="auto"/>
              </w:rPr>
              <w:t>104*</w:t>
            </w: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120" w:type="dxa"/>
            <w:vAlign w:val="bottom"/>
            <w:shd w:val="clear" w:color="auto" w:fill="CCEDFF"/>
          </w:tcPr>
          <w:p>
            <w:pPr>
              <w:spacing w:after="0"/>
              <w:rPr>
                <w:sz w:val="21"/>
                <w:szCs w:val="21"/>
                <w:color w:val="auto"/>
              </w:rPr>
            </w:pPr>
          </w:p>
        </w:tc>
        <w:tc>
          <w:tcPr>
            <w:tcW w:w="1140" w:type="dxa"/>
            <w:vAlign w:val="bottom"/>
            <w:shd w:val="clear" w:color="auto" w:fill="CCEDFF"/>
          </w:tcPr>
          <w:p>
            <w:pPr>
              <w:spacing w:after="0"/>
              <w:rPr>
                <w:sz w:val="21"/>
                <w:szCs w:val="21"/>
                <w:color w:val="auto"/>
              </w:rPr>
            </w:pPr>
          </w:p>
        </w:tc>
        <w:tc>
          <w:tcPr>
            <w:tcW w:w="1120" w:type="dxa"/>
            <w:vAlign w:val="bottom"/>
            <w:shd w:val="clear" w:color="auto" w:fill="CCEDFF"/>
          </w:tcPr>
          <w:p>
            <w:pPr>
              <w:spacing w:after="0"/>
              <w:rPr>
                <w:sz w:val="21"/>
                <w:szCs w:val="21"/>
                <w:color w:val="auto"/>
              </w:rPr>
            </w:pPr>
          </w:p>
        </w:tc>
        <w:tc>
          <w:tcPr>
            <w:tcW w:w="800" w:type="dxa"/>
            <w:vAlign w:val="bottom"/>
            <w:shd w:val="clear" w:color="auto" w:fill="CCEDFF"/>
          </w:tcPr>
          <w:p>
            <w:pPr>
              <w:spacing w:after="0"/>
              <w:rPr>
                <w:sz w:val="21"/>
                <w:szCs w:val="21"/>
                <w:color w:val="auto"/>
              </w:rPr>
            </w:pPr>
          </w:p>
        </w:tc>
        <w:tc>
          <w:tcPr>
            <w:tcW w:w="12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00" w:type="dxa"/>
            <w:vAlign w:val="bottom"/>
            <w:shd w:val="clear" w:color="auto" w:fill="CCEDFF"/>
          </w:tcPr>
          <w:p>
            <w:pPr>
              <w:spacing w:after="0"/>
              <w:rPr>
                <w:sz w:val="16"/>
                <w:szCs w:val="16"/>
                <w:color w:val="auto"/>
              </w:rPr>
            </w:pPr>
          </w:p>
        </w:tc>
        <w:tc>
          <w:tcPr>
            <w:tcW w:w="6100" w:type="dxa"/>
            <w:vAlign w:val="bottom"/>
            <w:gridSpan w:val="23"/>
            <w:shd w:val="clear" w:color="auto" w:fill="CCEDFF"/>
          </w:tcPr>
          <w:p>
            <w:pPr>
              <w:ind w:left="100"/>
              <w:spacing w:after="0"/>
              <w:rPr>
                <w:sz w:val="20"/>
                <w:szCs w:val="20"/>
                <w:color w:val="auto"/>
              </w:rPr>
            </w:pPr>
            <w:r>
              <w:rPr>
                <w:rFonts w:ascii="Times New Roman" w:cs="Times New Roman" w:eastAsia="Times New Roman" w:hAnsi="Times New Roman"/>
                <w:sz w:val="14"/>
                <w:szCs w:val="14"/>
                <w:color w:val="auto"/>
              </w:rPr>
              <w:t>Exhibit 101).</w:t>
            </w:r>
          </w:p>
        </w:tc>
        <w:tc>
          <w:tcPr>
            <w:tcW w:w="120" w:type="dxa"/>
            <w:vAlign w:val="bottom"/>
            <w:shd w:val="clear" w:color="auto" w:fill="CCEDFF"/>
          </w:tcPr>
          <w:p>
            <w:pPr>
              <w:spacing w:after="0"/>
              <w:rPr>
                <w:sz w:val="16"/>
                <w:szCs w:val="16"/>
                <w:color w:val="auto"/>
              </w:rPr>
            </w:pPr>
          </w:p>
        </w:tc>
        <w:tc>
          <w:tcPr>
            <w:tcW w:w="1140" w:type="dxa"/>
            <w:vAlign w:val="bottom"/>
            <w:shd w:val="clear" w:color="auto" w:fill="CCEDFF"/>
          </w:tcPr>
          <w:p>
            <w:pPr>
              <w:spacing w:after="0"/>
              <w:rPr>
                <w:sz w:val="16"/>
                <w:szCs w:val="16"/>
                <w:color w:val="auto"/>
              </w:rPr>
            </w:pPr>
          </w:p>
        </w:tc>
        <w:tc>
          <w:tcPr>
            <w:tcW w:w="1120" w:type="dxa"/>
            <w:vAlign w:val="bottom"/>
            <w:shd w:val="clear" w:color="auto" w:fill="CCEDFF"/>
          </w:tcPr>
          <w:p>
            <w:pPr>
              <w:spacing w:after="0"/>
              <w:rPr>
                <w:sz w:val="16"/>
                <w:szCs w:val="16"/>
                <w:color w:val="auto"/>
              </w:rPr>
            </w:pPr>
          </w:p>
        </w:tc>
        <w:tc>
          <w:tcPr>
            <w:tcW w:w="800" w:type="dxa"/>
            <w:vAlign w:val="bottom"/>
            <w:shd w:val="clear" w:color="auto" w:fill="CCEDFF"/>
          </w:tcPr>
          <w:p>
            <w:pPr>
              <w:spacing w:after="0"/>
              <w:rPr>
                <w:sz w:val="16"/>
                <w:szCs w:val="16"/>
                <w:color w:val="auto"/>
              </w:rPr>
            </w:pPr>
          </w:p>
        </w:tc>
        <w:tc>
          <w:tcPr>
            <w:tcW w:w="120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-272415</wp:posOffset>
            </wp:positionV>
            <wp:extent cx="7160260" cy="54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60260" cy="546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-435610</wp:posOffset>
            </wp:positionV>
            <wp:extent cx="7160260" cy="54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60260" cy="546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-599440</wp:posOffset>
            </wp:positionV>
            <wp:extent cx="7160260" cy="54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60260" cy="546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-763270</wp:posOffset>
            </wp:positionV>
            <wp:extent cx="7160260" cy="54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60260" cy="546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-927100</wp:posOffset>
            </wp:positionV>
            <wp:extent cx="7160260" cy="54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60260" cy="546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-1090295</wp:posOffset>
            </wp:positionV>
            <wp:extent cx="7160260" cy="54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60260" cy="54610"/>
                    </a:xfrm>
                    <a:prstGeom prst="rect">
                      <a:avLst/>
                    </a:prstGeom>
                    <a:noFill/>
                  </pic:spPr>
                </pic:pic>
              </a:graphicData>
            </a:graphic>
          </wp:anchor>
        </w:drawing>
      </w:r>
    </w:p>
    <w:p>
      <w:pPr>
        <w:spacing w:after="0" w:line="137" w:lineRule="exact"/>
        <w:rPr>
          <w:sz w:val="20"/>
          <w:szCs w:val="20"/>
          <w:color w:val="auto"/>
        </w:rPr>
      </w:pPr>
    </w:p>
    <w:p>
      <w:pPr>
        <w:ind w:left="260" w:hanging="254"/>
        <w:spacing w:after="0"/>
        <w:tabs>
          <w:tab w:leader="none" w:pos="2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83" w:lineRule="exact"/>
        <w:rPr>
          <w:sz w:val="20"/>
          <w:szCs w:val="20"/>
          <w:color w:val="auto"/>
        </w:rPr>
      </w:pPr>
    </w:p>
    <w:p>
      <w:pPr>
        <w:ind w:left="260" w:hanging="254"/>
        <w:spacing w:after="0"/>
        <w:tabs>
          <w:tab w:leader="none" w:pos="2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excluded from the exhibit because it both (i) is not material and (ii) would likely cause competitive harm to the registrant if disclosed.</w:t>
      </w:r>
    </w:p>
    <w:p>
      <w:pPr>
        <w:spacing w:after="0" w:line="354"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09" w:name="page110"/>
    <w:bookmarkEnd w:id="109"/>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 registrant hereby certifies that it meets all of the requirements for filing on Form 20-F and that it has duly caused and authorized the undersigned to sign this registration statement on Form 20-F on its behalf.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Karooooo Ltd.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Isaias (Zak) Jose Calisto</w:t>
            </w:r>
          </w:p>
        </w:tc>
      </w:tr>
      <w:tr>
        <w:trPr>
          <w:trHeight w:val="157"/>
        </w:trPr>
        <w:tc>
          <w:tcPr>
            <w:tcW w:w="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Isaias (Zak) Jose Calisto</w:t>
            </w:r>
          </w:p>
        </w:tc>
      </w:t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4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Hoe Shin Goy</w:t>
            </w:r>
          </w:p>
        </w:tc>
      </w:tr>
      <w:tr>
        <w:trPr>
          <w:trHeight w:val="157"/>
        </w:trPr>
        <w:tc>
          <w:tcPr>
            <w:tcW w:w="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Hoe Shin Goy</w:t>
            </w:r>
          </w:p>
        </w:tc>
      </w:t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9, 2025</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February 28, 2025, February 29, 2024 and February 28, 2023 — Karooooo Ltd.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3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2"/>
        </w:trPr>
        <w:tc>
          <w:tcPr>
            <w:tcW w:w="4780" w:type="dxa"/>
            <w:vAlign w:val="bottom"/>
            <w:tcBorders>
              <w:bottom w:val="single" w:sz="8" w:color="0000EE"/>
            </w:tcBorders>
            <w:gridSpan w:val="7"/>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EE"/>
              </w:rPr>
              <w:t>Report of the Independent Registered Public Accounting Firms (PCAOB ID: 1130)</w:t>
            </w:r>
          </w:p>
        </w:tc>
        <w:tc>
          <w:tcPr>
            <w:tcW w:w="380" w:type="dxa"/>
            <w:vAlign w:val="bottom"/>
            <w:tcBorders>
              <w:bottom w:val="single" w:sz="8" w:color="CCEEFF"/>
            </w:tcBorders>
            <w:shd w:val="clear" w:color="auto" w:fill="CCEEFF"/>
          </w:tcPr>
          <w:p>
            <w:pPr>
              <w:spacing w:after="0"/>
              <w:rPr>
                <w:sz w:val="13"/>
                <w:szCs w:val="13"/>
                <w:color w:val="auto"/>
              </w:rPr>
            </w:pPr>
          </w:p>
        </w:tc>
        <w:tc>
          <w:tcPr>
            <w:tcW w:w="5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F-2</w:t>
            </w:r>
          </w:p>
        </w:tc>
      </w:tr>
      <w:tr>
        <w:trPr>
          <w:trHeight w:val="146"/>
        </w:trPr>
        <w:tc>
          <w:tcPr>
            <w:tcW w:w="5160" w:type="dxa"/>
            <w:vAlign w:val="bottom"/>
            <w:gridSpan w:val="8"/>
          </w:tcPr>
          <w:p>
            <w:pPr>
              <w:spacing w:after="0" w:line="140" w:lineRule="exact"/>
              <w:rPr>
                <w:sz w:val="20"/>
                <w:szCs w:val="20"/>
                <w:color w:val="auto"/>
              </w:rPr>
            </w:pPr>
            <w:r>
              <w:rPr>
                <w:rFonts w:ascii="Times New Roman" w:cs="Times New Roman" w:eastAsia="Times New Roman" w:hAnsi="Times New Roman"/>
                <w:sz w:val="14"/>
                <w:szCs w:val="14"/>
                <w:color w:val="0000EE"/>
              </w:rPr>
              <w:t>Report of the Independent Registered Public Accounting Firms (PCAOB ID: 1247)</w:t>
            </w:r>
          </w:p>
        </w:tc>
        <w:tc>
          <w:tcPr>
            <w:tcW w:w="534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F-3</w:t>
            </w:r>
          </w:p>
        </w:tc>
      </w:tr>
      <w:tr>
        <w:trPr>
          <w:trHeight w:val="158"/>
        </w:trPr>
        <w:tc>
          <w:tcPr>
            <w:tcW w:w="2660" w:type="dxa"/>
            <w:vAlign w:val="bottom"/>
            <w:tcBorders>
              <w:top w:val="single" w:sz="8" w:color="0000EE"/>
              <w:bottom w:val="single" w:sz="8" w:color="0000EE"/>
            </w:tcBorders>
            <w:gridSpan w:val="3"/>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Statements of Financial Position</w:t>
            </w:r>
          </w:p>
        </w:tc>
        <w:tc>
          <w:tcPr>
            <w:tcW w:w="212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2"/>
              </w:rPr>
              <w:t>F-4</w:t>
            </w:r>
          </w:p>
        </w:tc>
      </w:tr>
      <w:tr>
        <w:trPr>
          <w:trHeight w:val="146"/>
        </w:trPr>
        <w:tc>
          <w:tcPr>
            <w:tcW w:w="2500" w:type="dxa"/>
            <w:vAlign w:val="bottom"/>
            <w:tcBorders>
              <w:bottom w:val="single" w:sz="8" w:color="0000EE"/>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EE"/>
              </w:rPr>
              <w:t>Consolidated Statements of Profit and Loss</w:t>
            </w:r>
          </w:p>
        </w:tc>
        <w:tc>
          <w:tcPr>
            <w:tcW w:w="2660" w:type="dxa"/>
            <w:vAlign w:val="bottom"/>
            <w:gridSpan w:val="6"/>
          </w:tcPr>
          <w:p>
            <w:pPr>
              <w:spacing w:after="0"/>
              <w:rPr>
                <w:sz w:val="12"/>
                <w:szCs w:val="12"/>
                <w:color w:val="auto"/>
              </w:rPr>
            </w:pPr>
          </w:p>
        </w:tc>
        <w:tc>
          <w:tcPr>
            <w:tcW w:w="534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F-5</w:t>
            </w:r>
          </w:p>
        </w:tc>
      </w:tr>
      <w:tr>
        <w:trPr>
          <w:trHeight w:val="158"/>
        </w:trPr>
        <w:tc>
          <w:tcPr>
            <w:tcW w:w="2980" w:type="dxa"/>
            <w:vAlign w:val="bottom"/>
            <w:tcBorders>
              <w:bottom w:val="single" w:sz="8" w:color="0000EE"/>
            </w:tcBorders>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Statements of Comprehensive Income</w:t>
            </w:r>
          </w:p>
        </w:tc>
        <w:tc>
          <w:tcPr>
            <w:tcW w:w="2180" w:type="dxa"/>
            <w:vAlign w:val="bottom"/>
            <w:tcBorders>
              <w:bottom w:val="single" w:sz="8" w:color="CCEEFF"/>
            </w:tcBorders>
            <w:gridSpan w:val="2"/>
            <w:shd w:val="clear" w:color="auto" w:fill="CCEEFF"/>
          </w:tcPr>
          <w:p>
            <w:pPr>
              <w:spacing w:after="0"/>
              <w:rPr>
                <w:sz w:val="13"/>
                <w:szCs w:val="13"/>
                <w:color w:val="auto"/>
              </w:rPr>
            </w:pPr>
          </w:p>
        </w:tc>
        <w:tc>
          <w:tcPr>
            <w:tcW w:w="5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2"/>
              </w:rPr>
              <w:t>F-6</w:t>
            </w:r>
          </w:p>
        </w:tc>
      </w:tr>
      <w:tr>
        <w:trPr>
          <w:trHeight w:val="146"/>
        </w:trPr>
        <w:tc>
          <w:tcPr>
            <w:tcW w:w="2680" w:type="dxa"/>
            <w:vAlign w:val="bottom"/>
            <w:tcBorders>
              <w:bottom w:val="single" w:sz="8" w:color="0000EE"/>
            </w:tcBorders>
            <w:gridSpan w:val="4"/>
          </w:tcPr>
          <w:p>
            <w:pPr>
              <w:spacing w:after="0" w:line="140" w:lineRule="exact"/>
              <w:rPr>
                <w:sz w:val="20"/>
                <w:szCs w:val="20"/>
                <w:color w:val="auto"/>
              </w:rPr>
            </w:pPr>
            <w:r>
              <w:rPr>
                <w:rFonts w:ascii="Times New Roman" w:cs="Times New Roman" w:eastAsia="Times New Roman" w:hAnsi="Times New Roman"/>
                <w:sz w:val="14"/>
                <w:szCs w:val="14"/>
                <w:color w:val="0000EE"/>
              </w:rPr>
              <w:t>Consolidated Statements of Changes in Equity</w:t>
            </w:r>
          </w:p>
        </w:tc>
        <w:tc>
          <w:tcPr>
            <w:tcW w:w="2480" w:type="dxa"/>
            <w:vAlign w:val="bottom"/>
            <w:gridSpan w:val="4"/>
          </w:tcPr>
          <w:p>
            <w:pPr>
              <w:spacing w:after="0"/>
              <w:rPr>
                <w:sz w:val="12"/>
                <w:szCs w:val="12"/>
                <w:color w:val="auto"/>
              </w:rPr>
            </w:pPr>
          </w:p>
        </w:tc>
        <w:tc>
          <w:tcPr>
            <w:tcW w:w="534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F-7</w:t>
            </w:r>
          </w:p>
        </w:tc>
      </w:tr>
      <w:tr>
        <w:trPr>
          <w:trHeight w:val="146"/>
        </w:trPr>
        <w:tc>
          <w:tcPr>
            <w:tcW w:w="5160" w:type="dxa"/>
            <w:vAlign w:val="bottom"/>
            <w:gridSpan w:val="8"/>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53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2"/>
              </w:rPr>
              <w:t>F-9</w:t>
            </w:r>
          </w:p>
        </w:tc>
      </w:tr>
      <w:tr>
        <w:trPr>
          <w:trHeight w:val="32"/>
        </w:trPr>
        <w:tc>
          <w:tcPr>
            <w:tcW w:w="228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r>
        <w:trPr>
          <w:trHeight w:val="140"/>
        </w:trPr>
        <w:tc>
          <w:tcPr>
            <w:tcW w:w="5160" w:type="dxa"/>
            <w:vAlign w:val="bottom"/>
            <w:gridSpan w:val="8"/>
          </w:tcPr>
          <w:p>
            <w:pPr>
              <w:spacing w:after="0" w:line="140"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534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F-10</w:t>
            </w:r>
          </w:p>
        </w:tc>
      </w:tr>
      <w:tr>
        <w:trPr>
          <w:trHeight w:val="529"/>
        </w:trPr>
        <w:tc>
          <w:tcPr>
            <w:tcW w:w="2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color w:val="auto"/>
              </w:rPr>
              <w:t>F-1</w:t>
            </w:r>
          </w:p>
        </w:tc>
      </w:tr>
    </w:tbl>
    <w:p>
      <w:pPr>
        <w:sectPr>
          <w:pgSz w:w="11900" w:h="16838" w:orient="portrait"/>
          <w:cols w:equalWidth="0" w:num="1">
            <w:col w:w="11280"/>
          </w:cols>
          <w:pgMar w:left="300" w:top="724" w:right="319" w:bottom="1440" w:gutter="0" w:footer="0" w:header="0"/>
        </w:sectPr>
      </w:pPr>
    </w:p>
    <w:bookmarkStart w:id="111" w:name="page112"/>
    <w:bookmarkEnd w:id="111"/>
    <w:p>
      <w:pPr>
        <w:ind w:left="32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Karooooo Ltd.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have audited the accompanying consolidated statement of financial position of Karooooo Ltd. (the Company) as of February 28, 2025, the related consolidated statements of profit and loss, comprehensive income, changes in equity and cash flows for the year ended February 28, 2025, and the related notes (collectively referred to as the “consolidated financial statements”). In our opinion, the consolidated financial statements present fairly, in all material respects, the financial position of the Company at February 28, 2025, and the results of its operations and its cash flows for the year ended February 28, 2025, in conformity with IFRS Accounting Standards as issued by the International Accounting Standards Board.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Johannesburg, South Africa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9, 2025</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12" w:name="page113"/>
    <w:bookmarkEnd w:id="112"/>
    <w:p>
      <w:pPr>
        <w:ind w:left="32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Karooooo Ltd.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audited the accompanying consolidated statement of financial position of Karooooo Ltd. (the Company) as of February 29, 2024, and the related consolidated statements of profit or loss, comprehensive income, changes in equity and cash flows for the periods ended February 29, 2024 and February 28, 2023, and the related notes (collectively referred to as the “consolidated financial statements”). In our opinion, the consolidated financial statements present fairly, in all material respects, the financial position of the Company at February 29, 2024, and the results of its operations and its cash flows for the periods ended February 29, 2024 and February 28, 2023, in conformity with IFRS Accounting Standards as issued by the International Accounting Standards Board.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2022 to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Singapore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13, 2024</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8"/>
        </w:trPr>
        <w:tc>
          <w:tcPr>
            <w:tcW w:w="3260" w:type="dxa"/>
            <w:vAlign w:val="bottom"/>
          </w:tcPr>
          <w:p>
            <w:pPr>
              <w:spacing w:after="0"/>
              <w:rPr>
                <w:sz w:val="16"/>
                <w:szCs w:val="16"/>
                <w:color w:val="auto"/>
              </w:rPr>
            </w:pPr>
          </w:p>
        </w:tc>
        <w:tc>
          <w:tcPr>
            <w:tcW w:w="54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POSITION</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8"/>
        </w:trPr>
        <w:tc>
          <w:tcPr>
            <w:tcW w:w="3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7"/>
        </w:trPr>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340" w:type="dxa"/>
            <w:vAlign w:val="bottom"/>
            <w:gridSpan w:val="3"/>
            <w:shd w:val="clear" w:color="auto" w:fill="CCEEFF"/>
          </w:tcPr>
          <w:p>
            <w:pPr>
              <w:jc w:val="center"/>
              <w:ind w:left="40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2,508,215</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2,032,794</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Capitalized commission assets</w:t>
            </w:r>
          </w:p>
        </w:tc>
        <w:tc>
          <w:tcPr>
            <w:tcW w:w="5340" w:type="dxa"/>
            <w:vAlign w:val="bottom"/>
            <w:gridSpan w:val="3"/>
          </w:tcPr>
          <w:p>
            <w:pPr>
              <w:jc w:val="center"/>
              <w:ind w:left="40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494,052</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374,521</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340" w:type="dxa"/>
            <w:vAlign w:val="bottom"/>
            <w:gridSpan w:val="3"/>
            <w:shd w:val="clear" w:color="auto" w:fill="CCEEFF"/>
          </w:tcPr>
          <w:p>
            <w:pPr>
              <w:jc w:val="center"/>
              <w:ind w:left="40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83,053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83,123</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5340" w:type="dxa"/>
            <w:vAlign w:val="bottom"/>
            <w:gridSpan w:val="3"/>
          </w:tcPr>
          <w:p>
            <w:pPr>
              <w:jc w:val="center"/>
              <w:ind w:left="40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174,957</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227,380</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to a related party</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28,200</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Long-term other receivables and prepayments</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11,629</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18,831</w:t>
            </w:r>
          </w:p>
        </w:tc>
        <w:tc>
          <w:tcPr>
            <w:tcW w:w="80" w:type="dxa"/>
            <w:vAlign w:val="bottom"/>
          </w:tcPr>
          <w:p>
            <w:pPr>
              <w:spacing w:after="0"/>
              <w:rPr>
                <w:sz w:val="14"/>
                <w:szCs w:val="14"/>
                <w:color w:val="auto"/>
              </w:rPr>
            </w:pPr>
          </w:p>
        </w:tc>
      </w:tr>
      <w:tr>
        <w:trPr>
          <w:trHeight w:val="20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5340" w:type="dxa"/>
            <w:vAlign w:val="bottom"/>
            <w:tcBorders>
              <w:bottom w:val="single" w:sz="8" w:color="CCEEFF"/>
            </w:tcBorders>
            <w:gridSpan w:val="3"/>
            <w:shd w:val="clear" w:color="auto" w:fill="CCEEFF"/>
          </w:tcPr>
          <w:p>
            <w:pPr>
              <w:jc w:val="center"/>
              <w:ind w:left="40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121,749</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3,422,355</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2,846,752</w:t>
            </w:r>
          </w:p>
        </w:tc>
        <w:tc>
          <w:tcPr>
            <w:tcW w:w="80" w:type="dxa"/>
            <w:vAlign w:val="bottom"/>
          </w:tcPr>
          <w:p>
            <w:pPr>
              <w:spacing w:after="0"/>
              <w:rPr>
                <w:sz w:val="18"/>
                <w:szCs w:val="18"/>
                <w:color w:val="auto"/>
              </w:rPr>
            </w:pPr>
          </w:p>
        </w:tc>
      </w:tr>
      <w:tr>
        <w:trPr>
          <w:trHeight w:val="164"/>
        </w:trPr>
        <w:tc>
          <w:tcPr>
            <w:tcW w:w="326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6,582</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receivables and prepayments</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597,461</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985,398</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receivables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8,714</w:t>
            </w:r>
          </w:p>
        </w:tc>
        <w:tc>
          <w:tcPr>
            <w:tcW w:w="80" w:type="dxa"/>
            <w:vAlign w:val="bottom"/>
            <w:shd w:val="clear" w:color="auto" w:fill="CCEEFF"/>
          </w:tcPr>
          <w:p>
            <w:pPr>
              <w:spacing w:after="0"/>
              <w:rPr>
                <w:sz w:val="14"/>
                <w:szCs w:val="14"/>
                <w:color w:val="auto"/>
              </w:rPr>
            </w:pP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1,042,882</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459,527</w:t>
            </w:r>
          </w:p>
        </w:tc>
        <w:tc>
          <w:tcPr>
            <w:tcW w:w="80" w:type="dxa"/>
            <w:vAlign w:val="bottom"/>
          </w:tcPr>
          <w:p>
            <w:pPr>
              <w:spacing w:after="0"/>
              <w:rPr>
                <w:sz w:val="16"/>
                <w:szCs w:val="16"/>
                <w:color w:val="auto"/>
              </w:rPr>
            </w:pPr>
          </w:p>
        </w:tc>
      </w:tr>
      <w:tr>
        <w:trPr>
          <w:trHeight w:val="192"/>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1,656,795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1,460,221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5,079,150</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4,306,973</w:t>
            </w:r>
          </w:p>
        </w:tc>
        <w:tc>
          <w:tcPr>
            <w:tcW w:w="80" w:type="dxa"/>
            <w:vAlign w:val="bottom"/>
          </w:tcPr>
          <w:p>
            <w:pPr>
              <w:spacing w:after="0"/>
              <w:rPr>
                <w:sz w:val="18"/>
                <w:szCs w:val="18"/>
                <w:color w:val="auto"/>
              </w:rPr>
            </w:pPr>
          </w:p>
        </w:tc>
      </w:tr>
      <w:tr>
        <w:trPr>
          <w:trHeight w:val="164"/>
        </w:trPr>
        <w:tc>
          <w:tcPr>
            <w:tcW w:w="326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 AND LIABILITIES</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7,142,853</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shares</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(23,816)</w:t>
            </w: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Actuarial reserve</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reserve</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(3,621,245)</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(3,582,568)</w:t>
            </w: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Common control reserve</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(2,709,236)</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(2,709,236)</w:t>
            </w: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reserve</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277,866</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330,812</w:t>
            </w:r>
          </w:p>
        </w:tc>
        <w:tc>
          <w:tcPr>
            <w:tcW w:w="80" w:type="dxa"/>
            <w:vAlign w:val="bottom"/>
            <w:shd w:val="clear" w:color="auto" w:fill="CCEEFF"/>
          </w:tcPr>
          <w:p>
            <w:pPr>
              <w:spacing w:after="0"/>
              <w:rPr>
                <w:sz w:val="14"/>
                <w:szCs w:val="14"/>
                <w:color w:val="auto"/>
              </w:rPr>
            </w:pP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2,112,091</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1,803,482</w:t>
            </w:r>
          </w:p>
        </w:tc>
        <w:tc>
          <w:tcPr>
            <w:tcW w:w="80" w:type="dxa"/>
            <w:vAlign w:val="bottom"/>
          </w:tcPr>
          <w:p>
            <w:pPr>
              <w:spacing w:after="0"/>
              <w:rPr>
                <w:sz w:val="16"/>
                <w:szCs w:val="16"/>
                <w:color w:val="auto"/>
              </w:rPr>
            </w:pPr>
          </w:p>
        </w:tc>
      </w:tr>
      <w:tr>
        <w:trPr>
          <w:trHeight w:val="172"/>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attributable to equity holders of parent</w:t>
            </w:r>
          </w:p>
        </w:tc>
        <w:tc>
          <w:tcPr>
            <w:tcW w:w="3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3,202,468</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2,961,527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43,099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40,935</w:t>
            </w:r>
          </w:p>
        </w:tc>
        <w:tc>
          <w:tcPr>
            <w:tcW w:w="80" w:type="dxa"/>
            <w:vAlign w:val="bottom"/>
          </w:tcPr>
          <w:p>
            <w:pPr>
              <w:spacing w:after="0"/>
              <w:rPr>
                <w:sz w:val="16"/>
                <w:szCs w:val="16"/>
                <w:color w:val="auto"/>
              </w:rPr>
            </w:pPr>
          </w:p>
        </w:tc>
      </w:tr>
      <w:tr>
        <w:trPr>
          <w:trHeight w:val="19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3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3,245,567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3,002,462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3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loans</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15</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31,640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41,645</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127,251</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131,285</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17</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121,302</w:t>
            </w:r>
          </w:p>
        </w:tc>
        <w:tc>
          <w:tcPr>
            <w:tcW w:w="80" w:type="dxa"/>
            <w:vAlign w:val="bottom"/>
            <w:shd w:val="clear" w:color="auto" w:fill="CCEEFF"/>
          </w:tcPr>
          <w:p>
            <w:pPr>
              <w:spacing w:after="0"/>
              <w:rPr>
                <w:sz w:val="14"/>
                <w:szCs w:val="14"/>
                <w:color w:val="auto"/>
              </w:rPr>
            </w:pP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5340" w:type="dxa"/>
            <w:vAlign w:val="bottom"/>
            <w:gridSpan w:val="3"/>
          </w:tcPr>
          <w:p>
            <w:pPr>
              <w:jc w:val="center"/>
              <w:ind w:left="40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95,892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69,840</w:t>
            </w:r>
          </w:p>
        </w:tc>
        <w:tc>
          <w:tcPr>
            <w:tcW w:w="80" w:type="dxa"/>
            <w:vAlign w:val="bottom"/>
          </w:tcPr>
          <w:p>
            <w:pPr>
              <w:spacing w:after="0"/>
              <w:rPr>
                <w:sz w:val="16"/>
                <w:szCs w:val="16"/>
                <w:color w:val="auto"/>
              </w:rPr>
            </w:pPr>
          </w:p>
        </w:tc>
      </w:tr>
      <w:tr>
        <w:trPr>
          <w:trHeight w:val="19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3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381,742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364,072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3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Term loans</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15</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283,313</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6,534</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18</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469,937</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446,284</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Loan from a related party</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16</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77,445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63,055</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5340" w:type="dxa"/>
            <w:vAlign w:val="bottom"/>
            <w:gridSpan w:val="3"/>
          </w:tcPr>
          <w:p>
            <w:pPr>
              <w:jc w:val="center"/>
              <w:ind w:left="4008"/>
              <w:spacing w:after="0"/>
              <w:rPr>
                <w:sz w:val="20"/>
                <w:szCs w:val="20"/>
                <w:color w:val="auto"/>
              </w:rPr>
            </w:pPr>
            <w:r>
              <w:rPr>
                <w:rFonts w:ascii="Times New Roman" w:cs="Times New Roman" w:eastAsia="Times New Roman" w:hAnsi="Times New Roman"/>
                <w:sz w:val="14"/>
                <w:szCs w:val="14"/>
                <w:color w:val="auto"/>
                <w:w w:val="99"/>
              </w:rPr>
              <w:t>17</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357,780</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325,848</w:t>
            </w:r>
          </w:p>
        </w:tc>
        <w:tc>
          <w:tcPr>
            <w:tcW w:w="80" w:type="dxa"/>
            <w:vAlign w:val="bottom"/>
          </w:tcPr>
          <w:p>
            <w:pPr>
              <w:spacing w:after="0"/>
              <w:rPr>
                <w:sz w:val="14"/>
                <w:szCs w:val="14"/>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overdraft</w:t>
            </w:r>
          </w:p>
        </w:tc>
        <w:tc>
          <w:tcPr>
            <w:tcW w:w="5340" w:type="dxa"/>
            <w:vAlign w:val="bottom"/>
            <w:gridSpan w:val="3"/>
            <w:shd w:val="clear" w:color="auto" w:fill="CCEEFF"/>
          </w:tcPr>
          <w:p>
            <w:pPr>
              <w:jc w:val="center"/>
              <w:ind w:left="4008"/>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205,299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23,362</w:t>
            </w:r>
          </w:p>
        </w:tc>
        <w:tc>
          <w:tcPr>
            <w:tcW w:w="80" w:type="dxa"/>
            <w:vAlign w:val="bottom"/>
            <w:shd w:val="clear" w:color="auto" w:fill="CCEEFF"/>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Income tax payables</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57,039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73,375</w:t>
            </w:r>
          </w:p>
        </w:tc>
        <w:tc>
          <w:tcPr>
            <w:tcW w:w="80" w:type="dxa"/>
            <w:vAlign w:val="bottom"/>
          </w:tcPr>
          <w:p>
            <w:pPr>
              <w:spacing w:after="0"/>
              <w:rPr>
                <w:sz w:val="14"/>
                <w:szCs w:val="14"/>
                <w:color w:val="auto"/>
              </w:rPr>
            </w:pPr>
          </w:p>
        </w:tc>
      </w:tr>
      <w:tr>
        <w:trPr>
          <w:trHeight w:val="20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warranties</w:t>
            </w:r>
          </w:p>
        </w:tc>
        <w:tc>
          <w:tcPr>
            <w:tcW w:w="3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shd w:val="clear" w:color="auto" w:fill="CCEEFF"/>
          </w:tcPr>
          <w:p>
            <w:pPr>
              <w:spacing w:after="0"/>
              <w:rPr>
                <w:sz w:val="17"/>
                <w:szCs w:val="17"/>
                <w:color w:val="auto"/>
              </w:rPr>
            </w:pPr>
          </w:p>
        </w:tc>
      </w:tr>
      <w:tr>
        <w:trPr>
          <w:trHeight w:val="155"/>
        </w:trPr>
        <w:tc>
          <w:tcPr>
            <w:tcW w:w="3260" w:type="dxa"/>
            <w:vAlign w:val="bottom"/>
            <w:tcBorders>
              <w:top w:val="single" w:sz="8" w:color="CCEEFF"/>
              <w:bottom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9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2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1,451,841</w:t>
            </w:r>
          </w:p>
        </w:tc>
        <w:tc>
          <w:tcPr>
            <w:tcW w:w="22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940,439</w:t>
            </w:r>
          </w:p>
        </w:tc>
        <w:tc>
          <w:tcPr>
            <w:tcW w:w="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r>
      <w:tr>
        <w:trPr>
          <w:trHeight w:val="19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1,833,583</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1,304,511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76"/>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5,079,150</w:t>
            </w:r>
          </w:p>
        </w:tc>
        <w:tc>
          <w:tcPr>
            <w:tcW w:w="22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4,306,973</w:t>
            </w:r>
          </w:p>
        </w:tc>
        <w:tc>
          <w:tcPr>
            <w:tcW w:w="80" w:type="dxa"/>
            <w:vAlign w:val="bottom"/>
          </w:tcPr>
          <w:p>
            <w:pPr>
              <w:spacing w:after="0"/>
              <w:rPr>
                <w:sz w:val="15"/>
                <w:szCs w:val="15"/>
                <w:color w:val="auto"/>
              </w:rPr>
            </w:pPr>
          </w:p>
        </w:tc>
      </w:tr>
      <w:tr>
        <w:trPr>
          <w:trHeight w:val="20"/>
        </w:trPr>
        <w:tc>
          <w:tcPr>
            <w:tcW w:w="3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form an integral part of these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8"/>
        </w:trPr>
        <w:tc>
          <w:tcPr>
            <w:tcW w:w="3140" w:type="dxa"/>
            <w:vAlign w:val="bottom"/>
          </w:tcPr>
          <w:p>
            <w:pPr>
              <w:spacing w:after="0"/>
              <w:rPr>
                <w:sz w:val="16"/>
                <w:szCs w:val="16"/>
                <w:color w:val="auto"/>
              </w:rPr>
            </w:pPr>
          </w:p>
        </w:tc>
        <w:tc>
          <w:tcPr>
            <w:tcW w:w="45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CONSOLIDATED STATEMENTS OF PROFIT AND LOSS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4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4,567,459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4,205,511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3,507,067</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(1,364,407)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(1,514,674)</w:t>
            </w:r>
          </w:p>
        </w:tc>
        <w:tc>
          <w:tcPr>
            <w:tcW w:w="2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(1,234,672)</w:t>
            </w:r>
          </w:p>
        </w:tc>
        <w:tc>
          <w:tcPr>
            <w:tcW w:w="0" w:type="dxa"/>
            <w:vAlign w:val="bottom"/>
          </w:tcPr>
          <w:p>
            <w:pPr>
              <w:spacing w:after="0"/>
              <w:rPr>
                <w:sz w:val="1"/>
                <w:szCs w:val="1"/>
                <w:color w:val="auto"/>
              </w:rPr>
            </w:pPr>
          </w:p>
        </w:tc>
      </w:tr>
      <w:tr>
        <w:trPr>
          <w:trHeight w:val="172"/>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7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3,203,052</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2,690,837</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2,272,395</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10,369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9,828</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(1,901,088)</w:t>
            </w: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(1,660,166)</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(1,400,308)</w:t>
            </w:r>
          </w:p>
        </w:tc>
        <w:tc>
          <w:tcPr>
            <w:tcW w:w="0" w:type="dxa"/>
            <w:vAlign w:val="bottom"/>
          </w:tcPr>
          <w:p>
            <w:pPr>
              <w:spacing w:after="0"/>
              <w:rPr>
                <w:sz w:val="1"/>
                <w:szCs w:val="1"/>
                <w:color w:val="auto"/>
              </w:rPr>
            </w:pPr>
          </w:p>
        </w:tc>
      </w:tr>
      <w:tr>
        <w:trPr>
          <w:trHeight w:val="154"/>
        </w:trPr>
        <w:tc>
          <w:tcPr>
            <w:tcW w:w="31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Sales and marketing</w:t>
            </w: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80"/>
              <w:spacing w:after="0" w:line="154" w:lineRule="exact"/>
              <w:rPr>
                <w:sz w:val="20"/>
                <w:szCs w:val="20"/>
                <w:color w:val="auto"/>
              </w:rPr>
            </w:pPr>
            <w:r>
              <w:rPr>
                <w:rFonts w:ascii="Times New Roman" w:cs="Times New Roman" w:eastAsia="Times New Roman" w:hAnsi="Times New Roman"/>
                <w:sz w:val="14"/>
                <w:szCs w:val="14"/>
                <w:color w:val="auto"/>
              </w:rPr>
              <w:t>(614,765)</w:t>
            </w:r>
          </w:p>
        </w:tc>
        <w:tc>
          <w:tcPr>
            <w:tcW w:w="1340" w:type="dxa"/>
            <w:vAlign w:val="bottom"/>
            <w:gridSpan w:val="2"/>
          </w:tcPr>
          <w:p>
            <w:pPr>
              <w:jc w:val="right"/>
              <w:ind w:right="160"/>
              <w:spacing w:after="0" w:line="154" w:lineRule="exact"/>
              <w:rPr>
                <w:sz w:val="20"/>
                <w:szCs w:val="20"/>
                <w:color w:val="auto"/>
              </w:rPr>
            </w:pPr>
            <w:r>
              <w:rPr>
                <w:rFonts w:ascii="Times New Roman" w:cs="Times New Roman" w:eastAsia="Times New Roman" w:hAnsi="Times New Roman"/>
                <w:sz w:val="14"/>
                <w:szCs w:val="14"/>
                <w:color w:val="auto"/>
              </w:rPr>
              <w:t>(500,903)</w:t>
            </w:r>
          </w:p>
        </w:tc>
        <w:tc>
          <w:tcPr>
            <w:tcW w:w="2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(431,140)</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administration</w:t>
            </w:r>
          </w:p>
        </w:tc>
        <w:tc>
          <w:tcPr>
            <w:tcW w:w="2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(944,833)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(837,606)</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(704,603)</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(226,935)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(212,235)</w:t>
            </w:r>
          </w:p>
        </w:tc>
        <w:tc>
          <w:tcPr>
            <w:tcW w:w="22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(177,024)</w:t>
            </w:r>
          </w:p>
        </w:tc>
        <w:tc>
          <w:tcPr>
            <w:tcW w:w="0" w:type="dxa"/>
            <w:vAlign w:val="bottom"/>
          </w:tcPr>
          <w:p>
            <w:pPr>
              <w:spacing w:after="0"/>
              <w:rPr>
                <w:sz w:val="1"/>
                <w:szCs w:val="1"/>
                <w:color w:val="auto"/>
              </w:rPr>
            </w:pPr>
          </w:p>
        </w:tc>
      </w:tr>
      <w:tr>
        <w:trPr>
          <w:trHeight w:val="195"/>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credit losses on financial assets</w:t>
            </w:r>
          </w:p>
        </w:tc>
        <w:tc>
          <w:tcPr>
            <w:tcW w:w="2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(114,555)</w:t>
            </w: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(109,422)</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(87,541)</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1,312,333</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1,042,502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881,915</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(15,113)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4100" w:type="dxa"/>
            <w:vAlign w:val="bottom"/>
            <w:gridSpan w:val="3"/>
          </w:tcPr>
          <w:p>
            <w:pPr>
              <w:jc w:val="center"/>
              <w:ind w:left="27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44,167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39,418</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23,255</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(50,866)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(15,822)</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(10,095)</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Fair value changes to derivative assets</w:t>
            </w: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(43,600)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14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Profit before taxation</w:t>
            </w:r>
          </w:p>
        </w:tc>
        <w:tc>
          <w:tcPr>
            <w:tcW w:w="27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1,246,921</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1,065,710</w:t>
            </w:r>
          </w:p>
        </w:tc>
        <w:tc>
          <w:tcPr>
            <w:tcW w:w="22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894,104</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Taxation</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(309,811)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(311,554)</w:t>
            </w:r>
          </w:p>
        </w:tc>
        <w:tc>
          <w:tcPr>
            <w:tcW w:w="22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(285,298)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937,110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608,806</w:t>
            </w:r>
          </w:p>
        </w:tc>
        <w:tc>
          <w:tcPr>
            <w:tcW w:w="0" w:type="dxa"/>
            <w:vAlign w:val="bottom"/>
          </w:tcPr>
          <w:p>
            <w:pPr>
              <w:spacing w:after="0"/>
              <w:rPr>
                <w:sz w:val="1"/>
                <w:szCs w:val="1"/>
                <w:color w:val="auto"/>
              </w:rPr>
            </w:pPr>
          </w:p>
        </w:tc>
      </w:tr>
      <w:tr>
        <w:trPr>
          <w:trHeight w:val="164"/>
        </w:trPr>
        <w:tc>
          <w:tcPr>
            <w:tcW w:w="314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Profit attributable to:</w:t>
            </w: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parent</w:t>
            </w:r>
          </w:p>
        </w:tc>
        <w:tc>
          <w:tcPr>
            <w:tcW w:w="2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921,031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738,191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597,153</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15,965</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11,653</w:t>
            </w:r>
          </w:p>
        </w:tc>
        <w:tc>
          <w:tcPr>
            <w:tcW w:w="0" w:type="dxa"/>
            <w:vAlign w:val="bottom"/>
          </w:tcPr>
          <w:p>
            <w:pPr>
              <w:spacing w:after="0"/>
              <w:rPr>
                <w:sz w:val="1"/>
                <w:szCs w:val="1"/>
                <w:color w:val="auto"/>
              </w:rPr>
            </w:pPr>
          </w:p>
        </w:tc>
      </w:tr>
      <w:tr>
        <w:trPr>
          <w:trHeight w:val="21"/>
        </w:trPr>
        <w:tc>
          <w:tcPr>
            <w:tcW w:w="314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4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937,110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754,156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608,806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40" w:type="dxa"/>
            <w:vAlign w:val="bottom"/>
            <w:vMerge w:val="continue"/>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earnings per share (ZAR)</w:t>
            </w:r>
          </w:p>
        </w:tc>
        <w:tc>
          <w:tcPr>
            <w:tcW w:w="4100" w:type="dxa"/>
            <w:vAlign w:val="bottom"/>
            <w:gridSpan w:val="3"/>
            <w:shd w:val="clear" w:color="auto" w:fill="CCEEFF"/>
          </w:tcPr>
          <w:p>
            <w:pPr>
              <w:jc w:val="center"/>
              <w:ind w:left="2788"/>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form an integral part of these financial statements.</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1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Year ended February 28/29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6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13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937,110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754,156</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608,806</w:t>
            </w:r>
          </w:p>
        </w:tc>
        <w:tc>
          <w:tcPr>
            <w:tcW w:w="80" w:type="dxa"/>
            <w:vAlign w:val="bottom"/>
            <w:shd w:val="clear" w:color="auto" w:fill="CCEEFF"/>
          </w:tcPr>
          <w:p>
            <w:pPr>
              <w:spacing w:after="0"/>
              <w:rPr>
                <w:sz w:val="14"/>
                <w:szCs w:val="14"/>
                <w:color w:val="auto"/>
              </w:rPr>
            </w:pPr>
          </w:p>
        </w:tc>
      </w:tr>
      <w:tr>
        <w:trPr>
          <w:trHeight w:val="172"/>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7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Items that will not be reclassified to profit or loss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7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Actuarial gains on defined benefit plans</w:t>
            </w:r>
          </w:p>
        </w:tc>
        <w:tc>
          <w:tcPr>
            <w:tcW w:w="13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r>
      <w:tr>
        <w:trPr>
          <w:trHeight w:val="172"/>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Items that may be reclassified to profit or loss in future periods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7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Exchange differences on translating foreign operations</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(54,716)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88,632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220,471</w:t>
            </w:r>
          </w:p>
        </w:tc>
        <w:tc>
          <w:tcPr>
            <w:tcW w:w="80" w:type="dxa"/>
            <w:vAlign w:val="bottom"/>
          </w:tcPr>
          <w:p>
            <w:pPr>
              <w:spacing w:after="0"/>
              <w:rPr>
                <w:sz w:val="14"/>
                <w:szCs w:val="14"/>
                <w:color w:val="auto"/>
              </w:rPr>
            </w:pPr>
          </w:p>
        </w:tc>
      </w:tr>
      <w:tr>
        <w:trPr>
          <w:trHeight w:val="203"/>
        </w:trPr>
        <w:tc>
          <w:tcPr>
            <w:tcW w:w="6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55"/>
        </w:trPr>
        <w:tc>
          <w:tcPr>
            <w:tcW w:w="7360" w:type="dxa"/>
            <w:vAlign w:val="bottom"/>
            <w:tcBorders>
              <w:bottom w:val="single" w:sz="8" w:color="CCEEFF"/>
            </w:tcBorders>
            <w:gridSpan w:val="4"/>
          </w:tcPr>
          <w:p>
            <w:pPr>
              <w:spacing w:after="0" w:line="153" w:lineRule="exact"/>
              <w:rPr>
                <w:sz w:val="20"/>
                <w:szCs w:val="20"/>
                <w:color w:val="auto"/>
              </w:rPr>
            </w:pPr>
            <w:r>
              <w:rPr>
                <w:rFonts w:ascii="Times New Roman" w:cs="Times New Roman" w:eastAsia="Times New Roman" w:hAnsi="Times New Roman"/>
                <w:sz w:val="14"/>
                <w:szCs w:val="14"/>
                <w:color w:val="auto"/>
              </w:rPr>
              <w:t>Other comprehensive income for the year</w:t>
            </w:r>
          </w:p>
        </w:tc>
        <w:tc>
          <w:tcPr>
            <w:tcW w:w="1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(54,577</w:t>
            </w:r>
          </w:p>
        </w:tc>
        <w:tc>
          <w:tcPr>
            <w:tcW w:w="22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88,632</w:t>
            </w:r>
          </w:p>
        </w:tc>
        <w:tc>
          <w:tcPr>
            <w:tcW w:w="2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220,471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95"/>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comprehensive income for the year, net of income tax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882,533</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842,788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829,277</w:t>
            </w:r>
          </w:p>
        </w:tc>
        <w:tc>
          <w:tcPr>
            <w:tcW w:w="80" w:type="dxa"/>
            <w:vAlign w:val="bottom"/>
            <w:shd w:val="clear" w:color="auto" w:fill="CCEEFF"/>
          </w:tcPr>
          <w:p>
            <w:pPr>
              <w:spacing w:after="0"/>
              <w:rPr>
                <w:sz w:val="16"/>
                <w:szCs w:val="16"/>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64"/>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attributable to:</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7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Owners of the parent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868,224</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823,894</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813,486</w:t>
            </w:r>
          </w:p>
        </w:tc>
        <w:tc>
          <w:tcPr>
            <w:tcW w:w="80" w:type="dxa"/>
            <w:vAlign w:val="bottom"/>
          </w:tcPr>
          <w:p>
            <w:pPr>
              <w:spacing w:after="0"/>
              <w:rPr>
                <w:sz w:val="14"/>
                <w:szCs w:val="14"/>
                <w:color w:val="auto"/>
              </w:rPr>
            </w:pPr>
          </w:p>
        </w:tc>
      </w:tr>
      <w:tr>
        <w:trPr>
          <w:trHeight w:val="184"/>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3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14,309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18,894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15,791</w:t>
            </w:r>
          </w:p>
        </w:tc>
        <w:tc>
          <w:tcPr>
            <w:tcW w:w="80" w:type="dxa"/>
            <w:vAlign w:val="bottom"/>
            <w:shd w:val="clear" w:color="auto" w:fill="CCEEFF"/>
          </w:tcPr>
          <w:p>
            <w:pPr>
              <w:spacing w:after="0"/>
              <w:rPr>
                <w:sz w:val="16"/>
                <w:szCs w:val="16"/>
                <w:color w:val="auto"/>
              </w:rPr>
            </w:pPr>
          </w:p>
        </w:tc>
      </w:tr>
      <w:tr>
        <w:trPr>
          <w:trHeight w:val="195"/>
        </w:trPr>
        <w:tc>
          <w:tcPr>
            <w:tcW w:w="6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882,533</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842,788</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829,277</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form an integral part of these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gridSpan w:val="30"/>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6"/>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 owner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10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5"/>
          </w:tcPr>
          <w:p>
            <w:pPr>
              <w:jc w:val="center"/>
              <w:ind w:right="340"/>
              <w:spacing w:after="0" w:line="214" w:lineRule="exact"/>
              <w:rPr>
                <w:sz w:val="20"/>
                <w:szCs w:val="20"/>
                <w:color w:val="auto"/>
              </w:rPr>
            </w:pPr>
            <w:r>
              <w:rPr>
                <w:rFonts w:ascii="Times New Roman" w:cs="Times New Roman" w:eastAsia="Times New Roman" w:hAnsi="Times New Roman"/>
                <w:sz w:val="14"/>
                <w:szCs w:val="14"/>
                <w:b w:val="1"/>
                <w:bCs w:val="1"/>
                <w:color w:val="auto"/>
                <w:w w:val="97"/>
              </w:rPr>
              <w:t>reserve</w:t>
            </w:r>
            <w:r>
              <w:rPr>
                <w:rFonts w:ascii="Times New Roman" w:cs="Times New Roman" w:eastAsia="Times New Roman" w:hAnsi="Times New Roman"/>
                <w:sz w:val="23"/>
                <w:szCs w:val="23"/>
                <w:b w:val="1"/>
                <w:bCs w:val="1"/>
                <w:color w:val="auto"/>
                <w:w w:val="97"/>
                <w:vertAlign w:val="superscript"/>
              </w:rPr>
              <w:t>1</w:t>
            </w:r>
          </w:p>
        </w:tc>
        <w:tc>
          <w:tcPr>
            <w:tcW w:w="20" w:type="dxa"/>
            <w:vAlign w:val="bottom"/>
          </w:tcPr>
          <w:p>
            <w:pPr>
              <w:spacing w:after="0"/>
              <w:rPr>
                <w:sz w:val="18"/>
                <w:szCs w:val="18"/>
                <w:color w:val="auto"/>
              </w:rPr>
            </w:pPr>
          </w:p>
        </w:tc>
        <w:tc>
          <w:tcPr>
            <w:tcW w:w="10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9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 parent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2"/>
        </w:trPr>
        <w:tc>
          <w:tcPr>
            <w:tcW w:w="2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2022</w:t>
            </w:r>
          </w:p>
        </w:tc>
        <w:tc>
          <w:tcPr>
            <w:tcW w:w="1200" w:type="dxa"/>
            <w:vAlign w:val="bottom"/>
            <w:tcBorders>
              <w:lef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7,142,853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(3,587,640)</w:t>
            </w:r>
          </w:p>
        </w:tc>
        <w:tc>
          <w:tcPr>
            <w:tcW w:w="940" w:type="dxa"/>
            <w:vAlign w:val="bottom"/>
            <w:tcBorders>
              <w:left w:val="single" w:sz="8" w:color="CCEEFF"/>
            </w:tcBorders>
            <w:gridSpan w:val="6"/>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(2,709,236)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28,776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1,276,523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2,151,276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22,905</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2,174,181</w:t>
            </w:r>
          </w:p>
        </w:tc>
        <w:tc>
          <w:tcPr>
            <w:tcW w:w="0" w:type="dxa"/>
            <w:vAlign w:val="bottom"/>
          </w:tcPr>
          <w:p>
            <w:pPr>
              <w:spacing w:after="0"/>
              <w:rPr>
                <w:sz w:val="1"/>
                <w:szCs w:val="1"/>
                <w:color w:val="auto"/>
              </w:rPr>
            </w:pPr>
          </w:p>
        </w:tc>
      </w:tr>
      <w:tr>
        <w:trPr>
          <w:trHeight w:val="154"/>
        </w:trPr>
        <w:tc>
          <w:tcPr>
            <w:tcW w:w="3100" w:type="dxa"/>
            <w:vAlign w:val="bottom"/>
            <w:tcBorders>
              <w:top w:val="single" w:sz="8" w:color="CCEEFF"/>
            </w:tcBorders>
            <w:gridSpan w:val="2"/>
          </w:tcPr>
          <w:p>
            <w:pPr>
              <w:spacing w:after="0" w:line="154" w:lineRule="exact"/>
              <w:rPr>
                <w:sz w:val="20"/>
                <w:szCs w:val="20"/>
                <w:color w:val="auto"/>
              </w:rPr>
            </w:pPr>
            <w:r>
              <w:rPr>
                <w:rFonts w:ascii="Times New Roman" w:cs="Times New Roman" w:eastAsia="Times New Roman" w:hAnsi="Times New Roman"/>
                <w:sz w:val="14"/>
                <w:szCs w:val="14"/>
                <w:color w:val="auto"/>
              </w:rPr>
              <w:t>Profit for the year</w:t>
            </w:r>
          </w:p>
        </w:tc>
        <w:tc>
          <w:tcPr>
            <w:tcW w:w="400" w:type="dxa"/>
            <w:vAlign w:val="bottom"/>
            <w:tcBorders>
              <w:top w:val="single" w:sz="8" w:color="CCEEFF"/>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ind w:right="179"/>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jc w:val="right"/>
              <w:ind w:right="179"/>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597,153</w:t>
            </w: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597,153</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auto"/>
              </w:rPr>
              <w:t>11,653</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gridSpan w:val="3"/>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608,806</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0" w:type="dxa"/>
            <w:vAlign w:val="bottom"/>
            <w:tcBorders>
              <w:left w:val="single" w:sz="8" w:color="CCEEFF"/>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216,333</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216,333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220,471</w:t>
            </w:r>
          </w:p>
        </w:tc>
        <w:tc>
          <w:tcPr>
            <w:tcW w:w="0" w:type="dxa"/>
            <w:vAlign w:val="bottom"/>
          </w:tcPr>
          <w:p>
            <w:pPr>
              <w:spacing w:after="0"/>
              <w:rPr>
                <w:sz w:val="1"/>
                <w:szCs w:val="1"/>
                <w:color w:val="auto"/>
              </w:rPr>
            </w:pPr>
          </w:p>
        </w:tc>
      </w:tr>
      <w:tr>
        <w:trPr>
          <w:trHeight w:val="1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for the year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216,333</w:t>
            </w: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597,153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813,486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15,791</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829,277</w:t>
            </w:r>
          </w:p>
        </w:tc>
        <w:tc>
          <w:tcPr>
            <w:tcW w:w="0" w:type="dxa"/>
            <w:vAlign w:val="bottom"/>
          </w:tcPr>
          <w:p>
            <w:pPr>
              <w:spacing w:after="0"/>
              <w:rPr>
                <w:sz w:val="1"/>
                <w:szCs w:val="1"/>
                <w:color w:val="auto"/>
              </w:rPr>
            </w:pPr>
          </w:p>
        </w:tc>
      </w:tr>
      <w:tr>
        <w:trPr>
          <w:trHeight w:val="172"/>
        </w:trPr>
        <w:tc>
          <w:tcPr>
            <w:tcW w:w="2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CCEEFF"/>
              <w:lef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Transactions with owner, recognized directly in equity</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Contributions by and distributions to owner</w:t>
            </w:r>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left w:val="single" w:sz="8" w:color="CCEEFF"/>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w:t>
            </w:r>
          </w:p>
        </w:tc>
        <w:tc>
          <w:tcPr>
            <w:tcW w:w="4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(293,562)</w:t>
            </w: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(293,562)</w:t>
            </w:r>
          </w:p>
        </w:tc>
        <w:tc>
          <w:tcPr>
            <w:tcW w:w="120" w:type="dxa"/>
            <w:vAlign w:val="bottom"/>
          </w:tcPr>
          <w:p>
            <w:pPr>
              <w:spacing w:after="0"/>
              <w:rPr>
                <w:sz w:val="17"/>
                <w:szCs w:val="17"/>
                <w:color w:val="auto"/>
              </w:rPr>
            </w:pPr>
          </w:p>
        </w:tc>
        <w:tc>
          <w:tcPr>
            <w:tcW w:w="1080" w:type="dxa"/>
            <w:vAlign w:val="bottom"/>
            <w:gridSpan w:val="4"/>
          </w:tcPr>
          <w:p>
            <w:pPr>
              <w:jc w:val="right"/>
              <w:ind w:right="200"/>
              <w:spacing w:after="0" w:line="204" w:lineRule="exact"/>
              <w:rPr>
                <w:sz w:val="20"/>
                <w:szCs w:val="20"/>
                <w:color w:val="auto"/>
              </w:rPr>
            </w:pPr>
            <w:r>
              <w:rPr>
                <w:rFonts w:ascii="Times New Roman" w:cs="Times New Roman" w:eastAsia="Times New Roman" w:hAnsi="Times New Roman"/>
                <w:sz w:val="14"/>
                <w:szCs w:val="14"/>
                <w:color w:val="auto"/>
              </w:rPr>
              <w:t>(8,518)</w:t>
            </w:r>
            <w:r>
              <w:rPr>
                <w:rFonts w:ascii="Times New Roman" w:cs="Times New Roman" w:eastAsia="Times New Roman" w:hAnsi="Times New Roman"/>
                <w:sz w:val="23"/>
                <w:szCs w:val="23"/>
                <w:color w:val="auto"/>
                <w:vertAlign w:val="superscript"/>
              </w:rPr>
              <w:t>3</w:t>
            </w:r>
          </w:p>
        </w:tc>
        <w:tc>
          <w:tcPr>
            <w:tcW w:w="82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(302,080)</w:t>
            </w:r>
          </w:p>
        </w:tc>
        <w:tc>
          <w:tcPr>
            <w:tcW w:w="0" w:type="dxa"/>
            <w:vAlign w:val="bottom"/>
          </w:tcPr>
          <w:p>
            <w:pPr>
              <w:spacing w:after="0"/>
              <w:rPr>
                <w:sz w:val="1"/>
                <w:szCs w:val="1"/>
                <w:color w:val="auto"/>
              </w:rPr>
            </w:pPr>
          </w:p>
        </w:tc>
      </w:tr>
      <w:tr>
        <w:trPr>
          <w:trHeight w:val="235"/>
        </w:trPr>
        <w:tc>
          <w:tcPr>
            <w:tcW w:w="3100" w:type="dxa"/>
            <w:vAlign w:val="bottom"/>
            <w:tcBorders>
              <w:bottom w:val="single" w:sz="8" w:color="CCEEFF"/>
              <w:right w:val="single" w:sz="8" w:color="CCEEFF"/>
            </w:tcBorders>
            <w:gridSpan w:val="2"/>
            <w:shd w:val="clear" w:color="auto" w:fill="CCEEFF"/>
          </w:tcPr>
          <w:p>
            <w:pPr>
              <w:spacing w:after="0" w:line="214" w:lineRule="exact"/>
              <w:rPr>
                <w:sz w:val="20"/>
                <w:szCs w:val="20"/>
                <w:color w:val="auto"/>
              </w:rPr>
            </w:pPr>
            <w:r>
              <w:rPr>
                <w:rFonts w:ascii="Times New Roman" w:cs="Times New Roman" w:eastAsia="Times New Roman" w:hAnsi="Times New Roman"/>
                <w:sz w:val="14"/>
                <w:szCs w:val="14"/>
                <w:color w:val="auto"/>
              </w:rPr>
              <w:t>Derivative – put option</w:t>
            </w:r>
            <w:r>
              <w:rPr>
                <w:rFonts w:ascii="Times New Roman" w:cs="Times New Roman" w:eastAsia="Times New Roman" w:hAnsi="Times New Roman"/>
                <w:sz w:val="23"/>
                <w:szCs w:val="23"/>
                <w:color w:val="auto"/>
                <w:vertAlign w:val="superscript"/>
              </w:rPr>
              <w:t>6</w:t>
            </w:r>
          </w:p>
        </w:tc>
        <w:tc>
          <w:tcPr>
            <w:tcW w:w="400" w:type="dxa"/>
            <w:vAlign w:val="bottom"/>
            <w:tcBorders>
              <w:left w:val="single" w:sz="8" w:color="CCEEFF"/>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(15,305)</w:t>
            </w: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(15,305)</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(15,305)</w:t>
            </w:r>
          </w:p>
        </w:tc>
        <w:tc>
          <w:tcPr>
            <w:tcW w:w="0" w:type="dxa"/>
            <w:vAlign w:val="bottom"/>
          </w:tcPr>
          <w:p>
            <w:pPr>
              <w:spacing w:after="0"/>
              <w:rPr>
                <w:sz w:val="1"/>
                <w:szCs w:val="1"/>
                <w:color w:val="auto"/>
              </w:rPr>
            </w:pPr>
          </w:p>
        </w:tc>
      </w:tr>
      <w:tr>
        <w:trPr>
          <w:trHeight w:val="1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transactions with owner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(308,867)</w:t>
            </w:r>
          </w:p>
        </w:tc>
        <w:tc>
          <w:tcPr>
            <w:tcW w:w="8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(308,867)</w:t>
            </w:r>
          </w:p>
        </w:tc>
        <w:tc>
          <w:tcPr>
            <w:tcW w:w="120" w:type="dxa"/>
            <w:vAlign w:val="bottom"/>
          </w:tcPr>
          <w:p>
            <w:pPr>
              <w:spacing w:after="0"/>
              <w:rPr>
                <w:sz w:val="14"/>
                <w:szCs w:val="14"/>
                <w:color w:val="auto"/>
              </w:rPr>
            </w:pP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(8,518)</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(317,385)</w:t>
            </w:r>
          </w:p>
        </w:tc>
        <w:tc>
          <w:tcPr>
            <w:tcW w:w="0" w:type="dxa"/>
            <w:vAlign w:val="bottom"/>
          </w:tcPr>
          <w:p>
            <w:pPr>
              <w:spacing w:after="0"/>
              <w:rPr>
                <w:sz w:val="1"/>
                <w:szCs w:val="1"/>
                <w:color w:val="auto"/>
              </w:rPr>
            </w:pPr>
          </w:p>
        </w:tc>
      </w:tr>
      <w:tr>
        <w:trPr>
          <w:trHeight w:val="172"/>
        </w:trPr>
        <w:tc>
          <w:tcPr>
            <w:tcW w:w="2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CCEEFF"/>
              <w:lef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ownership interest in subsidiaries</w:t>
            </w: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 of interest in subsidiaries without change in control</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5,072</w:t>
            </w: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730</w:t>
            </w:r>
          </w:p>
        </w:tc>
        <w:tc>
          <w:tcPr>
            <w:tcW w:w="82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5,802</w:t>
            </w:r>
          </w:p>
        </w:tc>
        <w:tc>
          <w:tcPr>
            <w:tcW w:w="0" w:type="dxa"/>
            <w:vAlign w:val="bottom"/>
          </w:tcPr>
          <w:p>
            <w:pPr>
              <w:spacing w:after="0"/>
              <w:rPr>
                <w:sz w:val="1"/>
                <w:szCs w:val="1"/>
                <w:color w:val="auto"/>
              </w:rPr>
            </w:pPr>
          </w:p>
        </w:tc>
      </w:tr>
      <w:tr>
        <w:trPr>
          <w:trHeight w:val="165"/>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changes in ownership interest in subsidiaries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730</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5,802</w:t>
            </w:r>
          </w:p>
        </w:tc>
        <w:tc>
          <w:tcPr>
            <w:tcW w:w="0" w:type="dxa"/>
            <w:vAlign w:val="bottom"/>
          </w:tcPr>
          <w:p>
            <w:pPr>
              <w:spacing w:after="0"/>
              <w:rPr>
                <w:sz w:val="1"/>
                <w:szCs w:val="1"/>
                <w:color w:val="auto"/>
              </w:rPr>
            </w:pPr>
          </w:p>
        </w:tc>
      </w:tr>
      <w:tr>
        <w:trPr>
          <w:trHeight w:val="21"/>
        </w:trPr>
        <w:tc>
          <w:tcPr>
            <w:tcW w:w="310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February 28, 2023</w:t>
            </w: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00" w:type="dxa"/>
            <w:vAlign w:val="bottom"/>
            <w:tcBorders>
              <w:right w:val="single" w:sz="8" w:color="CCEEFF"/>
            </w:tcBorders>
            <w:gridSpan w:val="2"/>
            <w:vMerge w:val="continue"/>
            <w:shd w:val="clear" w:color="auto" w:fill="CCEEFF"/>
          </w:tcPr>
          <w:p>
            <w:pPr>
              <w:spacing w:after="0"/>
              <w:rPr>
                <w:sz w:val="16"/>
                <w:szCs w:val="16"/>
                <w:color w:val="auto"/>
              </w:rPr>
            </w:pPr>
          </w:p>
        </w:tc>
        <w:tc>
          <w:tcPr>
            <w:tcW w:w="52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(3,582,568</w:t>
            </w:r>
          </w:p>
        </w:tc>
        <w:tc>
          <w:tcPr>
            <w:tcW w:w="220" w:type="dxa"/>
            <w:vAlign w:val="bottom"/>
            <w:vMerge w:val="continue"/>
            <w:shd w:val="clear" w:color="auto" w:fill="CCEEFF"/>
          </w:tcPr>
          <w:p>
            <w:pPr>
              <w:spacing w:after="0"/>
              <w:rPr>
                <w:sz w:val="16"/>
                <w:szCs w:val="16"/>
                <w:color w:val="auto"/>
              </w:rPr>
            </w:pPr>
          </w:p>
        </w:tc>
        <w:tc>
          <w:tcPr>
            <w:tcW w:w="72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(2,709,236</w:t>
            </w: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245,109</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1,564,809</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30,908</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2,691,875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owner of</w:t>
            </w:r>
          </w:p>
        </w:tc>
        <w:tc>
          <w:tcPr>
            <w:tcW w:w="8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center"/>
              <w:ind w:left="8"/>
              <w:spacing w:after="0" w:line="214" w:lineRule="exact"/>
              <w:rPr>
                <w:sz w:val="20"/>
                <w:szCs w:val="20"/>
                <w:color w:val="auto"/>
              </w:rPr>
            </w:pPr>
            <w:r>
              <w:rPr>
                <w:rFonts w:ascii="Times New Roman" w:cs="Times New Roman" w:eastAsia="Times New Roman" w:hAnsi="Times New Roman"/>
                <w:sz w:val="14"/>
                <w:szCs w:val="14"/>
                <w:b w:val="1"/>
                <w:bCs w:val="1"/>
                <w:color w:val="auto"/>
                <w:w w:val="97"/>
              </w:rPr>
              <w:t>reserve</w:t>
            </w:r>
            <w:r>
              <w:rPr>
                <w:rFonts w:ascii="Times New Roman" w:cs="Times New Roman" w:eastAsia="Times New Roman" w:hAnsi="Times New Roman"/>
                <w:sz w:val="23"/>
                <w:szCs w:val="23"/>
                <w:b w:val="1"/>
                <w:bCs w:val="1"/>
                <w:color w:val="auto"/>
                <w:w w:val="97"/>
                <w:vertAlign w:val="superscript"/>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8"/>
                <w:szCs w:val="18"/>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 parent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2"/>
        </w:trPr>
        <w:tc>
          <w:tcPr>
            <w:tcW w:w="2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2023</w:t>
            </w:r>
          </w:p>
        </w:tc>
        <w:tc>
          <w:tcPr>
            <w:tcW w:w="6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7,142,853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(3,582,568)</w:t>
            </w:r>
          </w:p>
        </w:tc>
        <w:tc>
          <w:tcPr>
            <w:tcW w:w="9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(2,709,236)</w:t>
            </w: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245,109</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1,564,809</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2,660,967</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30,908</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2,691,875</w:t>
            </w:r>
          </w:p>
        </w:tc>
        <w:tc>
          <w:tcPr>
            <w:tcW w:w="0" w:type="dxa"/>
            <w:vAlign w:val="bottom"/>
          </w:tcPr>
          <w:p>
            <w:pPr>
              <w:spacing w:after="0"/>
              <w:rPr>
                <w:sz w:val="1"/>
                <w:szCs w:val="1"/>
                <w:color w:val="auto"/>
              </w:rPr>
            </w:pPr>
          </w:p>
        </w:tc>
      </w:tr>
      <w:tr>
        <w:trPr>
          <w:trHeight w:val="154"/>
        </w:trPr>
        <w:tc>
          <w:tcPr>
            <w:tcW w:w="3100" w:type="dxa"/>
            <w:vAlign w:val="bottom"/>
            <w:tcBorders>
              <w:top w:val="single" w:sz="8" w:color="CCEEFF"/>
              <w:right w:val="single" w:sz="8" w:color="auto"/>
            </w:tcBorders>
            <w:gridSpan w:val="2"/>
          </w:tcPr>
          <w:p>
            <w:pPr>
              <w:spacing w:after="0" w:line="154" w:lineRule="exact"/>
              <w:rPr>
                <w:sz w:val="20"/>
                <w:szCs w:val="20"/>
                <w:color w:val="auto"/>
              </w:rPr>
            </w:pPr>
            <w:r>
              <w:rPr>
                <w:rFonts w:ascii="Times New Roman" w:cs="Times New Roman" w:eastAsia="Times New Roman" w:hAnsi="Times New Roman"/>
                <w:sz w:val="14"/>
                <w:szCs w:val="14"/>
                <w:color w:val="auto"/>
              </w:rPr>
              <w:t>Profit for the year</w:t>
            </w:r>
          </w:p>
        </w:tc>
        <w:tc>
          <w:tcPr>
            <w:tcW w:w="680" w:type="dxa"/>
            <w:vAlign w:val="bottom"/>
            <w:tcBorders>
              <w:top w:val="single" w:sz="8" w:color="auto"/>
              <w:left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tcBorders>
            <w:gridSpan w:val="4"/>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auto"/>
              </w:rPr>
              <w:t>738,191</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738,191</w:t>
            </w:r>
          </w:p>
        </w:tc>
        <w:tc>
          <w:tcPr>
            <w:tcW w:w="760" w:type="dxa"/>
            <w:vAlign w:val="bottom"/>
            <w:tcBorders>
              <w:top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auto"/>
              </w:rPr>
              <w:t>15,965</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gridSpan w:val="3"/>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754,156</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tcBorders>
              <w:left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85,703</w:t>
            </w:r>
          </w:p>
        </w:tc>
        <w:tc>
          <w:tcPr>
            <w:tcW w:w="8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85,703</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88,632</w:t>
            </w:r>
          </w:p>
        </w:tc>
        <w:tc>
          <w:tcPr>
            <w:tcW w:w="0" w:type="dxa"/>
            <w:vAlign w:val="bottom"/>
          </w:tcPr>
          <w:p>
            <w:pPr>
              <w:spacing w:after="0"/>
              <w:rPr>
                <w:sz w:val="1"/>
                <w:szCs w:val="1"/>
                <w:color w:val="auto"/>
              </w:rPr>
            </w:pPr>
          </w:p>
        </w:tc>
      </w:tr>
      <w:tr>
        <w:trPr>
          <w:trHeight w:val="1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for the year</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85,703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738,191</w:t>
            </w:r>
          </w:p>
        </w:tc>
        <w:tc>
          <w:tcPr>
            <w:tcW w:w="80" w:type="dxa"/>
            <w:vAlign w:val="bottom"/>
          </w:tcPr>
          <w:p>
            <w:pPr>
              <w:spacing w:after="0"/>
              <w:rPr>
                <w:sz w:val="14"/>
                <w:szCs w:val="14"/>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823,894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18,894</w:t>
            </w:r>
          </w:p>
        </w:tc>
        <w:tc>
          <w:tcPr>
            <w:tcW w:w="32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842,788</w:t>
            </w:r>
          </w:p>
        </w:tc>
        <w:tc>
          <w:tcPr>
            <w:tcW w:w="0" w:type="dxa"/>
            <w:vAlign w:val="bottom"/>
          </w:tcPr>
          <w:p>
            <w:pPr>
              <w:spacing w:after="0"/>
              <w:rPr>
                <w:sz w:val="1"/>
                <w:szCs w:val="1"/>
                <w:color w:val="auto"/>
              </w:rPr>
            </w:pPr>
          </w:p>
        </w:tc>
      </w:tr>
      <w:tr>
        <w:trPr>
          <w:trHeight w:val="172"/>
        </w:trPr>
        <w:tc>
          <w:tcPr>
            <w:tcW w:w="2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left w:val="single" w:sz="8" w:color="CCEEFF"/>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Transactions with owner, recognized directly in</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Contributions by and distributions to owner</w:t>
            </w:r>
          </w:p>
        </w:tc>
        <w:tc>
          <w:tcPr>
            <w:tcW w:w="400" w:type="dxa"/>
            <w:vAlign w:val="bottom"/>
            <w:tcBorders>
              <w:lef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00" w:type="dxa"/>
            <w:vAlign w:val="bottom"/>
            <w:tcBorders>
              <w:top w:val="single" w:sz="8" w:color="CCEEFF"/>
              <w:right w:val="single" w:sz="8" w:color="auto"/>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Purchase of treasury shares</w:t>
            </w:r>
          </w:p>
        </w:tc>
        <w:tc>
          <w:tcPr>
            <w:tcW w:w="680" w:type="dxa"/>
            <w:vAlign w:val="bottom"/>
            <w:tcBorders>
              <w:top w:val="single" w:sz="8" w:color="auto"/>
              <w:left w:val="single" w:sz="8" w:color="auto"/>
            </w:tcBorders>
            <w:gridSpan w:val="4"/>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gridSpan w:val="7"/>
          </w:tcPr>
          <w:p>
            <w:pPr>
              <w:jc w:val="right"/>
              <w:spacing w:after="0" w:line="153" w:lineRule="exact"/>
              <w:rPr>
                <w:sz w:val="20"/>
                <w:szCs w:val="20"/>
                <w:color w:val="auto"/>
              </w:rPr>
            </w:pPr>
            <w:r>
              <w:rPr>
                <w:rFonts w:ascii="Times New Roman" w:cs="Times New Roman" w:eastAsia="Times New Roman" w:hAnsi="Times New Roman"/>
                <w:sz w:val="14"/>
                <w:szCs w:val="14"/>
                <w:color w:val="auto"/>
              </w:rPr>
              <w:t>(23,816)</w:t>
            </w:r>
          </w:p>
        </w:tc>
        <w:tc>
          <w:tcPr>
            <w:tcW w:w="1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tcBorders>
            <w:gridSpan w:val="4"/>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(23,816)</w:t>
            </w:r>
          </w:p>
        </w:tc>
        <w:tc>
          <w:tcPr>
            <w:tcW w:w="760" w:type="dxa"/>
            <w:vAlign w:val="bottom"/>
            <w:tcBorders>
              <w:top w:val="single" w:sz="8" w:color="auto"/>
            </w:tcBorders>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gridSpan w:val="3"/>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(23,816)</w:t>
            </w:r>
          </w:p>
        </w:tc>
        <w:tc>
          <w:tcPr>
            <w:tcW w:w="0" w:type="dxa"/>
            <w:vAlign w:val="bottom"/>
          </w:tcPr>
          <w:p>
            <w:pPr>
              <w:spacing w:after="0"/>
              <w:rPr>
                <w:sz w:val="1"/>
                <w:szCs w:val="1"/>
                <w:color w:val="auto"/>
              </w:rPr>
            </w:pPr>
          </w:p>
        </w:tc>
      </w:tr>
      <w:tr>
        <w:trPr>
          <w:trHeight w:val="224"/>
        </w:trPr>
        <w:tc>
          <w:tcPr>
            <w:tcW w:w="310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tcBorders>
              <w:left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(499,518)</w:t>
            </w:r>
          </w:p>
        </w:tc>
        <w:tc>
          <w:tcPr>
            <w:tcW w:w="100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(499,518)</w:t>
            </w:r>
          </w:p>
        </w:tc>
        <w:tc>
          <w:tcPr>
            <w:tcW w:w="1080" w:type="dxa"/>
            <w:vAlign w:val="bottom"/>
            <w:tcBorders>
              <w:bottom w:val="single" w:sz="8" w:color="auto"/>
            </w:tcBorders>
            <w:gridSpan w:val="4"/>
            <w:shd w:val="clear" w:color="auto" w:fill="CCEEFF"/>
          </w:tcPr>
          <w:p>
            <w:pPr>
              <w:jc w:val="right"/>
              <w:ind w:right="220"/>
              <w:spacing w:after="0" w:line="204" w:lineRule="exact"/>
              <w:rPr>
                <w:sz w:val="20"/>
                <w:szCs w:val="20"/>
                <w:color w:val="auto"/>
              </w:rPr>
            </w:pPr>
            <w:r>
              <w:rPr>
                <w:rFonts w:ascii="Times New Roman" w:cs="Times New Roman" w:eastAsia="Times New Roman" w:hAnsi="Times New Roman"/>
                <w:sz w:val="14"/>
                <w:szCs w:val="14"/>
                <w:color w:val="auto"/>
              </w:rPr>
              <w:t>(9,782)</w:t>
            </w:r>
            <w:r>
              <w:rPr>
                <w:rFonts w:ascii="Times New Roman" w:cs="Times New Roman" w:eastAsia="Times New Roman" w:hAnsi="Times New Roman"/>
                <w:sz w:val="23"/>
                <w:szCs w:val="23"/>
                <w:color w:val="auto"/>
                <w:vertAlign w:val="superscript"/>
              </w:rPr>
              <w:t>4</w:t>
            </w:r>
          </w:p>
        </w:tc>
        <w:tc>
          <w:tcPr>
            <w:tcW w:w="820" w:type="dxa"/>
            <w:vAlign w:val="bottom"/>
            <w:tcBorders>
              <w:bottom w:val="single" w:sz="8" w:color="auto"/>
              <w:right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(509,300)</w:t>
            </w:r>
          </w:p>
        </w:tc>
        <w:tc>
          <w:tcPr>
            <w:tcW w:w="0" w:type="dxa"/>
            <w:vAlign w:val="bottom"/>
          </w:tcPr>
          <w:p>
            <w:pPr>
              <w:spacing w:after="0"/>
              <w:rPr>
                <w:sz w:val="1"/>
                <w:szCs w:val="1"/>
                <w:color w:val="auto"/>
              </w:rPr>
            </w:pPr>
          </w:p>
        </w:tc>
      </w:tr>
      <w:tr>
        <w:trPr>
          <w:trHeight w:val="1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transactions with owner</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(23,816)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(499,518)</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(523,334)</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(9,782)</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(533,116)</w:t>
            </w:r>
          </w:p>
        </w:tc>
        <w:tc>
          <w:tcPr>
            <w:tcW w:w="0" w:type="dxa"/>
            <w:vAlign w:val="bottom"/>
          </w:tcPr>
          <w:p>
            <w:pPr>
              <w:spacing w:after="0"/>
              <w:rPr>
                <w:sz w:val="1"/>
                <w:szCs w:val="1"/>
                <w:color w:val="auto"/>
              </w:rPr>
            </w:pPr>
          </w:p>
        </w:tc>
      </w:tr>
      <w:tr>
        <w:trPr>
          <w:trHeight w:val="172"/>
        </w:trPr>
        <w:tc>
          <w:tcPr>
            <w:tcW w:w="2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left w:val="single" w:sz="8" w:color="CCEEFF"/>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ownership interest in subsidiaries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new subsidiary</w:t>
            </w:r>
          </w:p>
        </w:tc>
        <w:tc>
          <w:tcPr>
            <w:tcW w:w="680" w:type="dxa"/>
            <w:vAlign w:val="bottom"/>
            <w:tcBorders>
              <w:top w:val="single" w:sz="8" w:color="auto"/>
              <w:left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Total changes in ownership interest in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32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2"/>
        </w:trPr>
        <w:tc>
          <w:tcPr>
            <w:tcW w:w="310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February 29, 2024</w:t>
            </w:r>
          </w:p>
        </w:tc>
        <w:tc>
          <w:tcPr>
            <w:tcW w:w="68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vMerge w:val="restart"/>
            <w:shd w:val="clear" w:color="auto" w:fill="CCEEFF"/>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00" w:type="dxa"/>
            <w:vAlign w:val="bottom"/>
            <w:tcBorders>
              <w:right w:val="single" w:sz="8" w:color="CCEEFF"/>
            </w:tcBorders>
            <w:gridSpan w:val="2"/>
            <w:vMerge w:val="continue"/>
            <w:shd w:val="clear" w:color="auto" w:fill="CCEEFF"/>
          </w:tcPr>
          <w:p>
            <w:pPr>
              <w:spacing w:after="0"/>
              <w:rPr>
                <w:sz w:val="16"/>
                <w:szCs w:val="16"/>
                <w:color w:val="auto"/>
              </w:rPr>
            </w:pPr>
          </w:p>
        </w:tc>
        <w:tc>
          <w:tcPr>
            <w:tcW w:w="6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220" w:type="dxa"/>
            <w:vAlign w:val="bottom"/>
            <w:vMerge w:val="continue"/>
            <w:shd w:val="clear" w:color="auto" w:fill="CCEEFF"/>
          </w:tcPr>
          <w:p>
            <w:pPr>
              <w:spacing w:after="0"/>
              <w:rPr>
                <w:sz w:val="16"/>
                <w:szCs w:val="16"/>
                <w:color w:val="auto"/>
              </w:rPr>
            </w:pP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(23,816</w:t>
            </w:r>
          </w:p>
        </w:tc>
        <w:tc>
          <w:tcPr>
            <w:tcW w:w="4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(3,582,568</w:t>
            </w:r>
          </w:p>
        </w:tc>
        <w:tc>
          <w:tcPr>
            <w:tcW w:w="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(2,709,236</w:t>
            </w:r>
          </w:p>
        </w:tc>
        <w:tc>
          <w:tcPr>
            <w:tcW w:w="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330,812</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1,803,482</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2,961,527</w:t>
            </w: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40,935</w:t>
            </w:r>
          </w:p>
        </w:tc>
        <w:tc>
          <w:tcPr>
            <w:tcW w:w="3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3,002,462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4"/>
                <w:szCs w:val="14"/>
                <w:color w:val="auto"/>
              </w:rPr>
              <w:t>F-7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24" w:right="29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 owner of</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right"/>
              <w:ind w:right="279"/>
              <w:spacing w:after="0" w:line="214" w:lineRule="exact"/>
              <w:rPr>
                <w:sz w:val="20"/>
                <w:szCs w:val="20"/>
                <w:color w:val="auto"/>
              </w:rPr>
            </w:pPr>
            <w:r>
              <w:rPr>
                <w:rFonts w:ascii="Times New Roman" w:cs="Times New Roman" w:eastAsia="Times New Roman" w:hAnsi="Times New Roman"/>
                <w:sz w:val="14"/>
                <w:szCs w:val="14"/>
                <w:b w:val="1"/>
                <w:bCs w:val="1"/>
                <w:color w:val="auto"/>
              </w:rPr>
              <w:t>Reserve</w:t>
            </w:r>
            <w:r>
              <w:rPr>
                <w:rFonts w:ascii="Times New Roman" w:cs="Times New Roman" w:eastAsia="Times New Roman" w:hAnsi="Times New Roman"/>
                <w:sz w:val="23"/>
                <w:szCs w:val="23"/>
                <w:b w:val="1"/>
                <w:bCs w:val="1"/>
                <w:color w:val="auto"/>
                <w:vertAlign w:val="superscript"/>
              </w:rPr>
              <w:t>2</w:t>
            </w:r>
          </w:p>
        </w:tc>
        <w:tc>
          <w:tcPr>
            <w:tcW w:w="860" w:type="dxa"/>
            <w:vAlign w:val="bottom"/>
            <w:gridSpan w:val="2"/>
          </w:tcPr>
          <w:p>
            <w:pPr>
              <w:jc w:val="right"/>
              <w:ind w:right="168"/>
              <w:spacing w:after="0" w:line="214" w:lineRule="exact"/>
              <w:rPr>
                <w:sz w:val="20"/>
                <w:szCs w:val="20"/>
                <w:color w:val="auto"/>
              </w:rPr>
            </w:pPr>
            <w:r>
              <w:rPr>
                <w:rFonts w:ascii="Times New Roman" w:cs="Times New Roman" w:eastAsia="Times New Roman" w:hAnsi="Times New Roman"/>
                <w:sz w:val="14"/>
                <w:szCs w:val="14"/>
                <w:b w:val="1"/>
                <w:bCs w:val="1"/>
                <w:color w:val="auto"/>
              </w:rPr>
              <w:t>reserve</w:t>
            </w:r>
            <w:r>
              <w:rPr>
                <w:rFonts w:ascii="Times New Roman" w:cs="Times New Roman" w:eastAsia="Times New Roman" w:hAnsi="Times New Roman"/>
                <w:sz w:val="23"/>
                <w:szCs w:val="23"/>
                <w:b w:val="1"/>
                <w:bCs w:val="1"/>
                <w:color w:val="auto"/>
                <w:vertAlign w:val="superscript"/>
              </w:rPr>
              <w:t>1</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the parent</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2"/>
        </w:trPr>
        <w:tc>
          <w:tcPr>
            <w:tcW w:w="2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2024</w:t>
            </w:r>
          </w:p>
        </w:tc>
        <w:tc>
          <w:tcPr>
            <w:tcW w:w="880" w:type="dxa"/>
            <w:vAlign w:val="bottom"/>
            <w:tcBorders>
              <w:lef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7,142,853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(23,816)</w:t>
            </w:r>
          </w:p>
        </w:tc>
        <w:tc>
          <w:tcPr>
            <w:tcW w:w="9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(3,582,568)</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(2,709,236)</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330,812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1,803,482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2,961,527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40,935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3,002,462</w:t>
            </w: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tcBorders>
              <w:top w:val="single" w:sz="8" w:color="CCEEFF"/>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880" w:type="dxa"/>
            <w:vAlign w:val="bottom"/>
            <w:tcBorders>
              <w:top w:val="single" w:sz="8" w:color="auto"/>
              <w:lef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921,031</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921,031</w:t>
            </w: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16,079</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937,110</w:t>
            </w:r>
          </w:p>
        </w:tc>
        <w:tc>
          <w:tcPr>
            <w:tcW w:w="1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Borders>
              <w:left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(52,946)</w:t>
            </w: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(52,807)</w:t>
            </w:r>
          </w:p>
        </w:tc>
        <w:tc>
          <w:tcPr>
            <w:tcW w:w="100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(1,770)</w:t>
            </w:r>
          </w:p>
        </w:tc>
        <w:tc>
          <w:tcPr>
            <w:tcW w:w="82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(54,577)</w:t>
            </w: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Total comprehensive income for</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(52,946)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921,031</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868,224</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14,309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882,533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Borders>
              <w:top w:val="single" w:sz="8" w:color="auto"/>
              <w:left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Transactions with owner,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recognized directly in equity</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2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Contributions by and</w:t>
            </w:r>
          </w:p>
        </w:tc>
        <w:tc>
          <w:tcPr>
            <w:tcW w:w="6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distributions to owner</w:t>
            </w:r>
          </w:p>
        </w:tc>
        <w:tc>
          <w:tcPr>
            <w:tcW w:w="6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20" w:type="dxa"/>
            <w:vAlign w:val="bottom"/>
            <w:tcBorders>
              <w:top w:val="single" w:sz="8" w:color="CCEEFF"/>
              <w:right w:val="single" w:sz="8" w:color="auto"/>
            </w:tcBorders>
            <w:gridSpan w:val="2"/>
          </w:tcPr>
          <w:p>
            <w:pPr>
              <w:spacing w:after="0" w:line="159" w:lineRule="exact"/>
              <w:rPr>
                <w:sz w:val="20"/>
                <w:szCs w:val="20"/>
                <w:color w:val="auto"/>
              </w:rPr>
            </w:pPr>
            <w:r>
              <w:rPr>
                <w:rFonts w:ascii="Times New Roman" w:cs="Times New Roman" w:eastAsia="Times New Roman" w:hAnsi="Times New Roman"/>
                <w:sz w:val="14"/>
                <w:szCs w:val="14"/>
                <w:color w:val="auto"/>
              </w:rPr>
              <w:t>Cancellation of treasury shares</w:t>
            </w:r>
          </w:p>
        </w:tc>
        <w:tc>
          <w:tcPr>
            <w:tcW w:w="880" w:type="dxa"/>
            <w:vAlign w:val="bottom"/>
            <w:tcBorders>
              <w:top w:val="single" w:sz="8" w:color="auto"/>
              <w:left w:val="single" w:sz="8" w:color="auto"/>
            </w:tcBorders>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27,277</w:t>
            </w:r>
          </w:p>
        </w:tc>
        <w:tc>
          <w:tcPr>
            <w:tcW w:w="940" w:type="dxa"/>
            <w:vAlign w:val="bottom"/>
            <w:tcBorders>
              <w:top w:val="single" w:sz="8" w:color="auto"/>
            </w:tcBorders>
            <w:gridSpan w:val="2"/>
          </w:tcPr>
          <w:p>
            <w:pPr>
              <w:jc w:val="right"/>
              <w:ind w:right="139"/>
              <w:spacing w:after="0" w:line="159" w:lineRule="exact"/>
              <w:rPr>
                <w:sz w:val="20"/>
                <w:szCs w:val="20"/>
                <w:color w:val="auto"/>
              </w:rPr>
            </w:pPr>
            <w:r>
              <w:rPr>
                <w:rFonts w:ascii="Times New Roman" w:cs="Times New Roman" w:eastAsia="Times New Roman" w:hAnsi="Times New Roman"/>
                <w:sz w:val="14"/>
                <w:szCs w:val="14"/>
                <w:color w:val="auto"/>
              </w:rPr>
              <w:t>(27,277)</w:t>
            </w:r>
          </w:p>
        </w:tc>
        <w:tc>
          <w:tcPr>
            <w:tcW w:w="7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880" w:type="dxa"/>
            <w:vAlign w:val="bottom"/>
            <w:tcBorders>
              <w:lef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(3,461)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(3,461)</w:t>
            </w:r>
          </w:p>
        </w:tc>
        <w:tc>
          <w:tcPr>
            <w:tcW w:w="0" w:type="dxa"/>
            <w:vAlign w:val="bottom"/>
          </w:tcPr>
          <w:p>
            <w:pPr>
              <w:spacing w:after="0"/>
              <w:rPr>
                <w:sz w:val="1"/>
                <w:szCs w:val="1"/>
                <w:color w:val="auto"/>
              </w:rPr>
            </w:pPr>
          </w:p>
        </w:tc>
      </w:tr>
      <w:tr>
        <w:trPr>
          <w:trHeight w:val="206"/>
        </w:trPr>
        <w:tc>
          <w:tcPr>
            <w:tcW w:w="2220" w:type="dxa"/>
            <w:vAlign w:val="bottom"/>
            <w:tcBorders>
              <w:bottom w:val="single" w:sz="8" w:color="CCEEFF"/>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Dividends</w:t>
            </w:r>
          </w:p>
        </w:tc>
        <w:tc>
          <w:tcPr>
            <w:tcW w:w="880" w:type="dxa"/>
            <w:vAlign w:val="bottom"/>
            <w:tcBorders>
              <w:left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(612,422)</w:t>
            </w: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(612,422)</w:t>
            </w:r>
          </w:p>
        </w:tc>
        <w:tc>
          <w:tcPr>
            <w:tcW w:w="1000" w:type="dxa"/>
            <w:vAlign w:val="bottom"/>
            <w:tcBorders>
              <w:bottom w:val="single" w:sz="8" w:color="auto"/>
            </w:tcBorders>
            <w:gridSpan w:val="2"/>
          </w:tcPr>
          <w:p>
            <w:pPr>
              <w:jc w:val="right"/>
              <w:ind w:right="220"/>
              <w:spacing w:after="0" w:line="204" w:lineRule="exact"/>
              <w:rPr>
                <w:sz w:val="20"/>
                <w:szCs w:val="20"/>
                <w:color w:val="auto"/>
              </w:rPr>
            </w:pPr>
            <w:r>
              <w:rPr>
                <w:rFonts w:ascii="Times New Roman" w:cs="Times New Roman" w:eastAsia="Times New Roman" w:hAnsi="Times New Roman"/>
                <w:sz w:val="14"/>
                <w:szCs w:val="14"/>
                <w:color w:val="auto"/>
              </w:rPr>
              <w:t>(8,303)</w:t>
            </w:r>
            <w:r>
              <w:rPr>
                <w:rFonts w:ascii="Times New Roman" w:cs="Times New Roman" w:eastAsia="Times New Roman" w:hAnsi="Times New Roman"/>
                <w:sz w:val="23"/>
                <w:szCs w:val="23"/>
                <w:color w:val="auto"/>
                <w:vertAlign w:val="superscript"/>
              </w:rPr>
              <w:t>5</w:t>
            </w:r>
          </w:p>
        </w:tc>
        <w:tc>
          <w:tcPr>
            <w:tcW w:w="82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(620,725)</w:t>
            </w:r>
          </w:p>
        </w:tc>
        <w:tc>
          <w:tcPr>
            <w:tcW w:w="0" w:type="dxa"/>
            <w:vAlign w:val="bottom"/>
          </w:tcPr>
          <w:p>
            <w:pPr>
              <w:spacing w:after="0"/>
              <w:rPr>
                <w:sz w:val="1"/>
                <w:szCs w:val="1"/>
                <w:color w:val="auto"/>
              </w:rPr>
            </w:pPr>
          </w:p>
        </w:tc>
      </w:tr>
      <w:tr>
        <w:trPr>
          <w:trHeight w:val="184"/>
        </w:trPr>
        <w:tc>
          <w:tcPr>
            <w:tcW w:w="2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transactions with owner</w:t>
            </w:r>
          </w:p>
        </w:tc>
        <w:tc>
          <w:tcPr>
            <w:tcW w:w="880" w:type="dxa"/>
            <w:vAlign w:val="bottom"/>
            <w:tcBorders>
              <w:lef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23,816</w:t>
            </w:r>
          </w:p>
        </w:tc>
        <w:tc>
          <w:tcPr>
            <w:tcW w:w="9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(27,277)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(612,422)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(615,883)</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(8,303)</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(624,186)</w:t>
            </w:r>
          </w:p>
        </w:tc>
        <w:tc>
          <w:tcPr>
            <w:tcW w:w="0" w:type="dxa"/>
            <w:vAlign w:val="bottom"/>
          </w:tcPr>
          <w:p>
            <w:pPr>
              <w:spacing w:after="0"/>
              <w:rPr>
                <w:sz w:val="1"/>
                <w:szCs w:val="1"/>
                <w:color w:val="auto"/>
              </w:rPr>
            </w:pPr>
          </w:p>
        </w:tc>
      </w:tr>
      <w:tr>
        <w:trPr>
          <w:trHeight w:val="172"/>
        </w:trPr>
        <w:tc>
          <w:tcPr>
            <w:tcW w:w="2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Borders>
              <w:right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Changes in ownership interest in</w:t>
            </w:r>
          </w:p>
        </w:tc>
        <w:tc>
          <w:tcPr>
            <w:tcW w:w="6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220" w:type="dxa"/>
            <w:vAlign w:val="bottom"/>
            <w:tcBorders>
              <w:top w:val="single" w:sz="8" w:color="CCEEFF"/>
              <w:right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color w:val="auto"/>
              </w:rPr>
              <w:t>Shares repurchase and cancellation</w:t>
            </w:r>
          </w:p>
        </w:tc>
        <w:tc>
          <w:tcPr>
            <w:tcW w:w="680" w:type="dxa"/>
            <w:vAlign w:val="bottom"/>
            <w:tcBorders>
              <w:top w:val="single" w:sz="8" w:color="auto"/>
              <w:left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of shares by a subsidiary</w:t>
            </w:r>
          </w:p>
        </w:tc>
        <w:tc>
          <w:tcPr>
            <w:tcW w:w="68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220" w:type="dxa"/>
            <w:vAlign w:val="bottom"/>
            <w:tcBorders>
              <w:bottom w:val="single" w:sz="8" w:color="CCEEFF"/>
              <w:right w:val="single" w:sz="8" w:color="auto"/>
            </w:tcBorders>
            <w:gridSpan w:val="2"/>
          </w:tcPr>
          <w:p>
            <w:pPr>
              <w:ind w:left="140"/>
              <w:spacing w:after="0" w:line="225" w:lineRule="exact"/>
              <w:rPr>
                <w:sz w:val="20"/>
                <w:szCs w:val="20"/>
                <w:color w:val="auto"/>
              </w:rPr>
            </w:pPr>
            <w:r>
              <w:rPr>
                <w:rFonts w:ascii="Times New Roman" w:cs="Times New Roman" w:eastAsia="Times New Roman" w:hAnsi="Times New Roman"/>
                <w:sz w:val="14"/>
                <w:szCs w:val="14"/>
                <w:color w:val="auto"/>
              </w:rPr>
              <w:t>company</w:t>
            </w:r>
            <w:r>
              <w:rPr>
                <w:rFonts w:ascii="Times New Roman" w:cs="Times New Roman" w:eastAsia="Times New Roman" w:hAnsi="Times New Roman"/>
                <w:sz w:val="23"/>
                <w:szCs w:val="23"/>
                <w:color w:val="auto"/>
                <w:vertAlign w:val="superscript"/>
              </w:rPr>
              <w:t>7</w:t>
            </w:r>
          </w:p>
        </w:tc>
        <w:tc>
          <w:tcPr>
            <w:tcW w:w="880" w:type="dxa"/>
            <w:vAlign w:val="bottom"/>
            <w:tcBorders>
              <w:left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(11,400)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(11,400)</w:t>
            </w: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(3,842)</w:t>
            </w:r>
          </w:p>
        </w:tc>
        <w:tc>
          <w:tcPr>
            <w:tcW w:w="82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(15,242)</w:t>
            </w:r>
          </w:p>
        </w:tc>
        <w:tc>
          <w:tcPr>
            <w:tcW w:w="0" w:type="dxa"/>
            <w:vAlign w:val="bottom"/>
          </w:tcPr>
          <w:p>
            <w:pPr>
              <w:spacing w:after="0"/>
              <w:rPr>
                <w:sz w:val="1"/>
                <w:szCs w:val="1"/>
                <w:color w:val="auto"/>
              </w:rPr>
            </w:pPr>
          </w:p>
        </w:tc>
      </w:tr>
      <w:tr>
        <w:trPr>
          <w:trHeight w:val="144"/>
        </w:trPr>
        <w:tc>
          <w:tcPr>
            <w:tcW w:w="2220" w:type="dxa"/>
            <w:vAlign w:val="bottom"/>
            <w:tcBorders>
              <w:right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Total changes in ownership</w:t>
            </w:r>
          </w:p>
        </w:tc>
        <w:tc>
          <w:tcPr>
            <w:tcW w:w="6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in subsidiaries</w:t>
            </w:r>
          </w:p>
        </w:tc>
        <w:tc>
          <w:tcPr>
            <w:tcW w:w="6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(11,400)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(11,400)</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(3,842)</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(15,242)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February 28, 2025</w:t>
            </w:r>
          </w:p>
        </w:tc>
        <w:tc>
          <w:tcPr>
            <w:tcW w:w="6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220" w:type="dxa"/>
            <w:vAlign w:val="bottom"/>
            <w:gridSpan w:val="2"/>
            <w:vMerge w:val="continue"/>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(3,621,245</w:t>
            </w:r>
          </w:p>
        </w:tc>
        <w:tc>
          <w:tcPr>
            <w:tcW w:w="220" w:type="dxa"/>
            <w:vAlign w:val="bottom"/>
            <w:vMerge w:val="continue"/>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(2,709,236</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277,866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2,112,091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3,202,468</w:t>
            </w:r>
          </w:p>
        </w:tc>
        <w:tc>
          <w:tcPr>
            <w:tcW w:w="2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43,099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3,245,567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260" w:right="20" w:hanging="254"/>
        <w:spacing w:after="0" w:line="266" w:lineRule="auto"/>
        <w:tabs>
          <w:tab w:leader="none" w:pos="2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2014, a change in interest in Cartrack from 88.3% to 68.0% was not accounted for retained earnings transfer to non-controlling interest (“NCI”). During the financial years ended February 28, 2021 and 2022, the Group corrected the error prospectively as the impact to comparatives is not material. On April 21, 2021, when Karooooo acquired the minority interest and</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took control of 100% interest in Cartrack, all NCI relating to the Karooooo minority interest was transferred back to capital reserve.</w:t>
      </w:r>
    </w:p>
    <w:p>
      <w:pPr>
        <w:spacing w:after="0" w:line="11" w:lineRule="exact"/>
        <w:rPr>
          <w:sz w:val="20"/>
          <w:szCs w:val="20"/>
          <w:color w:val="auto"/>
        </w:rPr>
      </w:pPr>
    </w:p>
    <w:p>
      <w:pPr>
        <w:jc w:val="both"/>
        <w:ind w:left="260" w:right="20" w:hanging="254"/>
        <w:spacing w:after="0" w:line="256" w:lineRule="auto"/>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The change in accounting policy was corrected prospectively as the impact to the prior period is not material. Subsequent acquisition of interest in subsidiaries without change in control is accounted for under capital reserve.</w:t>
      </w:r>
    </w:p>
    <w:p>
      <w:pPr>
        <w:ind w:left="260" w:hanging="254"/>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declared by a subsidiary during the financial year ended February 28, 2023 amounting to ZAR 5.32 per ordinary share remains payable by a subsidiary to NCI.</w:t>
      </w:r>
    </w:p>
    <w:p>
      <w:pPr>
        <w:spacing w:after="0" w:line="1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Dividends declared by a subsidiary during the financial year ended February 29, 2024 amounting to ZAR 6.11 per ordinary share remains payable by a subsidiary to NCI.</w:t>
      </w:r>
    </w:p>
    <w:p>
      <w:pPr>
        <w:spacing w:after="0" w:line="1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Dividends declared by a subsidiary during the financial year ended February 29, 2025 amounting to ZAR 5.19 per ordinary share remains payable by a subsidiary to NCI.</w:t>
      </w:r>
    </w:p>
    <w:p>
      <w:pPr>
        <w:spacing w:after="0" w:line="10" w:lineRule="exact"/>
        <w:rPr>
          <w:rFonts w:ascii="Times New Roman" w:cs="Times New Roman" w:eastAsia="Times New Roman" w:hAnsi="Times New Roman"/>
          <w:sz w:val="14"/>
          <w:szCs w:val="14"/>
          <w:color w:val="auto"/>
        </w:rPr>
      </w:pPr>
    </w:p>
    <w:p>
      <w:pPr>
        <w:ind w:left="260" w:right="20" w:hanging="258"/>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Relates to the put option agreement entered with ultimate controlling shareholder to grant the Group the right to sell all its interest in Karooooo Logistics. The put option expired on August 31, 2022. As this is a transaction with owner, the fair value and subsequent changes fair value of the put option is recognized directly against retained earnings.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On April 30, 2024, Karooooo Logistics (Pty) Ltd repurchased its ordinary shares at a purchase price of ZAR 15.2 million in accordance with the Companies Act of South Africa and cancelled</w:t>
      </w:r>
    </w:p>
    <w:p>
      <w:pPr>
        <w:spacing w:after="0" w:line="10"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repurchased shares. As a result, the Group’s effective shareholding in Karooooo Logistics (Pty) Ltd increased from 70.1% to 74.8% after completion of the repurchase and cancellation.</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form an integral part of these financial statements.</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36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7"/>
        </w:trPr>
        <w:tc>
          <w:tcPr>
            <w:tcW w:w="3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3"/>
        </w:trPr>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before taxation</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1,246,921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1,065,710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894,104</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w:t>
            </w:r>
          </w:p>
        </w:tc>
        <w:tc>
          <w:tcPr>
            <w:tcW w:w="2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813,489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707,029</w:t>
            </w:r>
          </w:p>
        </w:tc>
        <w:tc>
          <w:tcPr>
            <w:tcW w:w="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591,190</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r>
      <w:tr>
        <w:trPr>
          <w:trHeight w:val="154"/>
        </w:trPr>
        <w:tc>
          <w:tcPr>
            <w:tcW w:w="3740" w:type="dxa"/>
            <w:vAlign w:val="bottom"/>
          </w:tcPr>
          <w:p>
            <w:pPr>
              <w:ind w:left="140"/>
              <w:spacing w:after="0" w:line="154" w:lineRule="exact"/>
              <w:rPr>
                <w:sz w:val="20"/>
                <w:szCs w:val="20"/>
                <w:color w:val="auto"/>
              </w:rPr>
            </w:pPr>
            <w:r>
              <w:rPr>
                <w:rFonts w:ascii="Times New Roman" w:cs="Times New Roman" w:eastAsia="Times New Roman" w:hAnsi="Times New Roman"/>
                <w:sz w:val="14"/>
                <w:szCs w:val="14"/>
                <w:color w:val="auto"/>
              </w:rPr>
              <w:t>Depreciation on property, plant and equipment</w:t>
            </w:r>
          </w:p>
        </w:tc>
        <w:tc>
          <w:tcPr>
            <w:tcW w:w="3400" w:type="dxa"/>
            <w:vAlign w:val="bottom"/>
            <w:gridSpan w:val="3"/>
          </w:tcPr>
          <w:p>
            <w:pPr>
              <w:jc w:val="center"/>
              <w:ind w:left="2308"/>
              <w:spacing w:after="0" w:line="154" w:lineRule="exact"/>
              <w:rPr>
                <w:sz w:val="20"/>
                <w:szCs w:val="20"/>
                <w:color w:val="auto"/>
              </w:rPr>
            </w:pPr>
            <w:r>
              <w:rPr>
                <w:rFonts w:ascii="Times New Roman" w:cs="Times New Roman" w:eastAsia="Times New Roman" w:hAnsi="Times New Roman"/>
                <w:sz w:val="14"/>
                <w:szCs w:val="14"/>
                <w:color w:val="auto"/>
                <w:w w:val="85"/>
              </w:rPr>
              <w:t>5</w:t>
            </w:r>
          </w:p>
        </w:tc>
        <w:tc>
          <w:tcPr>
            <w:tcW w:w="260" w:type="dxa"/>
            <w:vAlign w:val="bottom"/>
            <w:tcBorders>
              <w:right w:val="single" w:sz="8" w:color="auto"/>
            </w:tcBorders>
          </w:tcPr>
          <w:p>
            <w:pPr>
              <w:spacing w:after="0"/>
              <w:rPr>
                <w:sz w:val="13"/>
                <w:szCs w:val="13"/>
                <w:color w:val="auto"/>
              </w:rPr>
            </w:pPr>
          </w:p>
        </w:tc>
        <w:tc>
          <w:tcPr>
            <w:tcW w:w="1320" w:type="dxa"/>
            <w:vAlign w:val="bottom"/>
            <w:gridSpan w:val="2"/>
          </w:tcPr>
          <w:p>
            <w:pPr>
              <w:jc w:val="right"/>
              <w:ind w:right="159"/>
              <w:spacing w:after="0" w:line="154" w:lineRule="exact"/>
              <w:rPr>
                <w:sz w:val="20"/>
                <w:szCs w:val="20"/>
                <w:color w:val="auto"/>
              </w:rPr>
            </w:pPr>
            <w:r>
              <w:rPr>
                <w:rFonts w:ascii="Times New Roman" w:cs="Times New Roman" w:eastAsia="Times New Roman" w:hAnsi="Times New Roman"/>
                <w:sz w:val="14"/>
                <w:szCs w:val="14"/>
                <w:color w:val="auto"/>
              </w:rPr>
              <w:t>606,487</w:t>
            </w:r>
          </w:p>
        </w:tc>
        <w:tc>
          <w:tcPr>
            <w:tcW w:w="11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588,660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493,788</w:t>
            </w:r>
          </w:p>
        </w:tc>
        <w:tc>
          <w:tcPr>
            <w:tcW w:w="100" w:type="dxa"/>
            <w:vAlign w:val="bottom"/>
            <w:tcBorders>
              <w:right w:val="single" w:sz="8" w:color="auto"/>
            </w:tcBorders>
          </w:tcPr>
          <w:p>
            <w:pPr>
              <w:spacing w:after="0"/>
              <w:rPr>
                <w:sz w:val="13"/>
                <w:szCs w:val="13"/>
                <w:color w:val="auto"/>
              </w:rPr>
            </w:pP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capitalized commission assets</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85"/>
              </w:rPr>
              <w:t>6</w:t>
            </w:r>
          </w:p>
        </w:tc>
        <w:tc>
          <w:tcPr>
            <w:tcW w:w="260" w:type="dxa"/>
            <w:vAlign w:val="bottom"/>
            <w:tcBorders>
              <w:right w:val="single" w:sz="8" w:color="auto"/>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100,223</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83,155</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64,707</w:t>
            </w:r>
          </w:p>
        </w:tc>
        <w:tc>
          <w:tcPr>
            <w:tcW w:w="100" w:type="dxa"/>
            <w:vAlign w:val="bottom"/>
            <w:tcBorders>
              <w:right w:val="single" w:sz="8" w:color="auto"/>
            </w:tcBorders>
            <w:shd w:val="clear" w:color="auto" w:fill="CCEEFF"/>
          </w:tcPr>
          <w:p>
            <w:pPr>
              <w:spacing w:after="0"/>
              <w:rPr>
                <w:sz w:val="14"/>
                <w:szCs w:val="14"/>
                <w:color w:val="auto"/>
              </w:rPr>
            </w:pP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85"/>
              </w:rPr>
              <w:t>7</w:t>
            </w:r>
          </w:p>
        </w:tc>
        <w:tc>
          <w:tcPr>
            <w:tcW w:w="260" w:type="dxa"/>
            <w:vAlign w:val="bottom"/>
            <w:tcBorders>
              <w:right w:val="single" w:sz="8" w:color="auto"/>
            </w:tcBorders>
          </w:tcPr>
          <w:p>
            <w:pPr>
              <w:spacing w:after="0"/>
              <w:rPr>
                <w:sz w:val="14"/>
                <w:szCs w:val="14"/>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56,072</w:t>
            </w: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59,482</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51,143</w:t>
            </w:r>
          </w:p>
        </w:tc>
        <w:tc>
          <w:tcPr>
            <w:tcW w:w="100" w:type="dxa"/>
            <w:vAlign w:val="bottom"/>
            <w:tcBorders>
              <w:right w:val="single" w:sz="8" w:color="auto"/>
            </w:tcBorders>
          </w:tcPr>
          <w:p>
            <w:pPr>
              <w:spacing w:after="0"/>
              <w:rPr>
                <w:sz w:val="14"/>
                <w:szCs w:val="14"/>
                <w:color w:val="auto"/>
              </w:rPr>
            </w:pP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 (Gain) on disposal of property, plant and equipment</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575</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(1,537)</w:t>
            </w:r>
          </w:p>
        </w:tc>
        <w:tc>
          <w:tcPr>
            <w:tcW w:w="24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(4,954)</w:t>
            </w: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income</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99"/>
              </w:rPr>
              <w:t>21</w:t>
            </w:r>
          </w:p>
        </w:tc>
        <w:tc>
          <w:tcPr>
            <w:tcW w:w="260" w:type="dxa"/>
            <w:vAlign w:val="bottom"/>
            <w:tcBorders>
              <w:right w:val="single" w:sz="8" w:color="auto"/>
            </w:tcBorders>
          </w:tcPr>
          <w:p>
            <w:pPr>
              <w:spacing w:after="0"/>
              <w:rPr>
                <w:sz w:val="14"/>
                <w:szCs w:val="14"/>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(44,167)</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(39,418)</w:t>
            </w:r>
          </w:p>
        </w:tc>
        <w:tc>
          <w:tcPr>
            <w:tcW w:w="240" w:type="dxa"/>
            <w:vAlign w:val="bottom"/>
          </w:tcPr>
          <w:p>
            <w:pPr>
              <w:spacing w:after="0"/>
              <w:rPr>
                <w:sz w:val="14"/>
                <w:szCs w:val="14"/>
                <w:color w:val="auto"/>
              </w:rPr>
            </w:pPr>
          </w:p>
        </w:tc>
        <w:tc>
          <w:tcPr>
            <w:tcW w:w="100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(23,255)</w:t>
            </w: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Finance costs</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99"/>
              </w:rPr>
              <w:t>22</w:t>
            </w:r>
          </w:p>
        </w:tc>
        <w:tc>
          <w:tcPr>
            <w:tcW w:w="260" w:type="dxa"/>
            <w:vAlign w:val="bottom"/>
            <w:tcBorders>
              <w:right w:val="single" w:sz="8" w:color="auto"/>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50,866</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15,822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00" w:type="dxa"/>
            <w:vAlign w:val="bottom"/>
            <w:tcBorders>
              <w:right w:val="single" w:sz="8" w:color="auto"/>
            </w:tcBorders>
            <w:shd w:val="clear" w:color="auto" w:fill="CCEEFF"/>
          </w:tcPr>
          <w:p>
            <w:pPr>
              <w:spacing w:after="0"/>
              <w:rPr>
                <w:sz w:val="14"/>
                <w:szCs w:val="14"/>
                <w:color w:val="auto"/>
              </w:rPr>
            </w:pP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85"/>
              </w:rPr>
              <w:t>8</w:t>
            </w:r>
          </w:p>
        </w:tc>
        <w:tc>
          <w:tcPr>
            <w:tcW w:w="260" w:type="dxa"/>
            <w:vAlign w:val="bottom"/>
            <w:tcBorders>
              <w:right w:val="single" w:sz="8" w:color="auto"/>
            </w:tcBorders>
          </w:tcPr>
          <w:p>
            <w:pPr>
              <w:spacing w:after="0"/>
              <w:rPr>
                <w:sz w:val="14"/>
                <w:szCs w:val="14"/>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43,600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warranties charge</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(167)</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477</w:t>
            </w:r>
          </w:p>
        </w:tc>
        <w:tc>
          <w:tcPr>
            <w:tcW w:w="24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(1,305)</w:t>
            </w:r>
          </w:p>
        </w:tc>
      </w:tr>
      <w:tr>
        <w:trPr>
          <w:trHeight w:val="195"/>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Fair value changes to derivative assets</w:t>
            </w:r>
          </w:p>
        </w:tc>
        <w:tc>
          <w:tcPr>
            <w:tcW w:w="2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right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388</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Borders>
              <w:bottom w:val="single" w:sz="8" w:color="auto"/>
              <w:right w:val="single" w:sz="8" w:color="auto"/>
            </w:tcBorders>
          </w:tcPr>
          <w:p>
            <w:pPr>
              <w:spacing w:after="0"/>
              <w:rPr>
                <w:sz w:val="16"/>
                <w:szCs w:val="16"/>
                <w:color w:val="auto"/>
              </w:rPr>
            </w:pPr>
          </w:p>
        </w:tc>
      </w:tr>
      <w:tr>
        <w:trPr>
          <w:trHeight w:val="172"/>
        </w:trPr>
        <w:tc>
          <w:tcPr>
            <w:tcW w:w="37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Working capital adjustments</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2,752</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72,737</w:t>
            </w:r>
          </w:p>
        </w:tc>
        <w:tc>
          <w:tcPr>
            <w:tcW w:w="2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(53,790)</w:t>
            </w: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and other receivables and prepayments</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384,674</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(551,230)</w:t>
            </w:r>
          </w:p>
        </w:tc>
        <w:tc>
          <w:tcPr>
            <w:tcW w:w="2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(62,833)</w:t>
            </w: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and other payables</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7,686</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55,496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67,940</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44,099</w:t>
            </w: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47,375</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46,251</w:t>
            </w:r>
          </w:p>
        </w:tc>
        <w:tc>
          <w:tcPr>
            <w:tcW w:w="100" w:type="dxa"/>
            <w:vAlign w:val="bottom"/>
          </w:tcPr>
          <w:p>
            <w:pPr>
              <w:spacing w:after="0"/>
              <w:rPr>
                <w:sz w:val="14"/>
                <w:szCs w:val="14"/>
                <w:color w:val="auto"/>
              </w:rPr>
            </w:pPr>
          </w:p>
        </w:tc>
      </w:tr>
      <w:tr>
        <w:trPr>
          <w:trHeight w:val="20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commission assets</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(223,448)</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(163,716)</w:t>
            </w:r>
          </w:p>
        </w:tc>
        <w:tc>
          <w:tcPr>
            <w:tcW w:w="2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(112,738)</w:t>
            </w:r>
          </w:p>
        </w:tc>
      </w:tr>
      <w:tr>
        <w:trPr>
          <w:trHeight w:val="153"/>
        </w:trPr>
        <w:tc>
          <w:tcPr>
            <w:tcW w:w="374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color w:val="auto"/>
              </w:rPr>
              <w:t>Cash generated from operating activities</w:t>
            </w:r>
          </w:p>
        </w:tc>
        <w:tc>
          <w:tcPr>
            <w:tcW w:w="21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2,276,173</w:t>
            </w: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1,233,401</w:t>
            </w: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1,370,124</w:t>
            </w: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 received</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44,167</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39,418</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Finance cost paid</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(48,610)</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(15,822)</w:t>
            </w:r>
          </w:p>
        </w:tc>
        <w:tc>
          <w:tcPr>
            <w:tcW w:w="2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(10,095)</w:t>
            </w: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paid</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99"/>
              </w:rPr>
              <w:t>24</w:t>
            </w:r>
          </w:p>
        </w:tc>
        <w:tc>
          <w:tcPr>
            <w:tcW w:w="26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(338,435)</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(301,957)</w:t>
            </w:r>
          </w:p>
        </w:tc>
        <w:tc>
          <w:tcPr>
            <w:tcW w:w="2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(256,621)</w:t>
            </w:r>
          </w:p>
        </w:tc>
      </w:tr>
      <w:tr>
        <w:trPr>
          <w:trHeight w:val="155"/>
        </w:trPr>
        <w:tc>
          <w:tcPr>
            <w:tcW w:w="3740" w:type="dxa"/>
            <w:vAlign w:val="bottom"/>
            <w:tcBorders>
              <w:top w:val="single" w:sz="8" w:color="CCEEFF"/>
              <w:bottom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Net cash generated from operating activities</w:t>
            </w:r>
          </w:p>
        </w:tc>
        <w:tc>
          <w:tcPr>
            <w:tcW w:w="21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14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1,933,295</w:t>
            </w:r>
          </w:p>
        </w:tc>
        <w:tc>
          <w:tcPr>
            <w:tcW w:w="20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955,040</w:t>
            </w:r>
          </w:p>
        </w:tc>
        <w:tc>
          <w:tcPr>
            <w:tcW w:w="220" w:type="dxa"/>
            <w:vAlign w:val="bottom"/>
            <w:tcBorders>
              <w:top w:val="single" w:sz="8" w:color="CCEEFF"/>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1,126,663</w:t>
            </w:r>
          </w:p>
        </w:tc>
        <w:tc>
          <w:tcPr>
            <w:tcW w:w="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r>
      <w:tr>
        <w:trPr>
          <w:trHeight w:val="172"/>
        </w:trPr>
        <w:tc>
          <w:tcPr>
            <w:tcW w:w="37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Purchase of property, plant and equipment</w:t>
            </w:r>
          </w:p>
        </w:tc>
        <w:tc>
          <w:tcPr>
            <w:tcW w:w="3400" w:type="dxa"/>
            <w:vAlign w:val="bottom"/>
            <w:tcBorders>
              <w:bottom w:val="single" w:sz="8" w:color="CCEEFF"/>
            </w:tcBorders>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85"/>
              </w:rPr>
              <w:t>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(1,022,371)</w:t>
            </w:r>
          </w:p>
        </w:tc>
        <w:tc>
          <w:tcPr>
            <w:tcW w:w="134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(876,354)</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(579,656)</w:t>
            </w:r>
          </w:p>
        </w:tc>
      </w:tr>
      <w:tr>
        <w:trPr>
          <w:trHeight w:val="154"/>
        </w:trPr>
        <w:tc>
          <w:tcPr>
            <w:tcW w:w="7400" w:type="dxa"/>
            <w:vAlign w:val="bottom"/>
            <w:tcBorders>
              <w:right w:val="single" w:sz="8" w:color="auto"/>
            </w:tcBorders>
            <w:gridSpan w:val="5"/>
          </w:tcPr>
          <w:p>
            <w:pPr>
              <w:ind w:left="140"/>
              <w:spacing w:after="0" w:line="154" w:lineRule="exact"/>
              <w:rPr>
                <w:sz w:val="20"/>
                <w:szCs w:val="20"/>
                <w:color w:val="auto"/>
              </w:rPr>
            </w:pPr>
            <w:r>
              <w:rPr>
                <w:rFonts w:ascii="Times New Roman" w:cs="Times New Roman" w:eastAsia="Times New Roman" w:hAnsi="Times New Roman"/>
                <w:sz w:val="14"/>
                <w:szCs w:val="14"/>
                <w:color w:val="auto"/>
              </w:rPr>
              <w:t>Purchase of property, plant and equipment – Telematics devices and equipment on hand</w:t>
            </w:r>
          </w:p>
        </w:tc>
        <w:tc>
          <w:tcPr>
            <w:tcW w:w="1320" w:type="dxa"/>
            <w:vAlign w:val="bottom"/>
            <w:gridSpan w:val="2"/>
          </w:tcPr>
          <w:p>
            <w:pPr>
              <w:jc w:val="right"/>
              <w:ind w:right="119"/>
              <w:spacing w:after="0" w:line="154" w:lineRule="exact"/>
              <w:rPr>
                <w:sz w:val="20"/>
                <w:szCs w:val="20"/>
                <w:color w:val="auto"/>
              </w:rPr>
            </w:pPr>
            <w:r>
              <w:rPr>
                <w:rFonts w:ascii="Times New Roman" w:cs="Times New Roman" w:eastAsia="Times New Roman" w:hAnsi="Times New Roman"/>
                <w:sz w:val="14"/>
                <w:szCs w:val="14"/>
                <w:color w:val="auto"/>
              </w:rPr>
              <w:t>(892,015)</w:t>
            </w:r>
          </w:p>
        </w:tc>
        <w:tc>
          <w:tcPr>
            <w:tcW w:w="1340" w:type="dxa"/>
            <w:vAlign w:val="bottom"/>
            <w:gridSpan w:val="2"/>
          </w:tcPr>
          <w:p>
            <w:pPr>
              <w:jc w:val="right"/>
              <w:ind w:right="88"/>
              <w:spacing w:after="0" w:line="154" w:lineRule="exact"/>
              <w:rPr>
                <w:sz w:val="20"/>
                <w:szCs w:val="20"/>
                <w:color w:val="auto"/>
              </w:rPr>
            </w:pPr>
            <w:r>
              <w:rPr>
                <w:rFonts w:ascii="Times New Roman" w:cs="Times New Roman" w:eastAsia="Times New Roman" w:hAnsi="Times New Roman"/>
                <w:sz w:val="14"/>
                <w:szCs w:val="14"/>
                <w:color w:val="auto"/>
              </w:rPr>
              <w:t>(649,385)</w:t>
            </w:r>
          </w:p>
        </w:tc>
        <w:tc>
          <w:tcPr>
            <w:tcW w:w="240" w:type="dxa"/>
            <w:vAlign w:val="bottom"/>
          </w:tcPr>
          <w:p>
            <w:pPr>
              <w:spacing w:after="0"/>
              <w:rPr>
                <w:sz w:val="13"/>
                <w:szCs w:val="13"/>
                <w:color w:val="auto"/>
              </w:rPr>
            </w:pPr>
          </w:p>
        </w:tc>
        <w:tc>
          <w:tcPr>
            <w:tcW w:w="1000" w:type="dxa"/>
            <w:vAlign w:val="bottom"/>
            <w:tcBorders>
              <w:right w:val="single" w:sz="8" w:color="auto"/>
            </w:tcBorders>
            <w:gridSpan w:val="3"/>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(457,542)</w:t>
            </w:r>
          </w:p>
        </w:tc>
      </w:tr>
      <w:tr>
        <w:trPr>
          <w:trHeight w:val="213"/>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 – Other</w:t>
            </w:r>
          </w:p>
        </w:tc>
        <w:tc>
          <w:tcPr>
            <w:tcW w:w="2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(130,356)</w:t>
            </w:r>
          </w:p>
        </w:tc>
        <w:tc>
          <w:tcPr>
            <w:tcW w:w="134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(226,969)</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(122,114)</w:t>
            </w:r>
          </w:p>
        </w:tc>
      </w:tr>
      <w:tr>
        <w:trPr>
          <w:trHeight w:val="154"/>
        </w:trPr>
        <w:tc>
          <w:tcPr>
            <w:tcW w:w="37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Proceeds on disposal of property, plant and equipment</w:t>
            </w: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right"/>
              <w:ind w:right="159"/>
              <w:spacing w:after="0" w:line="154" w:lineRule="exact"/>
              <w:rPr>
                <w:sz w:val="20"/>
                <w:szCs w:val="20"/>
                <w:color w:val="auto"/>
              </w:rPr>
            </w:pPr>
            <w:r>
              <w:rPr>
                <w:rFonts w:ascii="Times New Roman" w:cs="Times New Roman" w:eastAsia="Times New Roman" w:hAnsi="Times New Roman"/>
                <w:sz w:val="14"/>
                <w:szCs w:val="14"/>
                <w:color w:val="auto"/>
              </w:rPr>
              <w:t>4,473</w:t>
            </w:r>
          </w:p>
        </w:tc>
        <w:tc>
          <w:tcPr>
            <w:tcW w:w="11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2,883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10,499</w:t>
            </w:r>
          </w:p>
        </w:tc>
        <w:tc>
          <w:tcPr>
            <w:tcW w:w="100" w:type="dxa"/>
            <w:vAlign w:val="bottom"/>
          </w:tcPr>
          <w:p>
            <w:pPr>
              <w:spacing w:after="0"/>
              <w:rPr>
                <w:sz w:val="13"/>
                <w:szCs w:val="13"/>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intangible assets</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85"/>
              </w:rPr>
              <w:t>7</w:t>
            </w: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(58,937)</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(51,214)</w:t>
            </w:r>
          </w:p>
        </w:tc>
        <w:tc>
          <w:tcPr>
            <w:tcW w:w="2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(46,653)</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subsidiary, net of cash acquired</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99"/>
              </w:rPr>
              <w:t>27</w:t>
            </w:r>
          </w:p>
        </w:tc>
        <w:tc>
          <w:tcPr>
            <w:tcW w:w="260" w:type="dxa"/>
            <w:vAlign w:val="bottom"/>
          </w:tcPr>
          <w:p>
            <w:pPr>
              <w:spacing w:after="0"/>
              <w:rPr>
                <w:sz w:val="14"/>
                <w:szCs w:val="14"/>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(5,102)</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Advances of loans to related party</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(500)</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(2,400)</w:t>
            </w:r>
          </w:p>
        </w:tc>
        <w:tc>
          <w:tcPr>
            <w:tcW w:w="2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(6,400)</w:t>
            </w:r>
          </w:p>
        </w:tc>
      </w:tr>
      <w:tr>
        <w:trPr>
          <w:trHeight w:val="155"/>
        </w:trPr>
        <w:tc>
          <w:tcPr>
            <w:tcW w:w="3740" w:type="dxa"/>
            <w:vAlign w:val="bottom"/>
            <w:tcBorders>
              <w:top w:val="single" w:sz="8" w:color="CCEEFF"/>
              <w:bottom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Net cash utilized by investing activities</w:t>
            </w:r>
          </w:p>
        </w:tc>
        <w:tc>
          <w:tcPr>
            <w:tcW w:w="21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14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(1,077,335</w:t>
            </w:r>
          </w:p>
        </w:tc>
        <w:tc>
          <w:tcPr>
            <w:tcW w:w="200" w:type="dxa"/>
            <w:vAlign w:val="bottom"/>
            <w:tcBorders>
              <w:top w:val="single" w:sz="8" w:color="CCEEFF"/>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(932,187</w:t>
            </w:r>
          </w:p>
        </w:tc>
        <w:tc>
          <w:tcPr>
            <w:tcW w:w="220" w:type="dxa"/>
            <w:vAlign w:val="bottom"/>
            <w:tcBorders>
              <w:top w:val="single" w:sz="8" w:color="CCEEFF"/>
              <w:bottom w:val="single" w:sz="8" w:color="CCEEFF"/>
            </w:tcBorders>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(622,210</w:t>
            </w:r>
          </w:p>
        </w:tc>
        <w:tc>
          <w:tcPr>
            <w:tcW w:w="120" w:type="dxa"/>
            <w:vAlign w:val="bottom"/>
            <w:tcBorders>
              <w:top w:val="single" w:sz="8" w:color="CCEEFF"/>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72"/>
        </w:trPr>
        <w:tc>
          <w:tcPr>
            <w:tcW w:w="37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a related party loan</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99"/>
              </w:rPr>
              <w:t>15</w:t>
            </w: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52</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a related party loan</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99"/>
              </w:rPr>
              <w:t>15</w:t>
            </w:r>
          </w:p>
        </w:tc>
        <w:tc>
          <w:tcPr>
            <w:tcW w:w="260" w:type="dxa"/>
            <w:vAlign w:val="bottom"/>
          </w:tcPr>
          <w:p>
            <w:pPr>
              <w:spacing w:after="0"/>
              <w:rPr>
                <w:sz w:val="14"/>
                <w:szCs w:val="14"/>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(738)</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(1,940)</w:t>
            </w: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99"/>
              </w:rPr>
              <w:t>14</w:t>
            </w: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(3,461)</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(23,816)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Shares repurchase by a subsidiary company</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99"/>
              </w:rPr>
              <w:t>26</w:t>
            </w:r>
          </w:p>
        </w:tc>
        <w:tc>
          <w:tcPr>
            <w:tcW w:w="260" w:type="dxa"/>
            <w:vAlign w:val="bottom"/>
          </w:tcPr>
          <w:p>
            <w:pPr>
              <w:spacing w:after="0"/>
              <w:rPr>
                <w:sz w:val="14"/>
                <w:szCs w:val="14"/>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(15,242)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term loans obtained</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99"/>
              </w:rPr>
              <w:t>15</w:t>
            </w: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289,518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term loans</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99"/>
              </w:rPr>
              <w:t>15</w:t>
            </w:r>
          </w:p>
        </w:tc>
        <w:tc>
          <w:tcPr>
            <w:tcW w:w="260" w:type="dxa"/>
            <w:vAlign w:val="bottom"/>
          </w:tcPr>
          <w:p>
            <w:pPr>
              <w:spacing w:after="0"/>
              <w:rPr>
                <w:sz w:val="14"/>
                <w:szCs w:val="14"/>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(23,334)</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(12,018)</w:t>
            </w:r>
          </w:p>
        </w:tc>
        <w:tc>
          <w:tcPr>
            <w:tcW w:w="2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(31,034)</w:t>
            </w: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of lease liabilities</w:t>
            </w:r>
          </w:p>
        </w:tc>
        <w:tc>
          <w:tcPr>
            <w:tcW w:w="3400" w:type="dxa"/>
            <w:vAlign w:val="bottom"/>
            <w:gridSpan w:val="3"/>
            <w:shd w:val="clear" w:color="auto" w:fill="CCEEFF"/>
          </w:tcPr>
          <w:p>
            <w:pPr>
              <w:jc w:val="center"/>
              <w:ind w:left="2308"/>
              <w:spacing w:after="0"/>
              <w:rPr>
                <w:sz w:val="20"/>
                <w:szCs w:val="20"/>
                <w:color w:val="auto"/>
              </w:rPr>
            </w:pPr>
            <w:r>
              <w:rPr>
                <w:rFonts w:ascii="Times New Roman" w:cs="Times New Roman" w:eastAsia="Times New Roman" w:hAnsi="Times New Roman"/>
                <w:sz w:val="14"/>
                <w:szCs w:val="14"/>
                <w:color w:val="auto"/>
                <w:w w:val="99"/>
              </w:rPr>
              <w:t>15</w:t>
            </w: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(77,633)</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(57,892)</w:t>
            </w:r>
          </w:p>
        </w:tc>
        <w:tc>
          <w:tcPr>
            <w:tcW w:w="2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(56,617)</w:t>
            </w:r>
          </w:p>
        </w:tc>
      </w:tr>
      <w:tr>
        <w:trPr>
          <w:trHeight w:val="18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3400" w:type="dxa"/>
            <w:vAlign w:val="bottom"/>
            <w:gridSpan w:val="3"/>
          </w:tcPr>
          <w:p>
            <w:pPr>
              <w:jc w:val="center"/>
              <w:ind w:left="2308"/>
              <w:spacing w:after="0"/>
              <w:rPr>
                <w:sz w:val="20"/>
                <w:szCs w:val="20"/>
                <w:color w:val="auto"/>
              </w:rPr>
            </w:pPr>
            <w:r>
              <w:rPr>
                <w:rFonts w:ascii="Times New Roman" w:cs="Times New Roman" w:eastAsia="Times New Roman" w:hAnsi="Times New Roman"/>
                <w:sz w:val="14"/>
                <w:szCs w:val="14"/>
                <w:color w:val="auto"/>
                <w:w w:val="99"/>
              </w:rPr>
              <w:t>25</w:t>
            </w:r>
          </w:p>
        </w:tc>
        <w:tc>
          <w:tcPr>
            <w:tcW w:w="260" w:type="dxa"/>
            <w:vAlign w:val="bottom"/>
          </w:tcPr>
          <w:p>
            <w:pPr>
              <w:spacing w:after="0"/>
              <w:rPr>
                <w:sz w:val="16"/>
                <w:szCs w:val="16"/>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(612,422)</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(499,518)</w:t>
            </w:r>
          </w:p>
        </w:tc>
        <w:tc>
          <w:tcPr>
            <w:tcW w:w="240" w:type="dxa"/>
            <w:vAlign w:val="bottom"/>
          </w:tcPr>
          <w:p>
            <w:pPr>
              <w:spacing w:after="0"/>
              <w:rPr>
                <w:sz w:val="16"/>
                <w:szCs w:val="16"/>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(331,252)</w:t>
            </w:r>
          </w:p>
        </w:tc>
      </w:tr>
      <w:tr>
        <w:trPr>
          <w:trHeight w:val="17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utilized by financing activities</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(443,260</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(592,954</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(420,026</w:t>
            </w:r>
          </w:p>
        </w:tc>
        <w:tc>
          <w:tcPr>
            <w:tcW w:w="120" w:type="dxa"/>
            <w:vAlign w:val="bottom"/>
            <w:tcBorders>
              <w:top w:val="single" w:sz="8" w:color="CCEEFF"/>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72"/>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increase/(decrease) in cash and cash equivalents</w:t>
            </w: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412,700</w:t>
            </w:r>
          </w:p>
        </w:tc>
        <w:tc>
          <w:tcPr>
            <w:tcW w:w="1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(570,101)</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84,427</w:t>
            </w:r>
          </w:p>
        </w:tc>
        <w:tc>
          <w:tcPr>
            <w:tcW w:w="100" w:type="dxa"/>
            <w:vAlign w:val="bottom"/>
            <w:tcBorders>
              <w:right w:val="single" w:sz="8" w:color="CCEEFF"/>
            </w:tcBorders>
            <w:shd w:val="clear" w:color="auto" w:fill="CCEEFF"/>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436,165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965,750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718,026</w:t>
            </w:r>
          </w:p>
        </w:tc>
        <w:tc>
          <w:tcPr>
            <w:tcW w:w="100" w:type="dxa"/>
            <w:vAlign w:val="bottom"/>
          </w:tcPr>
          <w:p>
            <w:pPr>
              <w:spacing w:after="0"/>
              <w:rPr>
                <w:sz w:val="14"/>
                <w:szCs w:val="14"/>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(11,282)</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40,516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163,297</w:t>
            </w:r>
          </w:p>
        </w:tc>
        <w:tc>
          <w:tcPr>
            <w:tcW w:w="100" w:type="dxa"/>
            <w:vAlign w:val="bottom"/>
            <w:tcBorders>
              <w:right w:val="single" w:sz="8" w:color="CCEEFF"/>
            </w:tcBorders>
            <w:shd w:val="clear" w:color="auto" w:fill="CCEEFF"/>
          </w:tcPr>
          <w:p>
            <w:pPr>
              <w:spacing w:after="0"/>
              <w:rPr>
                <w:sz w:val="17"/>
                <w:szCs w:val="17"/>
                <w:color w:val="auto"/>
              </w:rPr>
            </w:pPr>
          </w:p>
        </w:tc>
      </w:tr>
      <w:tr>
        <w:trPr>
          <w:trHeight w:val="155"/>
        </w:trPr>
        <w:tc>
          <w:tcPr>
            <w:tcW w:w="374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Cash and cash equivalents at the end of the year</w:t>
            </w:r>
          </w:p>
        </w:tc>
        <w:tc>
          <w:tcPr>
            <w:tcW w:w="3400" w:type="dxa"/>
            <w:vAlign w:val="bottom"/>
            <w:tcBorders>
              <w:top w:val="single" w:sz="8" w:color="CCEEFF"/>
            </w:tcBorders>
            <w:gridSpan w:val="3"/>
          </w:tcPr>
          <w:p>
            <w:pPr>
              <w:jc w:val="center"/>
              <w:ind w:left="2308"/>
              <w:spacing w:after="0" w:line="153" w:lineRule="exact"/>
              <w:rPr>
                <w:sz w:val="20"/>
                <w:szCs w:val="20"/>
                <w:color w:val="auto"/>
              </w:rPr>
            </w:pPr>
            <w:r>
              <w:rPr>
                <w:rFonts w:ascii="Times New Roman" w:cs="Times New Roman" w:eastAsia="Times New Roman" w:hAnsi="Times New Roman"/>
                <w:sz w:val="14"/>
                <w:szCs w:val="14"/>
                <w:color w:val="auto"/>
                <w:w w:val="99"/>
              </w:rPr>
              <w:t>13</w:t>
            </w:r>
          </w:p>
        </w:tc>
        <w:tc>
          <w:tcPr>
            <w:tcW w:w="26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837,583</w:t>
            </w: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436,165</w:t>
            </w: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965,750</w:t>
            </w:r>
          </w:p>
        </w:tc>
        <w:tc>
          <w:tcPr>
            <w:tcW w:w="2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form an integral part of these financial statements.</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ind w:right="6760" w:firstLine="6"/>
        <w:spacing w:after="0" w:line="513" w:lineRule="auto"/>
        <w:tabs>
          <w:tab w:leader="none" w:pos="143"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PRESENTATION OF CONSOLIDATED FINANCIAL STATEMENTS Reporting entity</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Karooooo Ltd. (“Karooooo” or “the Company”) was incorporated on May 19, 2018 in the Republic of Singapore. The Company is listed on the NASDAQ and a secondary listing on JSE. The address of the Company’s registered office is at 1 Harbourfront Avenue Keppel Bay Tower #14-07 Singapore 098632. The principal executive office of the Company is 17 Kallang Junction #06-05/06 Singapore 339274.</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principal activities of the Group relate to the provision of real-time mobility data analytics solutions for smart transportation through its software-as-a-service (“SaaS”) platform, physical and e-commerce vehicle buying and selling and providing a technology platform focused on last mile delivery. The Group’s SaaS platform acts as a central nervous system for connected vehicles and other mobile assets, such as construction equipment, generators, refrigeration units, trailers and boats.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During the fiscal year ended February 28, 2025 the Company incurred costs totalling ZAR 15.1 million related to a secondary offering of shares by existing shareholders. These costs were expensed in accordance with IFRS Accounting Standards (IFRS) as issued by the International Accounting Standards Board as they did not relate to the issuance of new shares by the Company. The expenses were included on the consolidated statement of profit or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February 28, 2025, Zak is the ultimate controlling shareholder of the Group, holding 19,450,000 shares (62.96% shareholdings) of Karooooo.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consolidated financial statements comprise the Company and its subsidiaries (collectively the “Group” and individually “group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compliance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of the Group have been prepared in accordance with the IFRS as issued by the International Accounting Standards Board (IASB).</w:t>
      </w:r>
    </w:p>
    <w:p>
      <w:pPr>
        <w:spacing w:after="0" w:line="183"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4"/>
          <w:szCs w:val="14"/>
          <w:color w:val="auto"/>
        </w:rPr>
        <w:t>The policies applied in these annual financial statements are based on IFRS effective for annual period beginning on March 1, 2024. The Group has prepared the financial statements on the basis that it will continue to operate as a going concern.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were approved for issue by the Directors on June 9,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measurement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have been prepared on the historical cost basis with the exception of certain financial instruments that have been measured at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Functional and presentation currency</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 consolidated financial statements are presented in South African Rand (ZAR), which is the Group’s presentation currency and all values are rounded to the nearest thousand (ZAR’000), except when otherwise indicated. The Company’s functional currency is in United States Dollars (USD).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2. MATERIAL ACCOUNTING POLICY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Significant accounting judgments, estimates and assumptions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preparation of the Group’s consolidated financial statements requires management to make judgments, estimates and assumptions that affect the reported amounts of revenue, expenses, assets and liabilities, and the disclosure of contingent liabilities at the end of the reporting period. Uncertainty about these assumptions and estimates could result in outcomes that require a material adjustment to the carrying amount of the asset or liability affected in the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Judgments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Management is of the opinion that there is no significant judgment made in applying accounting policies that have a significant risk of causing a material adjustment to the carrying amounts of assets and liabilities within the next financial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Estimates and assumptions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Useful life estimates of capitalized telematics devices and capitalized commission assets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Group completes a detailed assessment annually on the expected life cycle of subscriber contracts across the Group. The continued growth in our customer base over the past few years has provided a more comprehensive database of information and more certainty to support the assessment of the average useful life of subscriber contracts with customers. On the basis of such information, the average useful life of a subscriber contract was over 60 months as at financial year ended February 28, 2025. Contracts that terminate prior to the end of useful life result in accelerated depreciation of the underlying capitalized telematics devices and capitalized commission assets being recognized immediately.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Goodwill</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Group tests goodwill for impairment on an annual basis. The recoverable amounts of cash-generating units have been determined based on the higher of value-in-use calculations and fair value less costs of disposal. The value-in-use calculations are performed internally by the Group and require the use of various estimates and assumptions regarding discount rates and the future financial performance of the cash-generating units. The fair value less costs of disposal are performed by an external valuer using the market approach, by applying price-to-value metrics observed in comparable companies to the Cash Generating units (“CGU”).</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Group’s goodwill is subjected to impairment assessment annually as at year end and when circumstances indicate that the carrying value may be impaired. For impairment assessment, management uses valuation techniques which involve significant judgment in estimating the recoverable amounts of these assets. Any shortfall of the recoverable amounts against the carrying amounts of these assets will be recognized as impairment losses. The recoverable amounts are most sensitive to the discount rates used for the discounted cash flow model as well as the expected future cash inflows and the growth rate used for extrapolation purposes. The carrying amounts of the Group’s goodwill and key assumptions applied in the determination of the recoverable amounts including a sensitivity analysis, are disclosed and further explained in Note 8 to the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iii. Provision for expected credit losses (“ECLs”) of trade receivables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For trade receivables, the Group applies a simplified approach in calculating ECLs. Therefore, the Group does not track changes in credit risk, but instead recognizes a loss allowance based on lifetime ECLs at each reporting date. The Group determines expected credit losses of trade receivables by making debtor-specific assessment of expected impairment loss for long overdue trade receivables and using a provision matrix for remaining trade receivables that is based on its historical credit loss experience, adjusted for forward-looking factors specific to the debtors and the economic environment. At every reporting date, historical default rates are updated and changes in the forward-looking estimates are analyzed.</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assessment of the correlation between historical observed default rates, forecast economic conditions and ECLs is a significant estimate. The amount of ECLs is sensitive to changes in circumstances and of forecast economic conditions. The Group’s historical credit loss experience and forecast of economic conditions may also not be representative of customer’s actual default in the future. The information about the ECLs on the Group’s trade receivables is disclosed in Note 29.2(a).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amounts of the Group’s trade receivables at the end of the reporting period is disclosed in Note 11.</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2.2 Accounting policies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material accounting policies applied in the preparation of these consolidated financial statements are set out below. The Group consistently applied the following accounting policies to all periods presented in these consolidated financial statements, unless otherwise stated.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Basis of consolidation</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consolidated financial statements comprise the financial statements of the Company and its subsidiaries as at the end of the reporting period. The financial statements of the subsidiaries used in the preparation of the consolidated financial statements are prepared for the same reporting date as the Company. Consistent accounting policies are applied to like transactions and events in similar circumstances.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intra-group balances, income and expenses and unrealized gains and losses resulting from intra-group transactions and dividends are eliminated in full.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 are consolidated from the date of acquisition, being the date on which the Group obtains control, and continue to be consolidated until the date that such control ceases.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Losses within a subsidiary are attributed to the non-controlling interest even if that results in a deficit balance.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and goodwill</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Business combinations are accounted for using the acquisition method. Identifiable assets acquired and liabilities assumed in business combination are measured initially at their fair values at the acquisition date. Acquisition-related costs are recognized as expenses in the periods in which the costs are incurred and the services are received.</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Any contingent consideration to be transferred by the acquirer will be recognized at fair value at the acquisition date. Subsequent changes to the fair value of the contingent consideration which is an asset or liability are recognized in profit or loss.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Non-controlling interest in the acquiree, that are present ownership interests and entitled their holders to a proportionate share of net assets of the acquiree are recognized on the acquisition date at either fair value, or the non-controlling interest’s proportionate share of the acquiree’s identifiable net assets.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Any excess of the sum of the fair value of the consideration transferred in the business combination, the amount of non-controlling interest in the acquiree (if any), and the fair value of the Group’s previously held equity interest in the acquiree (if any), over the net fair value of the acquiree’s identifiable assets and liabilities is recorded as goodwill. In instances where the latter amount exceeds the former, the excess is recognized as gain on bargain purchase in profit or loss on the acquisition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is initially measured at cost. Following initial recognition, goodwill is measured at cost less any accumulated impairment losses.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the purpose of impairment testing, goodwill acquired in a business combination is, from the acquisition date, allocated to the Group’s cash-generating units that are expected to benefit from the synergies of the combination.</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cash-generating units to which goodwill have been allocated is tested for impairment annually and whenever there is an indication that the cash-generating unit may be impaired. Impairment is determined for goodwill by assessing the recoverable amount of each cash-generating unit (or group of cash-generating units) to which the goodwill relates.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results of subsidiaries are consolidated into the Group’s results from acquisition date until loss of control.</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When the Group loses control over a subsidiary, it derecognizes the assets and liabilities of the subsidiary, and any related NCI and other components of equity. Any resulting gain or loss is recognized in profit or loss. Any interest retained in the former subsidiary is measured at fair value when control is lost.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Non-controlling interest (“NCI”) represents the equity in subsidiaries not attributable, directly or indirectly, to owners of the Company. Changes in the Company’s ownership interest in a subsidiary that do not result in a loss of control are accounted for as equity transactions. In such circumstances, the carrying amounts of the controlling and non- controlling interests are adjusted to reflect the changes in their relative interests in the subsidiary. Any difference between the amount by which the non-controlling interest is adjusted and the fair value of the consideration paid or received is recognized directly in equity and attributed to owners of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Foreign currency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Functional and presentation currency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financial statements are presented in ZAR, which is the Group’s presentation currency. Each entity in the Group determines its own functional currency and items included in the financial statements of each of entities are measured using the currency of the primary economic environment in which the entity operates.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Transactions and balances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Transactions in foreign currencies are measured in the respective functional currencies of the Company and its subsidiaries and are recorded on initial recognition in the functional currencies at exchange rates approximating those ruling at the transaction dates. Monetary assets and liabilities denominated in foreign currencies are translated at the rate of exchange ruling at the end of the reporting period.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was measured.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differences arising on the settlement of monetary items or on translating monetary items at the end of the reporting period are recognized in profit or loss.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i w:val="1"/>
          <w:iCs w:val="1"/>
          <w:color w:val="auto"/>
        </w:rPr>
        <w:t>iii. Consolidated financial statements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consolidation purpose, the assets and liabilities of foreign operations are translated into ZAR at the rate of exchange ruling at the end of the reporting period and their profit or loss are translated at the exchange rates prevailing at the date of the transactions. The exchange differences arising on the translation are recognized in other comprehensive income. On disposal of a foreign operation, the component of other comprehensive income relating to that particular foreign operation is recognized in profit or loss.</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Exchange differences arising on monetary items that form part of the Group’s net investment in foreign operations are recognized initially in other comprehensive income and accumulated under foreign currency translation reserve in equity. The foreign currency translation reserve is reclassified from equity to profit or loss of the Group on disposal of the foreign operation.</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Monetary items cease to form part of the net investment in the foreign operation at the moment in time when the Group decides that settlement is planned or is likely to occur in the foreseeable future. Accordingly, exchange differences arising on these monetary items up to that date are recognized in other comprehensive income and accumulated under foreign currency translation reserve in equity. The exchange differences that arise after that date are recognized in profit or loss. When these monetary items are settled, the exchange differences accumulated under foreign currency translation reserve in equity are reclassified from equity to profit or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Financial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Financial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Initial recognition and measurement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assets are recognized when, and only when, the Group becomes a party to the contractual provisions of the financial instruments.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Trade receivables are measured at the amount of consideration to which the Group expects to be entitled in exchange for transferring promised goods or services to a customer, excluding amounts collected on behalf of third party, if the trade receivables do not contain a significant financing component at initial recognition.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Subsequent measurement</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Subsequent measurement of debt instruments depends on the Group’s business model for managing the asset and the contractual cash flow characteristics of the asset. The measurement categories for classification of debt instruments 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Amortized cost</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amortization process.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auto"/>
        </w:rPr>
        <w:t>Fair value through other comprehensive income (“FVOCI”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recognized in other comprehensive income, except for impairment losses, foreign exchange gains and losses and interest calculated using the effective interest method are recognized in profit or loss. The cumulative gain or loss previously recognized in other comprehensive income is reclassified from equity to profit or loss as a reclassification adjustment when the financial asset is derecognized.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Fair value through profit or loss (“FVPL”</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Assets that do not meet the criteria for amortized cost or FVOCI are measured at fair value through profit or loss. A gain or loss on a debt instrument that is subsequently measured at fair value through profit or loss and is not part of a hedging relationship is recognized in profit or loss in the period in which it arises.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Derecognition</w:t>
      </w:r>
    </w:p>
    <w:p>
      <w:pPr>
        <w:spacing w:after="0" w:line="18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Financial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Initial recognition and measurement</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Financial liabilities are recognized when, and only when, the Group becomes a party to the contractual provisions of the financial instrument. The Group determines the classification of its financial liabilities at initial recognition.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financial liabilities are recognized initially at fair value plus in the case of financial liabilities not at fair value through profit or loss, directly attributable transaction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Subsequent measurement</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After initial recognition, financial liabilities that are not carried at fair value through profit or loss are subsequently measured at amortized cost using the effective interest rate method. Gains and losses are recognized in profit or loss when the liabilities are derecognized, and through the amortization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Derecognition</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 financial liability is derecognized when the obligation under the liability is discharged or cancelled or expired. On derecognition, the difference between the carrying amounts and the consideration paid is recognized in profit or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Derivative financial instruments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Derivatives are initially measured at fair value and any directly attributable transactions are recognized in profit or loss as incurred. Subsequent to initial recognition, derivatives are measured at fair value, and changes therein are generally recognized in profit or loss. For derivatives entered as a transaction with owner, changes in the fair value are recognized directly in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 Impairment of financial assets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25" w:name="page126"/>
    <w:bookmarkEnd w:id="125"/>
    <w:p>
      <w:pPr>
        <w:jc w:val="both"/>
        <w:spacing w:after="0" w:line="274" w:lineRule="auto"/>
        <w:rPr>
          <w:sz w:val="20"/>
          <w:szCs w:val="20"/>
          <w:color w:val="auto"/>
        </w:rPr>
      </w:pPr>
      <w:r>
        <w:rPr>
          <w:rFonts w:ascii="Times New Roman" w:cs="Times New Roman" w:eastAsia="Times New Roman" w:hAnsi="Times New Roman"/>
          <w:sz w:val="14"/>
          <w:szCs w:val="14"/>
          <w:color w:val="auto"/>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recognized for credit losses expected over the remaining life of the exposure, irrespective of timing of the default (a “lifetime ECL”).</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trade receivables, the Group applies a simplified approach in calculating ECLs. Therefore, the Group does not track changes in credit risk, but instead recognizes a loss allowance based on lifetime ECLs at each reporting date. The Group has established a provision matrix based on its historical credit loss experience, adjusted for forward- looking factors specific to the debtors and the economic environment which could affect debtor’s ability to pay.</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Group considers a financial asset in default when contractual payments are 360 days past due. This reflects the point at which there is no reasonable expectation of recovery and aligns with historical loss experience and collection efforts.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 Property, plant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Recognition and measurement</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All items of property, plant and equipment are initially recorded at cost. Subsequent to recognition, property, plant and equipment are measured at cost less accumulated depreciation and any accumulated impairment losses.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cost of telematic devices is capitalized as property, plant and equipment.</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In-vehicle capitalized telematics devices are installed in customers’ vehicles as part of a subscription contract. The telematics device and directly related installation costs are capitalized and depreciated over the expected useful life of the average contract. The related depreciation expense is recorded as part of cost of revenue in the consolidated statement of profit and loss. If a subscriber contract with a customer is cancelled prior to the end of its useful life, the unamortized cost is recognized immediately in profit and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 subscriber contracts are expected to be in existence for periods significantly shorter than the average useful life around 60 months, these are depreciated over a reduced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Uninstalled telematics devices are devices not installed and available for installation. Work in progress telematics devices are devices in progress of being manufactured.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Depreciation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is computed on a straight-line basis over their estimated useful lives of property, plant and equipment including right of use assets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useful life</w:t>
            </w:r>
          </w:p>
        </w:tc>
      </w:tr>
      <w:tr>
        <w:trPr>
          <w:trHeight w:val="172"/>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w:t>
            </w:r>
          </w:p>
        </w:tc>
        <w:tc>
          <w:tcPr>
            <w:tcW w:w="22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 line</w:t>
            </w:r>
          </w:p>
        </w:tc>
        <w:tc>
          <w:tcPr>
            <w:tcW w:w="24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20-50 years</w:t>
            </w:r>
          </w:p>
        </w:tc>
      </w:tr>
      <w:tr>
        <w:trPr>
          <w:trHeight w:val="172"/>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 Right of use assets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 term or useful life whichever is shorter</w:t>
            </w:r>
          </w:p>
        </w:tc>
      </w:tr>
      <w:tr>
        <w:trPr>
          <w:trHeight w:val="172"/>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 Leasehold improvements</w:t>
            </w:r>
          </w:p>
        </w:tc>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Straight line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years or lease term</w:t>
            </w:r>
          </w:p>
        </w:tc>
      </w:tr>
      <w:tr>
        <w:trPr>
          <w:trHeight w:val="172"/>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Plant, equipment and vehicles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 years</w:t>
            </w:r>
          </w:p>
        </w:tc>
      </w:tr>
      <w:tr>
        <w:trPr>
          <w:trHeight w:val="172"/>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IT equipment</w:t>
            </w:r>
          </w:p>
        </w:tc>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Straight line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 years</w:t>
            </w:r>
          </w:p>
        </w:tc>
      </w:tr>
      <w:tr>
        <w:trPr>
          <w:trHeight w:val="186"/>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Capitalized telematics devices - Installed</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is recognized when the property, plant and equipment are installed and are ready for use. Land and construction in progress are stated at cost and are not depreciated.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residual value, useful life and depreciation method are reviewed at each financial year-end, and adjusted prospectively, if appropriate.</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An item of property, plant and equipment is derecognized upon disposal or when no future economic benefits are expected from its use or disposal. Any gain or loss on derecognition of the asset is included in profit and loss in the year the asset is derecognized.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color w:val="auto"/>
        </w:rPr>
        <w:t>g) Capitalized commission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Recognition and measurement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Incremental sales commission costs which are directly related to a customer contract are capitalized to capitalized commission assets and are measured at cost less accumulated amortization.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Amortization</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capitalized commission assets are amortized over the expected useful life of the average contract, which is over 60 months. If a contract with a customer is cancelled prior to the end of its useful life, the unamortized cost is recognized immediately in profit and loss.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useful life of items of capitalized commission assets has been assessed as follows:</w:t>
            </w: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46"/>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264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useful life</w:t>
            </w:r>
          </w:p>
        </w:tc>
      </w:tr>
      <w:tr>
        <w:trPr>
          <w:trHeight w:val="172"/>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commission assets</w:t>
            </w:r>
          </w:p>
        </w:tc>
        <w:tc>
          <w:tcPr>
            <w:tcW w:w="2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jc w:val="center"/>
              <w:ind w:right="868"/>
              <w:spacing w:after="0"/>
              <w:rPr>
                <w:sz w:val="20"/>
                <w:szCs w:val="20"/>
                <w:color w:val="auto"/>
              </w:rPr>
            </w:pPr>
            <w:r>
              <w:rPr>
                <w:rFonts w:ascii="Times New Roman" w:cs="Times New Roman" w:eastAsia="Times New Roman" w:hAnsi="Times New Roman"/>
                <w:sz w:val="14"/>
                <w:szCs w:val="14"/>
                <w:color w:val="auto"/>
              </w:rPr>
              <w:t>Straight line</w:t>
            </w:r>
          </w:p>
        </w:tc>
        <w:tc>
          <w:tcPr>
            <w:tcW w:w="24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343"/>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 Intangible assets</w:t>
            </w: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Intangible assets acquired separately are measured initially at cost. Following initial acquisition, intangible assets are carried at cost less any accumulated amortization and any accumulated impairment losses.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useful lives of intangible assets are assessed as either finite or indefinite.</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Intangible assets with finite useful lives are amortized over the estimated useful life and assessed for impairment annually whenever there is an indication that the intangible asset may be impaired. The amortization period and the amortization method are reviewed at least at each financial year end. Changes in the expected useful life or the expected pattern of consumption of future economic benefits embodied in the asset is accounted for by changing the amortization period or method, as appropriate, and are treated as changes in accounting estimates.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Intangible assets with indefinite useful lives or not yet available for use are tested for impairment annually, or more frequently if the events and circumstances indicate that the carrying value may be impaired either individually or at the cash-generating unit level. Such intangible assets are not amortized. The useful life of an intangible asset with an indefinite useful life is reviewed annually to determine whether the useful life assessment continues to be supportable. If not, the change in useful life from indefinite to finite is made on a prospective basis.</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Gains or losses arising from de-recognition of an intangible asset are measured as the difference between the net disposal proceeds and the carrying amount of the asset and are recognized in the profit or loss when the asset is derecognized.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Product development costs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Product development costs that are directly attributable to the design, testing and development of identifiable hardware and software, controlled by the Group, are recognized as intangible assets when the following criteria are met:</w:t>
      </w:r>
    </w:p>
    <w:p>
      <w:pPr>
        <w:spacing w:after="0" w:line="124" w:lineRule="exact"/>
        <w:rPr>
          <w:sz w:val="20"/>
          <w:szCs w:val="20"/>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technically feasible to complete the software or product so that it will be available for use or sale;</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intends to complete the software or product and use or sell it;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 ability to use or sell the software or product;</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can be demonstrated how the software or product will generate probable future economic benefits;</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Adequate technical, financial and other resources to complete the development and use or sell the software or product are available;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expenditure attributable to the software or product during its development can be reliably measured.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27" w:name="page128"/>
    <w:bookmarkEnd w:id="127"/>
    <w:p>
      <w:pPr>
        <w:jc w:val="both"/>
        <w:spacing w:after="0" w:line="292" w:lineRule="auto"/>
        <w:rPr>
          <w:sz w:val="20"/>
          <w:szCs w:val="20"/>
          <w:color w:val="auto"/>
        </w:rPr>
      </w:pPr>
      <w:r>
        <w:rPr>
          <w:rFonts w:ascii="Times New Roman" w:cs="Times New Roman" w:eastAsia="Times New Roman" w:hAnsi="Times New Roman"/>
          <w:sz w:val="14"/>
          <w:szCs w:val="14"/>
          <w:color w:val="auto"/>
        </w:rPr>
        <w:t>Directly attributable costs that are capitalized as part of the intangible assets include software costs and the costs of personnel whose sole responsibility is their involvement in the Group’s research and development function.</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Other product development expenditures that do not meet the recognition criteria are recognized as an expense as incurred. Product development costs previously recognized as an expense are not recognized as an asset in a subsequent period if the criteria are subsequently met.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incurred in enhancing current telematics hardware (telematics devices) and software (SaaS platform) are expensed when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capitalized product development costs are amortized over their estimated useful life which is considered to be three years due to the life cycle of telematics hardware and software applications.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Computer software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Computer software comprises self-developed computer software acquired in a business combination and externally acquired computer software. Acquired computer software licenses are capitalized on the basis of costs incurred to acquire and bring the software into use.</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acquired computer software is amortized over the expected useful life which is generally three to five years. Self-developed computer software acquired in a business combination are recognized at fair value at the acquisition date and subsequently carried at cost less accumulated amortization and accumulated impairment losses, if 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iii. Trade name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Trade name acquired in a business combination are recognized at fair value at the acquisition date and subsequently carried at cost less accumulated amortization and accumulated impairment losses. Trade name is amortized on a straight-line basis over the expected useful life of five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iv. Customer relationships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Customer relationships acquired in a business combination are recognized at fair value at the acquisition date and subsequently carried at cost less accumulated amortization and accumulated impairment losses. Customer relationships are amortized on a straight-line basis over the expected useful life of three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Impairment of non-financial assets</w:t>
      </w:r>
    </w:p>
    <w:p>
      <w:pPr>
        <w:spacing w:after="0" w:line="18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Group assesses at each reporting date whether there is an indication of impairment that an asset may be impaired or that a previously recognized impairment loss for an asset other than goodwill may no longer exist or may have decreased. If any indication exists, or when an annual impairment testing for an asset is required, the Group makes an estimate of the asset’s recoverable amount.</w:t>
      </w:r>
    </w:p>
    <w:p>
      <w:pPr>
        <w:spacing w:after="0" w:line="3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An asset’s recoverable amount is the higher of an asset’s or cash-generating unit’s fair value less costs of disposal and its value in use and is determined for an individual asset, unless the asset does not generate cash inflows that are largely independent of those from other assets or groups of assets. Where the carrying amount of an asset or cash- generating unit exceeds its recoverable amount, the asset is considered impaired and is written down to its recoverable amount.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impairment losses are recognized in profit or loss.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That increase cannot exceed the carrying amount that would have been determined, net of depreciation, had no impairment loss been recognized previously. Such reversal is recognized in profit or loss. Impairment loss relating to goodwill cannot be reversed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 Taxation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Current income tax</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at the end of the reporting period, in the countries where the Group operates and generates taxable income.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28" w:name="page129"/>
    <w:bookmarkEnd w:id="128"/>
    <w:p>
      <w:pPr>
        <w:jc w:val="both"/>
        <w:spacing w:after="0" w:line="274" w:lineRule="auto"/>
        <w:rPr>
          <w:sz w:val="20"/>
          <w:szCs w:val="20"/>
          <w:color w:val="auto"/>
        </w:rPr>
      </w:pPr>
      <w:r>
        <w:rPr>
          <w:rFonts w:ascii="Times New Roman" w:cs="Times New Roman" w:eastAsia="Times New Roman" w:hAnsi="Times New Roman"/>
          <w:sz w:val="14"/>
          <w:szCs w:val="14"/>
          <w:color w:val="auto"/>
        </w:rPr>
        <w:t>Current income taxes are recognized in profit or loss except to the extent that the tax relates to items recognized outside profit or loss, either in other comprehensive income or directly in equity. Management periodically evaluates positions taken in the tax returns with respect to situations in which applicable tax regulations are subject to interpretation and establishes provisions where appropriate.</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Dividend withholding tax is currently payable on dividends distributed to equity holders of the Group at a rate as determined by each country’s jurisdiction. This tax is not attributable to the Company, but is collected by the Company and paid to the tax authorities on behalf of the shareholder.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receipt of a dividend by a company from an investment held in a tax jurisdiction outside that of the Company, any dividend withholding tax payable is recognized as part of current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Deferred tax</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Deferred tax is provided using the liability method on temporary differences at the end of the reporting period between the tax bases of assets and liabilities and their carrying amounts for financial reporting purposes.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tax liabilities are recognized for all temporary differences, except:</w:t>
      </w:r>
    </w:p>
    <w:p>
      <w:pPr>
        <w:spacing w:after="0" w:line="183" w:lineRule="exact"/>
        <w:rPr>
          <w:sz w:val="20"/>
          <w:szCs w:val="20"/>
          <w:color w:val="auto"/>
        </w:rPr>
      </w:pPr>
    </w:p>
    <w:p>
      <w:pPr>
        <w:ind w:left="520" w:hanging="256"/>
        <w:spacing w:after="0" w:line="292" w:lineRule="auto"/>
        <w:tabs>
          <w:tab w:leader="none" w:pos="5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taxable temporary differences associated with investments in subsidiaries and interests in joint venture, where the timing of the reversal of the temporary differences can be controlled and it is probable that the temporary differences will not reverse in the foreseeable future.</w:t>
      </w:r>
    </w:p>
    <w:p>
      <w:pPr>
        <w:spacing w:after="0" w:line="12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Deferred tax assets are recognized for all deductible temporary differences, the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spacing w:after="0" w:line="124" w:lineRule="exact"/>
        <w:rPr>
          <w:sz w:val="20"/>
          <w:szCs w:val="20"/>
          <w:color w:val="auto"/>
        </w:rPr>
      </w:pPr>
    </w:p>
    <w:p>
      <w:pPr>
        <w:ind w:left="520" w:hanging="256"/>
        <w:spacing w:after="0" w:line="292" w:lineRule="auto"/>
        <w:tabs>
          <w:tab w:leader="none" w:pos="5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deductible temporary differences associated with investments in subsidiaries and interests in joint venture, deferred tax assets are recognized only to the extent that it is probable that the temporary differences will reverse in the foreseeable future and taxable profit will be available against which the temporary differences can be utilized.</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future taxable profit will allow the deferred tax asset to be recovered.</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Deferred tax assets and liabilities are measured at the tax rates that are expected to apply to the year when the asset is realized or the liability is settled, based on tax rates (and tax laws) that have been enacted or substantively enacted at the end of each reporting period.</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Deferred tax relating to items recognized outside profit or loss is recognized outside profit or loss. Deferred tax items are recognized in correlation to the underlying transaction either in other comprehensive income or directly in equity.</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Group offsets deferred tax assets and deferred tax liabilities if and only if it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i w:val="1"/>
          <w:iCs w:val="1"/>
          <w:color w:val="auto"/>
        </w:rPr>
        <w:t>iii. Value added tax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expenses and assets are recognized net of the amount of value added tax except:</w:t>
      </w:r>
    </w:p>
    <w:p>
      <w:pPr>
        <w:spacing w:after="0" w:line="183" w:lineRule="exact"/>
        <w:rPr>
          <w:sz w:val="20"/>
          <w:szCs w:val="20"/>
          <w:color w:val="auto"/>
        </w:rPr>
      </w:pPr>
    </w:p>
    <w:p>
      <w:pPr>
        <w:ind w:left="520" w:right="120" w:hanging="256"/>
        <w:spacing w:after="0" w:line="292" w:lineRule="auto"/>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value added tax incurred on a purchase of assets or services is not recoverable from the taxation authority, in which case the value added tax is recognized as part of the cost of acquisition of the asset or as part of the expense item as applicable; and</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and payables that are stated with the amount of value added tax included.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amount of value added tax recoverable from, or payable to, the taxation authority is included as part of receivables or payables in the statement of financial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 Leases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 assesses at contract inception whether a contract is, or contains, a lease. That is, if the contract conveys the right to control the use of an identified asset for a period of time in exchange for consideration.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As Lessee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 applies a single recognition and measurement approach for all leases, except for short-term leases and leases of low-value assets. The Group recognizes lease liabilities representing the obligations to make lease payments and right-of-use assets representing the right to use the underlying leased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w:t>
      </w:r>
      <w:r>
        <w:rPr>
          <w:rFonts w:ascii="Times New Roman" w:cs="Times New Roman" w:eastAsia="Times New Roman" w:hAnsi="Times New Roman"/>
          <w:sz w:val="14"/>
          <w:szCs w:val="14"/>
          <w:color w:val="auto"/>
        </w:rPr>
        <w:t>ig</w:t>
      </w:r>
      <w:r>
        <w:rPr>
          <w:rFonts w:ascii="Times New Roman" w:cs="Times New Roman" w:eastAsia="Times New Roman" w:hAnsi="Times New Roman"/>
          <w:sz w:val="14"/>
          <w:szCs w:val="14"/>
          <w:u w:val="single" w:color="auto"/>
          <w:color w:val="auto"/>
        </w:rPr>
        <w:t>ht-of-use assets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If ownership of the leased asset transfers to the Group at the end of the lease term or the cost reflects the exercise of a purchase option, depreciation is calculated using the estimated useful life of the asset. The right-of-use assets are also subject to impairment. The accounting policy for impairment is disclosed in Note 2.2(i).</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Group’s right-of-use assets are presented in property, plant and equipment in the consolidated statement of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 liabilities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Group’s lease liabilities are presented separately in the consolidated statement of financial position and in Note 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Short-term leases and leases of low-value assets</w:t>
      </w:r>
    </w:p>
    <w:p>
      <w:pPr>
        <w:spacing w:after="0" w:line="18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4"/>
          <w:szCs w:val="14"/>
          <w:color w:val="auto"/>
        </w:rPr>
        <w:t>The Group applies the short-term lease recognition exemption to not recognize right-of-use assets and lease liabilities that have a lease term of 12 months or less and leases of low-value assets. The lease payments associated with these leases are charged directly to profit on a straight-line basis over the lease term.</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i w:val="1"/>
          <w:iCs w:val="1"/>
          <w:color w:val="auto"/>
        </w:rPr>
        <w:t>ii. As Lessor (Finance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Leases where the Group has transferred substantially all risks and rewards incidental to ownership of the leased assets to the lessees are classified as finance leases.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leased asset is derecognized and the present value of the lease receivable is recognized on the balance sheet and included in “trade and other receivables and prepayments”. The difference between the gross receivable and the present value of the lease receivable is recognized as finance income.</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Each lease payment received is applied against the gross investment in the finance lease receivable to reduce both the principal and the unearned finance income. The finance income is recognized in profit or loss on a basis that reflects a constant periodic rate of return on the net investment in the finance lease receivable.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Initial direct costs incurred by the Group in negotiating and arranging finance leases are added to finance lease receivables and reduce the amount of income recognized over the lease 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 Inventories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Inventories are stated at the lower of cost and net realizable value. Net realizable value is the estimated selling price in the ordinary course of business less the estimated costs of completion and the estimated costs necessary to make the sale. The cost of inventories comprises of all costs of purchase, costs of conversion and other costs incurred in bringing the inventories to their present location and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is determined on a weighted average cost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considers the condition and usability of inventories on an annual basis to determine whether an allowance for obsolete inventory is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 Cash and cash equivalents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Cash and cash equivalents comprise cash balances and short-term deposits with maturities of three months or less from the date of acquisition that are subject to an insignificant risk of changes in their fair value, and are used by the Group in the management of its short-term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the statement of cash flows, bank overdrafts that are repayable on demand and form an integral part of the Group’s cash management are included in cash and cash equivalents.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Bank overdrafts are included within current liabilities on the statement of financial position.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 Borrowing costs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Borrowing costs directly attributable to the acquisition, construction or production of an asset that necessarily takes a substantial period of time to get ready for its intended use or sale are capitalized as part of the cost of the asset. All other borrowing costs are expensed in the period they occur. Borrowing costs consist of interest and other costs that an entity incurs in connection with the borrowing of funds.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 Employee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 Defined contribution plans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Group participates in the national pension schemes as defined by the laws of the countries in which it has operations. In particular, the Singapore companies in the Group make contributions to the Central Provident Fund scheme in Singapore, a defined contribution pension scheme. Contributions to defined contribution pension schemes are recognized as an expense in the period in which the related service is performed.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ii. Employee leave entitlement</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Employee entitlements to annual leave are recognized as a liability when they are accrued to the employees. The undiscounted liability for leave expected to be settled wholly before twelve months after the end of the reporting period is recognized for services rendered by employees up to the end of the reporting period.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color w:val="auto"/>
        </w:rPr>
        <w:t>p) Provisions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Provisions are recognized when the Group has a present obligation (legal or constructive) as a result of a past event, it is probable that an outflow of resources embodying economic benefits will be required to settle the obligation can be estimated reliably.</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Provisions are reviewed at the end of each reporting period and adjusted to reflect the current best estimate. If it is no longer probable that an outflow of economic resources will be required to settle the obligation, the provision is reversed. If the effect of the time value of money is material, provisions are discounted using a current pre-tax rate that reflects, where appropriate, the risks specific to the liability. When discounting is used, the increase in the provision due to the passage of time is recognized as a finance cost.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 Revenue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Revenue is recognized upon transfer of control of promised goods or services to customers in an amount that reflects the consideration to which the Group expects to be entitled to for those goods or services. Revenue is measured based on the amount of consideration that the Group expects to receive reduced by discounts, incentives and rebates. Revenue also excludes any amounts collected on behalf of third parties, including sales taxes and indirect taxes. The Group principally generates revenue from providing a full-stack smart mobility software-as-a-service (“SaaS”) platform for connected vehicles and other assets. The Group recognizes revenue as or when it satisfies its performance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Subscription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arising from the SaaS service is recognized as the service is provided over the contractual term. Customers are invoiced monthly in advance and invoices are payable on presentation.</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 has assessed whether its subscription contract arrangements contain a significant financing component and it was determined that the contracts do not have a significant financing component because the difference between the timing of when the cash is received and the services are transferred to the customer is not to provide the customer with a benefit of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Hardware revenue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Hardware revenue is recognized when control of the telematics device was transferred to the customer which occurred upon installation on the customer’s vehicle. The payment terms are generally 30 days.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Installation revenue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Installation revenue is recognized when the device is successfully installed, which occurs at the same time that control of the hardware is transferred to the customer, which occurs upon installation on the customer’s vehicle. Customers are invoiced when the devices are installed and payment terms are generally 30 days.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Miscellaneous contract fees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 sometimes makes miscellaneous SaaS charges to customers to maintain the telematic devices, process administrative changes to contractual terms, or for contract cancellation. Such charges are recognized and invoiced when they arise and payment terms are generally 30 days.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i w:val="1"/>
          <w:iCs w:val="1"/>
          <w:color w:val="auto"/>
        </w:rPr>
        <w:t>Vehicle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Vehicle sales are recognized when ownership of the vehicle is transferred to the customer.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Delivery service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Delivery service fee is recognized as the service is rendered.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is recognized using the effective interest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 Government grants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Government grant relates to Research and Development (“R&amp;D”) incentives and training grants.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Government grants are recognized when there is reasonable assurance that the grant will be received and all attaching conditions will be complied with. When the grant relates to an expense item, it is recognized as income on a systematic basis over the periods that the related costs, for which it is intended to compensate, are expensed. Where the grant relates to an asset, the fair value is recognized as deferred capital grant on the balance sheet and is amortized to profit or loss over the expected useful life of the relevant asset.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 Earnings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Basic earnings per share</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Basic earnings per share is calculated by dividing the profit or loss attributable to ordinary shareholders of the Group by the weighted average number of ordinary shares outstanding during the financial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Diluted earnings per share</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Diluted earnings per share is calculated by dividing the profit attributable to ordinary equity holders of the parent by the weighted average number of ordinary shares outstanding during the financial year plus the weighted average number of ordinary shares that would be issued on conversion of all the dilutive potential ordinary shares into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 Share capital and share issue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issuance of ordinary shares are recognized as share capital in equity. Incremental costs directly attributable to the issuance of ordinary shares are deducted against share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 Treasury shares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Group’s own equity instruments, which are reacquired are recognized at cost and deducted from equity. No gain or loss is recognized in profit or loss on the purchase, sale, issue or cancellation of the Group’s own equity instruments. Any difference between the carrying amount of treasury shares and the consideration received, if reissued, is recognized directly in equity. Voting rights related to treasury shares are nullified for the Group and no dividends are allocated to them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contingent liability is:</w:t>
      </w:r>
    </w:p>
    <w:p>
      <w:pPr>
        <w:spacing w:after="0" w:line="183" w:lineRule="exact"/>
        <w:rPr>
          <w:sz w:val="20"/>
          <w:szCs w:val="20"/>
          <w:color w:val="auto"/>
        </w:rPr>
      </w:pPr>
    </w:p>
    <w:p>
      <w:pPr>
        <w:ind w:left="520" w:hanging="256"/>
        <w:spacing w:after="0" w:line="292" w:lineRule="auto"/>
        <w:tabs>
          <w:tab w:leader="none" w:pos="5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possible obligation that arises from past events and whose existence will be confirmed only by the occurrence or non-occurrence of one or more uncertain future events not wholly within the control of the Group; or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3" w:name="page134"/>
    <w:bookmarkEnd w:id="133"/>
    <w:p>
      <w:pPr>
        <w:ind w:left="520" w:hanging="256"/>
        <w:spacing w:after="0"/>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present obligation that arises from past events but is not recognized because:</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probable that an outflow of resources embodying economic benefits will be required to settle the obligation; or</w:t>
      </w:r>
    </w:p>
    <w:p>
      <w:pPr>
        <w:spacing w:after="0" w:line="182"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obligation cannot be measured with sufficient reliability.</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 contingent asset is a possible asset that arises from past events and whose existence will be confirmed only by the occurrence or non-occurrence of one or more uncertain future events not wholly within the control of the Group.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Contingent liabilities and assets are not recognized on the statement of financial position of the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STANDARDS ISSUED BUT NOT YET EFFECTIVE</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 Group will apply for the first-time certain standards and amendments, which are effective for annual periods beginning on or after March 1, 2025. The Group has not early adopted any other standard, interpretation or amendment that has been issued but is not yet effective.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Group is in the process of assessing the impact of the new and amended standards on the Group’s consolidated financial statements.</w:t>
            </w:r>
          </w:p>
        </w:tc>
        <w:tc>
          <w:tcPr>
            <w:tcW w:w="1680" w:type="dxa"/>
            <w:vAlign w:val="bottom"/>
          </w:tcPr>
          <w:p>
            <w:pPr>
              <w:spacing w:after="0"/>
              <w:rPr>
                <w:sz w:val="16"/>
                <w:szCs w:val="16"/>
                <w:color w:val="auto"/>
              </w:rPr>
            </w:pPr>
          </w:p>
        </w:tc>
      </w:tr>
      <w:tr>
        <w:trPr>
          <w:trHeight w:val="328"/>
        </w:trPr>
        <w:tc>
          <w:tcPr>
            <w:tcW w:w="9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periods</w:t>
            </w:r>
          </w:p>
        </w:tc>
      </w:tr>
      <w:tr>
        <w:trPr>
          <w:trHeight w:val="190"/>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Details of amendments to SASB standards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on/after</w:t>
            </w:r>
          </w:p>
        </w:tc>
      </w:tr>
      <w:tr>
        <w:trPr>
          <w:trHeight w:val="172"/>
        </w:trPr>
        <w:tc>
          <w:tcPr>
            <w:tcW w:w="9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172"/>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Amendments to IAS 21: Lack of Exchangeability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r>
      <w:tr>
        <w:trPr>
          <w:trHeight w:val="172"/>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IFRS 7 and IFRS 9: Amendments to the Classification and Measurement of Financial Instruments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2026</w:t>
            </w:r>
          </w:p>
        </w:tc>
      </w:tr>
      <w:tr>
        <w:trPr>
          <w:trHeight w:val="172"/>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Annual Improvements to IFRS Accounting Standards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2026</w:t>
            </w:r>
          </w:p>
        </w:tc>
      </w:tr>
      <w:tr>
        <w:trPr>
          <w:trHeight w:val="172"/>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IFRS 18: Presentation and Disclosure in Financial Statements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2027</w:t>
            </w:r>
          </w:p>
        </w:tc>
      </w:tr>
      <w:tr>
        <w:trPr>
          <w:trHeight w:val="172"/>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IFRS 19: Subsidiaries without Public Accountability: Disclosures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2027</w:t>
            </w:r>
          </w:p>
        </w:tc>
      </w:tr>
      <w:tr>
        <w:trPr>
          <w:trHeight w:val="186"/>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Amendments to IAS 28 and IFRS 10: Sale or Contribution of Assets between an Investor and its Associate or Joint Venture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 be determined</w:t>
            </w:r>
          </w:p>
        </w:tc>
      </w:tr>
      <w:tr>
        <w:trPr>
          <w:trHeight w:val="329"/>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SEGMENT REPORTING</w:t>
            </w:r>
          </w:p>
        </w:tc>
        <w:tc>
          <w:tcPr>
            <w:tcW w:w="168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organized its business units based on its products and services into the following reportable segments:</w:t>
      </w:r>
    </w:p>
    <w:p>
      <w:pPr>
        <w:spacing w:after="0" w:line="183" w:lineRule="exact"/>
        <w:rPr>
          <w:sz w:val="20"/>
          <w:szCs w:val="20"/>
          <w:color w:val="auto"/>
        </w:rPr>
      </w:pPr>
    </w:p>
    <w:p>
      <w:pPr>
        <w:ind w:left="520" w:hanging="256"/>
        <w:spacing w:after="0" w:line="292"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23" w:lineRule="exact"/>
        <w:rPr>
          <w:rFonts w:ascii="Times New Roman" w:cs="Times New Roman" w:eastAsia="Times New Roman" w:hAnsi="Times New Roman"/>
          <w:sz w:val="14"/>
          <w:szCs w:val="14"/>
          <w:color w:val="auto"/>
        </w:rPr>
      </w:pPr>
    </w:p>
    <w:p>
      <w:pPr>
        <w:jc w:val="both"/>
        <w:ind w:left="520" w:hanging="256"/>
        <w:spacing w:after="0" w:line="285"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304" w:lineRule="exact"/>
        <w:rPr>
          <w:rFonts w:ascii="Times New Roman" w:cs="Times New Roman" w:eastAsia="Times New Roman" w:hAnsi="Times New Roman"/>
          <w:sz w:val="14"/>
          <w:szCs w:val="14"/>
          <w:color w:val="auto"/>
        </w:rPr>
      </w:pPr>
    </w:p>
    <w:p>
      <w:pPr>
        <w:jc w:val="both"/>
        <w:ind w:left="520" w:hanging="256"/>
        <w:spacing w:after="0" w:line="268"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Carzuka was a physical and e-commerce vehicle buying and selling marketplace which allows customers to source, buy and sell vehicles efficiently and cost effectively. During the third quarter of the FY 2024, despite the growth experienced by Carzuka in South Africa, a decision was made to cease buying second hand vehicles in South Africa. This follows considerable interaction with motor dealerships across South Africa during these periods, who perceived Carzuka’s business interests to conflict with their business interests and Cartrack does not want to risk the long-standing strategic relationships that Cartrack has forged with motor dealerships across South Africa.</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There are many components within the Carzuka’s platform that had been built and developed and will continue to provide value to the existing Cartrack fleet platform. With effect from financial year 2025, Carzuka has changed the focus of its operations such that the nature of the underlying services offered now aligns with Cartrack's broader operations and has been integrated into that segment accordingly.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34" w:name="page135"/>
    <w:bookmarkEnd w:id="134"/>
    <w:p>
      <w:pPr>
        <w:spacing w:after="0" w:line="292" w:lineRule="auto"/>
        <w:rPr>
          <w:sz w:val="20"/>
          <w:szCs w:val="20"/>
          <w:color w:val="auto"/>
        </w:rPr>
      </w:pPr>
      <w:r>
        <w:rPr>
          <w:rFonts w:ascii="Times New Roman" w:cs="Times New Roman" w:eastAsia="Times New Roman" w:hAnsi="Times New Roman"/>
          <w:sz w:val="14"/>
          <w:szCs w:val="14"/>
          <w:color w:val="auto"/>
        </w:rPr>
        <w:t>The CODM monitors the operating results of its business units separately for the purpose of making decisions about resource allocation and performance assessment. Segment performance is evaluated based on operating profit or loss which in certain respects, as explained in the table below, is measured differently from operating profit or loss in the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segment information provided to the Group CEO, for the reportable segments for the financial year ended February 28, 2025, February 29, 2024 and February 28, 2023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Karooooo</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2"/>
        </w:trPr>
        <w:tc>
          <w:tcPr>
            <w:tcW w:w="5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4,055,394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4,068,177</w:t>
            </w:r>
          </w:p>
        </w:tc>
      </w:tr>
      <w:tr>
        <w:trPr>
          <w:trHeight w:val="204"/>
        </w:trPr>
        <w:tc>
          <w:tcPr>
            <w:tcW w:w="600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Other revenue</w:t>
            </w:r>
            <w:r>
              <w:rPr>
                <w:rFonts w:ascii="Times New Roman" w:cs="Times New Roman" w:eastAsia="Times New Roman" w:hAnsi="Times New Roman"/>
                <w:sz w:val="23"/>
                <w:szCs w:val="23"/>
                <w:color w:val="auto"/>
                <w:vertAlign w:val="superscript"/>
              </w:rPr>
              <w:t>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89,618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89,618</w:t>
            </w: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 sales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2,099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2,099</w:t>
            </w:r>
          </w:p>
        </w:tc>
      </w:tr>
      <w:tr>
        <w:trPr>
          <w:trHeight w:val="184"/>
        </w:trPr>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407,565</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407,565</w:t>
            </w:r>
          </w:p>
        </w:tc>
        <w:tc>
          <w:tcPr>
            <w:tcW w:w="100" w:type="dxa"/>
            <w:vAlign w:val="bottom"/>
            <w:tcBorders>
              <w:bottom w:val="single" w:sz="8" w:color="CCEEFF"/>
            </w:tcBorders>
          </w:tcPr>
          <w:p>
            <w:pPr>
              <w:spacing w:after="0"/>
              <w:rPr>
                <w:sz w:val="16"/>
                <w:szCs w:val="16"/>
                <w:color w:val="auto"/>
              </w:rPr>
            </w:pPr>
          </w:p>
        </w:tc>
      </w:tr>
      <w:tr>
        <w:trPr>
          <w:trHeight w:val="195"/>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4,147,111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420,348</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4,567,459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operating profit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1,272,980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39,353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1,312,333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659,140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662,559</w:t>
            </w: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1,079,715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1,081,308</w:t>
            </w:r>
          </w:p>
        </w:tc>
      </w:tr>
      <w:tr>
        <w:trPr>
          <w:trHeight w:val="172"/>
        </w:trPr>
        <w:tc>
          <w:tcPr>
            <w:tcW w:w="5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3,522,816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12,989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3,535,805</w:t>
            </w:r>
          </w:p>
        </w:tc>
      </w:tr>
      <w:tr>
        <w:trPr>
          <w:trHeight w:val="204"/>
        </w:trPr>
        <w:tc>
          <w:tcPr>
            <w:tcW w:w="600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Other revenue</w:t>
            </w:r>
            <w:r>
              <w:rPr>
                <w:rFonts w:ascii="Times New Roman" w:cs="Times New Roman" w:eastAsia="Times New Roman" w:hAnsi="Times New Roman"/>
                <w:sz w:val="23"/>
                <w:szCs w:val="23"/>
                <w:color w:val="auto"/>
                <w:vertAlign w:val="superscript"/>
              </w:rPr>
              <w:t>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90,879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90,879</w:t>
            </w: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 sales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274,787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274,787</w:t>
            </w:r>
          </w:p>
        </w:tc>
      </w:tr>
      <w:tr>
        <w:trPr>
          <w:trHeight w:val="184"/>
        </w:trPr>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304,040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304,040</w:t>
            </w:r>
          </w:p>
        </w:tc>
        <w:tc>
          <w:tcPr>
            <w:tcW w:w="100" w:type="dxa"/>
            <w:vAlign w:val="bottom"/>
            <w:tcBorders>
              <w:bottom w:val="single" w:sz="8" w:color="CCEEFF"/>
            </w:tcBorders>
          </w:tcPr>
          <w:p>
            <w:pPr>
              <w:spacing w:after="0"/>
              <w:rPr>
                <w:sz w:val="16"/>
                <w:szCs w:val="16"/>
                <w:color w:val="auto"/>
              </w:rPr>
            </w:pPr>
          </w:p>
        </w:tc>
      </w:tr>
      <w:tr>
        <w:trPr>
          <w:trHeight w:val="195"/>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3,613,695</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274,787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317,029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4,205,511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operating profit/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1,069,313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(52,907)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1,042,502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640,419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648,142</w:t>
            </w: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923,579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927,568</w:t>
            </w:r>
          </w:p>
        </w:tc>
      </w:tr>
      <w:tr>
        <w:trPr>
          <w:trHeight w:val="172"/>
        </w:trPr>
        <w:tc>
          <w:tcPr>
            <w:tcW w:w="5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28, 2023</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3,003,931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3,010,072</w:t>
            </w: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72,709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72,709</w:t>
            </w: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 sales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250,845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250,845</w:t>
            </w:r>
          </w:p>
        </w:tc>
      </w:tr>
      <w:tr>
        <w:trPr>
          <w:trHeight w:val="184"/>
        </w:trPr>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173,441</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173,441</w:t>
            </w:r>
          </w:p>
        </w:tc>
        <w:tc>
          <w:tcPr>
            <w:tcW w:w="100" w:type="dxa"/>
            <w:vAlign w:val="bottom"/>
            <w:tcBorders>
              <w:bottom w:val="single" w:sz="8" w:color="CCEEFF"/>
            </w:tcBorders>
          </w:tcPr>
          <w:p>
            <w:pPr>
              <w:spacing w:after="0"/>
              <w:rPr>
                <w:sz w:val="16"/>
                <w:szCs w:val="16"/>
                <w:color w:val="auto"/>
              </w:rPr>
            </w:pPr>
          </w:p>
        </w:tc>
      </w:tr>
      <w:tr>
        <w:trPr>
          <w:trHeight w:val="195"/>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3,076,640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250,845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179,582</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3,507,067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operating profit/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914,981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(37,813)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881,915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541,238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544,931</w:t>
            </w:r>
          </w:p>
        </w:tc>
      </w:tr>
      <w:tr>
        <w:trPr>
          <w:trHeight w:val="186"/>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605,716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12,074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8,519</w:t>
            </w:r>
          </w:p>
        </w:tc>
        <w:tc>
          <w:tcPr>
            <w:tcW w:w="2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626,309</w:t>
            </w:r>
          </w:p>
        </w:tc>
      </w:tr>
    </w:tbl>
    <w:p>
      <w:pPr>
        <w:spacing w:after="0" w:line="53" w:lineRule="exact"/>
        <w:rPr>
          <w:sz w:val="20"/>
          <w:szCs w:val="20"/>
          <w:color w:val="auto"/>
        </w:rPr>
      </w:pPr>
    </w:p>
    <w:p>
      <w:pPr>
        <w:ind w:left="260" w:hanging="254"/>
        <w:spacing w:after="0"/>
        <w:tabs>
          <w:tab w:leader="none" w:pos="260" w:val="left"/>
        </w:tabs>
        <w:numPr>
          <w:ilvl w:val="0"/>
          <w:numId w:val="9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Information about other revenue is disclosed in Note 19.</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information on reportable segments to the amounts reported in consolidated financial statements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operating profits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1,312,333</w:t>
            </w:r>
          </w:p>
        </w:tc>
        <w:tc>
          <w:tcPr>
            <w:tcW w:w="14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1,042,502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881,915</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(15,113)</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(43,600)</w:t>
            </w:r>
          </w:p>
        </w:tc>
        <w:tc>
          <w:tcPr>
            <w:tcW w:w="14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44,167</w:t>
            </w:r>
          </w:p>
        </w:tc>
        <w:tc>
          <w:tcPr>
            <w:tcW w:w="1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39,418</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23,255</w:t>
            </w: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(50,866)</w:t>
            </w: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(15,822)</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(10,095)</w:t>
            </w:r>
          </w:p>
        </w:tc>
        <w:tc>
          <w:tcPr>
            <w:tcW w:w="0" w:type="dxa"/>
            <w:vAlign w:val="bottom"/>
          </w:tcPr>
          <w:p>
            <w:pPr>
              <w:spacing w:after="0"/>
              <w:rPr>
                <w:sz w:val="1"/>
                <w:szCs w:val="1"/>
                <w:color w:val="auto"/>
              </w:rPr>
            </w:pPr>
          </w:p>
        </w:tc>
      </w:tr>
      <w:tr>
        <w:trPr>
          <w:trHeight w:val="183"/>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changes to derivative assets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21"/>
        </w:trPr>
        <w:tc>
          <w:tcPr>
            <w:tcW w:w="7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profit before taxation</w:t>
            </w: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60" w:type="dxa"/>
            <w:vAlign w:val="bottom"/>
            <w:gridSpan w:val="2"/>
            <w:vMerge w:val="continue"/>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1,246,921</w:t>
            </w:r>
          </w:p>
        </w:tc>
        <w:tc>
          <w:tcPr>
            <w:tcW w:w="1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1,065,710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894,104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Information about geographical areas: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3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Non-current operating assets</w:t>
            </w:r>
            <w:r>
              <w:rPr>
                <w:rFonts w:ascii="Times New Roman" w:cs="Times New Roman" w:eastAsia="Times New Roman" w:hAnsi="Times New Roman"/>
                <w:sz w:val="23"/>
                <w:szCs w:val="23"/>
                <w:b w:val="1"/>
                <w:bCs w:val="1"/>
                <w:color w:val="auto"/>
                <w:vertAlign w:val="superscript"/>
              </w:rPr>
              <w:t>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95"/>
        </w:trPr>
        <w:tc>
          <w:tcPr>
            <w:tcW w:w="73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2,158,893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1,714,719</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Africa-Other</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119,486</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154,777</w:t>
            </w: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Europe</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425,207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355,904</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gridSpan w:val="2"/>
          </w:tcPr>
          <w:p>
            <w:pPr>
              <w:spacing w:after="0" w:line="214" w:lineRule="exact"/>
              <w:rPr>
                <w:sz w:val="20"/>
                <w:szCs w:val="20"/>
                <w:color w:val="auto"/>
              </w:rPr>
            </w:pPr>
            <w:r>
              <w:rPr>
                <w:rFonts w:ascii="Times New Roman" w:cs="Times New Roman" w:eastAsia="Times New Roman" w:hAnsi="Times New Roman"/>
                <w:sz w:val="14"/>
                <w:szCs w:val="14"/>
                <w:color w:val="auto"/>
              </w:rPr>
              <w:t>Asia-Pacific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Middle East &amp; USA</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560,262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498,361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3,263,848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2,723,761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4"/>
        <w:spacing w:after="0"/>
        <w:tabs>
          <w:tab w:leader="none" w:pos="260" w:val="left"/>
        </w:tabs>
        <w:numPr>
          <w:ilvl w:val="0"/>
          <w:numId w:val="9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Non-current operating assets consist of property, plant and equipment, capitalized commission assets, intangible assets, goodwill and prepayments.</w:t>
      </w:r>
    </w:p>
    <w:p>
      <w:pPr>
        <w:spacing w:after="0" w:line="2" w:lineRule="exact"/>
        <w:rPr>
          <w:sz w:val="20"/>
          <w:szCs w:val="20"/>
          <w:color w:val="auto"/>
        </w:rPr>
      </w:pPr>
    </w:p>
    <w:p>
      <w:pPr>
        <w:ind w:right="4120" w:firstLine="6"/>
        <w:spacing w:after="0" w:line="354" w:lineRule="auto"/>
        <w:tabs>
          <w:tab w:leader="none" w:pos="258"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Included in Asia-Pacific is non-current assets from Singapore amount to ZAR 185.8 million (2024: ZAR 226.2 million). Information about revenue from geographical areas is disclosed in Note 19.</w:t>
      </w:r>
    </w:p>
    <w:p>
      <w:pPr>
        <w:spacing w:after="0" w:line="27"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There are no customers which contribute in excess of 10% of Group revenue for the financial year ended February 28, 2025, February 29, 2024 and February 28, 2023.</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88"/>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PROPERTY, PLANT AND EQUIPMENT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Plant,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9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Land and</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devices –</w:t>
            </w: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9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800" w:type="dxa"/>
            <w:vAlign w:val="bottom"/>
            <w:gridSpan w:val="3"/>
          </w:tcPr>
          <w:p>
            <w:pPr>
              <w:jc w:val="right"/>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IT</w:t>
            </w:r>
          </w:p>
        </w:tc>
        <w:tc>
          <w:tcPr>
            <w:tcW w:w="920" w:type="dxa"/>
            <w:vAlign w:val="bottom"/>
            <w:gridSpan w:val="4"/>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Work-in-</w:t>
            </w:r>
          </w:p>
        </w:tc>
        <w:tc>
          <w:tcPr>
            <w:tcW w:w="940" w:type="dxa"/>
            <w:vAlign w:val="bottom"/>
            <w:gridSpan w:val="4"/>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devices –</w:t>
            </w:r>
          </w:p>
        </w:tc>
        <w:tc>
          <w:tcPr>
            <w:tcW w:w="80" w:type="dxa"/>
            <w:vAlign w:val="bottom"/>
          </w:tcPr>
          <w:p>
            <w:pPr>
              <w:spacing w:after="0"/>
              <w:rPr>
                <w:sz w:val="12"/>
                <w:szCs w:val="12"/>
                <w:color w:val="auto"/>
              </w:rPr>
            </w:pPr>
          </w:p>
        </w:tc>
        <w:tc>
          <w:tcPr>
            <w:tcW w:w="8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devices -</w:t>
            </w: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20" w:type="dxa"/>
            <w:vAlign w:val="bottom"/>
          </w:tcPr>
          <w:p>
            <w:pPr>
              <w:spacing w:after="0"/>
              <w:rPr>
                <w:sz w:val="18"/>
                <w:szCs w:val="18"/>
                <w:color w:val="auto"/>
              </w:rPr>
            </w:pPr>
          </w:p>
        </w:tc>
        <w:tc>
          <w:tcPr>
            <w:tcW w:w="860" w:type="dxa"/>
            <w:vAlign w:val="bottom"/>
            <w:gridSpan w:val="4"/>
          </w:tcPr>
          <w:p>
            <w:pPr>
              <w:jc w:val="right"/>
              <w:ind w:right="240"/>
              <w:spacing w:after="0" w:line="214" w:lineRule="exact"/>
              <w:rPr>
                <w:sz w:val="20"/>
                <w:szCs w:val="20"/>
                <w:color w:val="auto"/>
              </w:rPr>
            </w:pPr>
            <w:r>
              <w:rPr>
                <w:rFonts w:ascii="Times New Roman" w:cs="Times New Roman" w:eastAsia="Times New Roman" w:hAnsi="Times New Roman"/>
                <w:sz w:val="14"/>
                <w:szCs w:val="14"/>
                <w:b w:val="1"/>
                <w:bCs w:val="1"/>
                <w:color w:val="auto"/>
                <w:w w:val="97"/>
              </w:rPr>
              <w:t>Property</w:t>
            </w:r>
            <w:r>
              <w:rPr>
                <w:rFonts w:ascii="Times New Roman" w:cs="Times New Roman" w:eastAsia="Times New Roman" w:hAnsi="Times New Roman"/>
                <w:sz w:val="23"/>
                <w:szCs w:val="23"/>
                <w:b w:val="1"/>
                <w:bCs w:val="1"/>
                <w:color w:val="auto"/>
                <w:w w:val="97"/>
                <w:vertAlign w:val="superscript"/>
              </w:rPr>
              <w:t>1</w:t>
            </w:r>
          </w:p>
        </w:tc>
        <w:tc>
          <w:tcPr>
            <w:tcW w:w="9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Uninstalled</w:t>
            </w:r>
          </w:p>
        </w:tc>
        <w:tc>
          <w:tcPr>
            <w:tcW w:w="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Installed</w:t>
            </w:r>
          </w:p>
        </w:tc>
        <w:tc>
          <w:tcPr>
            <w:tcW w:w="1000" w:type="dxa"/>
            <w:vAlign w:val="bottom"/>
            <w:gridSpan w:val="4"/>
          </w:tcPr>
          <w:p>
            <w:pPr>
              <w:jc w:val="right"/>
              <w:ind w:right="240"/>
              <w:spacing w:after="0" w:line="214" w:lineRule="exact"/>
              <w:rPr>
                <w:sz w:val="20"/>
                <w:szCs w:val="20"/>
                <w:color w:val="auto"/>
              </w:rPr>
            </w:pPr>
            <w:r>
              <w:rPr>
                <w:rFonts w:ascii="Times New Roman" w:cs="Times New Roman" w:eastAsia="Times New Roman" w:hAnsi="Times New Roman"/>
                <w:sz w:val="14"/>
                <w:szCs w:val="14"/>
                <w:b w:val="1"/>
                <w:bCs w:val="1"/>
                <w:color w:val="auto"/>
                <w:w w:val="99"/>
              </w:rPr>
              <w:t>in progress</w:t>
            </w:r>
            <w:r>
              <w:rPr>
                <w:rFonts w:ascii="Times New Roman" w:cs="Times New Roman" w:eastAsia="Times New Roman" w:hAnsi="Times New Roman"/>
                <w:sz w:val="23"/>
                <w:szCs w:val="23"/>
                <w:b w:val="1"/>
                <w:bCs w:val="1"/>
                <w:color w:val="auto"/>
                <w:w w:val="99"/>
                <w:vertAlign w:val="superscript"/>
              </w:rPr>
              <w:t>1</w:t>
            </w:r>
          </w:p>
        </w:tc>
        <w:tc>
          <w:tcPr>
            <w:tcW w:w="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484,798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165,439</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190,549</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152,253</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259,360</w:t>
            </w: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3,877,236</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5,129,635</w:t>
            </w:r>
          </w:p>
        </w:tc>
        <w:tc>
          <w:tcPr>
            <w:tcW w:w="0" w:type="dxa"/>
            <w:vAlign w:val="bottom"/>
          </w:tcPr>
          <w:p>
            <w:pPr>
              <w:spacing w:after="0"/>
              <w:rPr>
                <w:sz w:val="1"/>
                <w:szCs w:val="1"/>
                <w:color w:val="auto"/>
              </w:rPr>
            </w:pPr>
          </w:p>
        </w:tc>
      </w:tr>
      <w:tr>
        <w:trPr>
          <w:trHeight w:val="184"/>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(39,752)</w:t>
            </w:r>
          </w:p>
        </w:tc>
        <w:tc>
          <w:tcPr>
            <w:tcW w:w="8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(114,704)</w:t>
            </w:r>
          </w:p>
        </w:tc>
        <w:tc>
          <w:tcPr>
            <w:tcW w:w="10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(145,027)</w:t>
            </w:r>
          </w:p>
        </w:tc>
        <w:tc>
          <w:tcPr>
            <w:tcW w:w="12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(2,535,145)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(2,834,628)</w:t>
            </w:r>
          </w:p>
        </w:tc>
        <w:tc>
          <w:tcPr>
            <w:tcW w:w="0" w:type="dxa"/>
            <w:vAlign w:val="bottom"/>
          </w:tcPr>
          <w:p>
            <w:pPr>
              <w:spacing w:after="0"/>
              <w:rPr>
                <w:sz w:val="1"/>
                <w:szCs w:val="1"/>
                <w:color w:val="auto"/>
              </w:rPr>
            </w:pPr>
          </w:p>
        </w:tc>
      </w:tr>
      <w:tr>
        <w:trPr>
          <w:trHeight w:val="173"/>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Carrying value</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445,046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1,342,091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Right-of-use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200,114</w:t>
            </w:r>
          </w:p>
        </w:tc>
        <w:tc>
          <w:tcPr>
            <w:tcW w:w="8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159,944</w:t>
            </w: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19,334</w:t>
            </w:r>
          </w:p>
        </w:tc>
        <w:tc>
          <w:tcPr>
            <w:tcW w:w="12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379,392</w:t>
            </w: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(108,540)</w:t>
            </w: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(38,367)</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(19,277)</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(166,184)</w:t>
            </w:r>
          </w:p>
        </w:tc>
        <w:tc>
          <w:tcPr>
            <w:tcW w:w="0" w:type="dxa"/>
            <w:vAlign w:val="bottom"/>
          </w:tcPr>
          <w:p>
            <w:pPr>
              <w:spacing w:after="0"/>
              <w:rPr>
                <w:sz w:val="1"/>
                <w:szCs w:val="1"/>
                <w:color w:val="auto"/>
              </w:rPr>
            </w:pPr>
          </w:p>
        </w:tc>
      </w:tr>
      <w:tr>
        <w:trPr>
          <w:trHeight w:val="155"/>
        </w:trPr>
        <w:tc>
          <w:tcPr>
            <w:tcW w:w="3940" w:type="dxa"/>
            <w:vAlign w:val="bottom"/>
            <w:tcBorders>
              <w:top w:val="single" w:sz="8" w:color="CCEEFF"/>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Carrying value</w:t>
            </w:r>
          </w:p>
        </w:tc>
        <w:tc>
          <w:tcPr>
            <w:tcW w:w="680" w:type="dxa"/>
            <w:vAlign w:val="bottom"/>
            <w:tcBorders>
              <w:top w:val="single" w:sz="8" w:color="auto"/>
              <w:bottom w:val="single" w:sz="8" w:color="auto"/>
            </w:tcBorders>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rPr>
              <w:t>91,574</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121,577</w:t>
            </w:r>
          </w:p>
        </w:tc>
        <w:tc>
          <w:tcPr>
            <w:tcW w:w="10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CCEEFF"/>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CCEEFF"/>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CCEEFF"/>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213,208</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536,620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172,312</w:t>
            </w:r>
          </w:p>
        </w:tc>
        <w:tc>
          <w:tcPr>
            <w:tcW w:w="10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45,579</w:t>
            </w:r>
          </w:p>
        </w:tc>
        <w:tc>
          <w:tcPr>
            <w:tcW w:w="1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152,253</w:t>
            </w:r>
          </w:p>
        </w:tc>
        <w:tc>
          <w:tcPr>
            <w:tcW w:w="1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259,360</w:t>
            </w:r>
          </w:p>
        </w:tc>
        <w:tc>
          <w:tcPr>
            <w:tcW w:w="14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1,342,091</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2,508,215</w:t>
            </w:r>
          </w:p>
        </w:tc>
        <w:tc>
          <w:tcPr>
            <w:tcW w:w="0" w:type="dxa"/>
            <w:vAlign w:val="bottom"/>
          </w:tcPr>
          <w:p>
            <w:pPr>
              <w:spacing w:after="0"/>
              <w:rPr>
                <w:sz w:val="1"/>
                <w:szCs w:val="1"/>
                <w:color w:val="auto"/>
              </w:rPr>
            </w:pPr>
          </w:p>
        </w:tc>
      </w:tr>
      <w:tr>
        <w:trPr>
          <w:trHeight w:val="164"/>
        </w:trPr>
        <w:tc>
          <w:tcPr>
            <w:tcW w:w="3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153,962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129,567</w:t>
            </w: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161,133</w:t>
            </w:r>
          </w:p>
        </w:tc>
        <w:tc>
          <w:tcPr>
            <w:tcW w:w="12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130,511</w:t>
            </w:r>
          </w:p>
        </w:tc>
        <w:tc>
          <w:tcPr>
            <w:tcW w:w="1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215,539</w:t>
            </w:r>
          </w:p>
        </w:tc>
        <w:tc>
          <w:tcPr>
            <w:tcW w:w="1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3,175,435</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266,870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4,233,017</w:t>
            </w: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(31,245)</w:t>
            </w: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(95,097)</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(119,796)</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(2,143,185)</w:t>
            </w: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(2,389,323)</w:t>
            </w:r>
          </w:p>
        </w:tc>
        <w:tc>
          <w:tcPr>
            <w:tcW w:w="0" w:type="dxa"/>
            <w:vAlign w:val="bottom"/>
          </w:tcPr>
          <w:p>
            <w:pPr>
              <w:spacing w:after="0"/>
              <w:rPr>
                <w:sz w:val="1"/>
                <w:szCs w:val="1"/>
                <w:color w:val="auto"/>
              </w:rPr>
            </w:pPr>
          </w:p>
        </w:tc>
      </w:tr>
      <w:tr>
        <w:trPr>
          <w:trHeight w:val="155"/>
        </w:trPr>
        <w:tc>
          <w:tcPr>
            <w:tcW w:w="3940" w:type="dxa"/>
            <w:vAlign w:val="bottom"/>
            <w:tcBorders>
              <w:top w:val="single" w:sz="8" w:color="CCEEFF"/>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Carrying value</w:t>
            </w:r>
          </w:p>
        </w:tc>
        <w:tc>
          <w:tcPr>
            <w:tcW w:w="680" w:type="dxa"/>
            <w:vAlign w:val="bottom"/>
            <w:tcBorders>
              <w:top w:val="single" w:sz="8" w:color="auto"/>
              <w:bottom w:val="single" w:sz="8" w:color="auto"/>
            </w:tcBorders>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auto"/>
              </w:rPr>
              <w:t>122,717</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34,470</w:t>
            </w:r>
          </w:p>
        </w:tc>
        <w:tc>
          <w:tcPr>
            <w:tcW w:w="10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41,337</w:t>
            </w:r>
          </w:p>
        </w:tc>
        <w:tc>
          <w:tcPr>
            <w:tcW w:w="10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130,511</w:t>
            </w:r>
          </w:p>
        </w:tc>
        <w:tc>
          <w:tcPr>
            <w:tcW w:w="10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215,539</w:t>
            </w: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CCEEFF"/>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1,032,250</w:t>
            </w:r>
          </w:p>
        </w:tc>
        <w:tc>
          <w:tcPr>
            <w:tcW w:w="4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CCEEFF"/>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266,870</w:t>
            </w:r>
          </w:p>
        </w:tc>
        <w:tc>
          <w:tcPr>
            <w:tcW w:w="6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CCEEFF"/>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1,843,694</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Right-of-use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105,692</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19,399</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327,458</w:t>
            </w:r>
          </w:p>
        </w:tc>
        <w:tc>
          <w:tcPr>
            <w:tcW w:w="0" w:type="dxa"/>
            <w:vAlign w:val="bottom"/>
          </w:tcPr>
          <w:p>
            <w:pPr>
              <w:spacing w:after="0"/>
              <w:rPr>
                <w:sz w:val="1"/>
                <w:szCs w:val="1"/>
                <w:color w:val="auto"/>
              </w:rPr>
            </w:pPr>
          </w:p>
        </w:tc>
      </w:tr>
      <w:tr>
        <w:trPr>
          <w:trHeight w:val="184"/>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(89,275)</w:t>
            </w:r>
          </w:p>
        </w:tc>
        <w:tc>
          <w:tcPr>
            <w:tcW w:w="8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(29,797)</w:t>
            </w:r>
          </w:p>
        </w:tc>
        <w:tc>
          <w:tcPr>
            <w:tcW w:w="10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(19,286)</w:t>
            </w:r>
          </w:p>
        </w:tc>
        <w:tc>
          <w:tcPr>
            <w:tcW w:w="12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(138,358)</w:t>
            </w:r>
          </w:p>
        </w:tc>
        <w:tc>
          <w:tcPr>
            <w:tcW w:w="0" w:type="dxa"/>
            <w:vAlign w:val="bottom"/>
          </w:tcPr>
          <w:p>
            <w:pPr>
              <w:spacing w:after="0"/>
              <w:rPr>
                <w:sz w:val="1"/>
                <w:szCs w:val="1"/>
                <w:color w:val="auto"/>
              </w:rPr>
            </w:pPr>
          </w:p>
        </w:tc>
      </w:tr>
      <w:tr>
        <w:trPr>
          <w:trHeight w:val="173"/>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Carrying value</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113,092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215,539</w:t>
            </w: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1,032,250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2,032,794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the carrying value of property, plant and equipment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10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devices –</w:t>
            </w: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800" w:type="dxa"/>
            <w:vAlign w:val="bottom"/>
            <w:gridSpan w:val="3"/>
          </w:tcPr>
          <w:p>
            <w:pPr>
              <w:jc w:val="right"/>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IT</w:t>
            </w:r>
          </w:p>
        </w:tc>
        <w:tc>
          <w:tcPr>
            <w:tcW w:w="80" w:type="dxa"/>
            <w:vAlign w:val="bottom"/>
          </w:tcPr>
          <w:p>
            <w:pPr>
              <w:spacing w:after="0"/>
              <w:rPr>
                <w:sz w:val="12"/>
                <w:szCs w:val="12"/>
                <w:color w:val="auto"/>
              </w:rPr>
            </w:pPr>
          </w:p>
        </w:tc>
        <w:tc>
          <w:tcPr>
            <w:tcW w:w="840" w:type="dxa"/>
            <w:vAlign w:val="bottom"/>
            <w:gridSpan w:val="3"/>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Work-in-</w:t>
            </w:r>
          </w:p>
        </w:tc>
        <w:tc>
          <w:tcPr>
            <w:tcW w:w="100" w:type="dxa"/>
            <w:vAlign w:val="bottom"/>
          </w:tcPr>
          <w:p>
            <w:pPr>
              <w:spacing w:after="0"/>
              <w:rPr>
                <w:sz w:val="12"/>
                <w:szCs w:val="12"/>
                <w:color w:val="auto"/>
              </w:rPr>
            </w:pPr>
          </w:p>
        </w:tc>
        <w:tc>
          <w:tcPr>
            <w:tcW w:w="840" w:type="dxa"/>
            <w:vAlign w:val="bottom"/>
            <w:gridSpan w:val="3"/>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devices –</w:t>
            </w:r>
          </w:p>
        </w:tc>
        <w:tc>
          <w:tcPr>
            <w:tcW w:w="80" w:type="dxa"/>
            <w:vAlign w:val="bottom"/>
          </w:tcPr>
          <w:p>
            <w:pPr>
              <w:spacing w:after="0"/>
              <w:rPr>
                <w:sz w:val="12"/>
                <w:szCs w:val="12"/>
                <w:color w:val="auto"/>
              </w:rPr>
            </w:pPr>
          </w:p>
        </w:tc>
        <w:tc>
          <w:tcPr>
            <w:tcW w:w="880" w:type="dxa"/>
            <w:vAlign w:val="bottom"/>
            <w:gridSpan w:val="3"/>
          </w:tcPr>
          <w:p>
            <w:pPr>
              <w:jc w:val="right"/>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devices -</w:t>
            </w: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line="214" w:lineRule="exact"/>
              <w:rPr>
                <w:sz w:val="20"/>
                <w:szCs w:val="20"/>
                <w:color w:val="auto"/>
              </w:rPr>
            </w:pPr>
            <w:r>
              <w:rPr>
                <w:rFonts w:ascii="Times New Roman" w:cs="Times New Roman" w:eastAsia="Times New Roman" w:hAnsi="Times New Roman"/>
                <w:sz w:val="14"/>
                <w:szCs w:val="14"/>
                <w:b w:val="1"/>
                <w:bCs w:val="1"/>
                <w:color w:val="auto"/>
              </w:rPr>
              <w:t>Property</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Progress</w:t>
            </w: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Uninstalled</w:t>
            </w: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Installed</w:t>
            </w:r>
          </w:p>
        </w:tc>
        <w:tc>
          <w:tcPr>
            <w:tcW w:w="40" w:type="dxa"/>
            <w:vAlign w:val="bottom"/>
          </w:tcPr>
          <w:p>
            <w:pPr>
              <w:spacing w:after="0"/>
              <w:rPr>
                <w:sz w:val="18"/>
                <w:szCs w:val="18"/>
                <w:color w:val="auto"/>
              </w:rPr>
            </w:pPr>
          </w:p>
        </w:tc>
        <w:tc>
          <w:tcPr>
            <w:tcW w:w="960" w:type="dxa"/>
            <w:vAlign w:val="bottom"/>
            <w:gridSpan w:val="3"/>
          </w:tcPr>
          <w:p>
            <w:pPr>
              <w:jc w:val="right"/>
              <w:ind w:right="200"/>
              <w:spacing w:after="0" w:line="214" w:lineRule="exact"/>
              <w:rPr>
                <w:sz w:val="20"/>
                <w:szCs w:val="20"/>
                <w:color w:val="auto"/>
              </w:rPr>
            </w:pPr>
            <w:r>
              <w:rPr>
                <w:rFonts w:ascii="Times New Roman" w:cs="Times New Roman" w:eastAsia="Times New Roman" w:hAnsi="Times New Roman"/>
                <w:sz w:val="14"/>
                <w:szCs w:val="14"/>
                <w:b w:val="1"/>
                <w:bCs w:val="1"/>
                <w:color w:val="auto"/>
                <w:w w:val="99"/>
              </w:rPr>
              <w:t>in progress</w:t>
            </w:r>
            <w:r>
              <w:rPr>
                <w:rFonts w:ascii="Times New Roman" w:cs="Times New Roman" w:eastAsia="Times New Roman" w:hAnsi="Times New Roman"/>
                <w:sz w:val="23"/>
                <w:szCs w:val="23"/>
                <w:b w:val="1"/>
                <w:bCs w:val="1"/>
                <w:color w:val="auto"/>
                <w:w w:val="99"/>
                <w:vertAlign w:val="superscript"/>
              </w:rPr>
              <w:t>1</w:t>
            </w:r>
          </w:p>
        </w:tc>
        <w:tc>
          <w:tcPr>
            <w:tcW w:w="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3"/>
        </w:trPr>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8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122,717</w:t>
            </w: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34,470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41,337</w:t>
            </w: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130,511</w:t>
            </w:r>
          </w:p>
        </w:tc>
        <w:tc>
          <w:tcPr>
            <w:tcW w:w="9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215,539</w:t>
            </w: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1,032,250</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266,870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1,843,694</w:t>
            </w: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11,578</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25,962</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37,336</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207,584</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325,248</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359,183</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55,480</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1,022,371</w:t>
            </w: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between categories</w:t>
            </w:r>
          </w:p>
        </w:tc>
        <w:tc>
          <w:tcPr>
            <w:tcW w:w="8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322,350</w:t>
            </w: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5,674</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(185,842)</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(273,443)</w:t>
            </w: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459,285</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(322,350)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Disposals</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(1,509)</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(2,100)</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(1,257)</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(3,625)</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(8,491)</w:t>
            </w: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(9,655)</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(12,576)</w:t>
            </w: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(30,615)</w:t>
            </w: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(484,760)</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(537,606)</w:t>
            </w:r>
          </w:p>
        </w:tc>
        <w:tc>
          <w:tcPr>
            <w:tcW w:w="0" w:type="dxa"/>
            <w:vAlign w:val="bottom"/>
          </w:tcPr>
          <w:p>
            <w:pPr>
              <w:spacing w:after="0"/>
              <w:rPr>
                <w:sz w:val="1"/>
                <w:szCs w:val="1"/>
                <w:color w:val="auto"/>
              </w:rPr>
            </w:pPr>
          </w:p>
        </w:tc>
      </w:tr>
      <w:tr>
        <w:trPr>
          <w:trHeight w:val="184"/>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(435)</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(695)</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(1,279)</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(7,984)</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(20,242)</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(30,635)</w:t>
            </w:r>
          </w:p>
        </w:tc>
        <w:tc>
          <w:tcPr>
            <w:tcW w:w="0" w:type="dxa"/>
            <w:vAlign w:val="bottom"/>
          </w:tcPr>
          <w:p>
            <w:pPr>
              <w:spacing w:after="0"/>
              <w:rPr>
                <w:sz w:val="1"/>
                <w:szCs w:val="1"/>
                <w:color w:val="auto"/>
              </w:rPr>
            </w:pPr>
          </w:p>
        </w:tc>
      </w:tr>
      <w:tr>
        <w:trPr>
          <w:trHeight w:val="173"/>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152,253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1,342,091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Right-of-use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113,092</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75,895</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113</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189,100</w:t>
            </w: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8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24,894</w:t>
            </w: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83,629</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108,525</w:t>
            </w: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Transfer</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(5,674)</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7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(3,220)</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(2,051)</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(5,271)</w:t>
            </w: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(39,806)</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(29,018)</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(57)</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(68,881)</w:t>
            </w:r>
          </w:p>
        </w:tc>
        <w:tc>
          <w:tcPr>
            <w:tcW w:w="0" w:type="dxa"/>
            <w:vAlign w:val="bottom"/>
          </w:tcPr>
          <w:p>
            <w:pPr>
              <w:spacing w:after="0"/>
              <w:rPr>
                <w:sz w:val="1"/>
                <w:szCs w:val="1"/>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(3,386)</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(1,204)</w:t>
            </w: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(4,591)</w:t>
            </w:r>
          </w:p>
        </w:tc>
        <w:tc>
          <w:tcPr>
            <w:tcW w:w="0" w:type="dxa"/>
            <w:vAlign w:val="bottom"/>
          </w:tcPr>
          <w:p>
            <w:pPr>
              <w:spacing w:after="0"/>
              <w:rPr>
                <w:sz w:val="1"/>
                <w:szCs w:val="1"/>
                <w:color w:val="auto"/>
              </w:rPr>
            </w:pPr>
          </w:p>
        </w:tc>
      </w:tr>
      <w:tr>
        <w:trPr>
          <w:trHeight w:val="155"/>
        </w:trPr>
        <w:tc>
          <w:tcPr>
            <w:tcW w:w="3940" w:type="dxa"/>
            <w:vAlign w:val="bottom"/>
            <w:tcBorders>
              <w:top w:val="single" w:sz="8" w:color="CCEEFF"/>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91,574</w:t>
            </w:r>
          </w:p>
        </w:tc>
        <w:tc>
          <w:tcPr>
            <w:tcW w:w="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121,577</w:t>
            </w:r>
          </w:p>
        </w:tc>
        <w:tc>
          <w:tcPr>
            <w:tcW w:w="10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tcPr>
          <w:p>
            <w:pPr>
              <w:spacing w:after="0"/>
              <w:rPr>
                <w:sz w:val="13"/>
                <w:szCs w:val="13"/>
                <w:color w:val="auto"/>
              </w:rPr>
            </w:pPr>
          </w:p>
        </w:tc>
        <w:tc>
          <w:tcPr>
            <w:tcW w:w="40" w:type="dxa"/>
            <w:vAlign w:val="bottom"/>
            <w:tcBorders>
              <w:top w:val="single" w:sz="8" w:color="CCEEFF"/>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tcPr>
          <w:p>
            <w:pPr>
              <w:spacing w:after="0"/>
              <w:rPr>
                <w:sz w:val="13"/>
                <w:szCs w:val="13"/>
                <w:color w:val="auto"/>
              </w:rPr>
            </w:pPr>
          </w:p>
        </w:tc>
        <w:tc>
          <w:tcPr>
            <w:tcW w:w="4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213,208</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536,620</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172,312</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45,579</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152,253</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259,360</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1,342,091</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2,508,215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4"/>
                <w:szCs w:val="14"/>
                <w:color w:val="auto"/>
              </w:rPr>
              <w:t>F-27</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4" w:right="3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Plant,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devices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telematics</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4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Land and Property</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jc w:val="right"/>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IT</w:t>
            </w:r>
          </w:p>
        </w:tc>
        <w:tc>
          <w:tcPr>
            <w:tcW w:w="9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Work-in-</w:t>
            </w:r>
          </w:p>
        </w:tc>
        <w:tc>
          <w:tcPr>
            <w:tcW w:w="90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devices –</w:t>
            </w:r>
          </w:p>
        </w:tc>
        <w:tc>
          <w:tcPr>
            <w:tcW w:w="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devices -</w:t>
            </w:r>
          </w:p>
        </w:tc>
        <w:tc>
          <w:tcPr>
            <w:tcW w:w="10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440" w:type="dxa"/>
            <w:vAlign w:val="bottom"/>
            <w:gridSpan w:val="3"/>
            <w:vMerge w:val="continue"/>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and vehicles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Uninstalled</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Installed</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line="214" w:lineRule="exact"/>
              <w:rPr>
                <w:sz w:val="20"/>
                <w:szCs w:val="20"/>
                <w:color w:val="auto"/>
              </w:rPr>
            </w:pPr>
            <w:r>
              <w:rPr>
                <w:rFonts w:ascii="Times New Roman" w:cs="Times New Roman" w:eastAsia="Times New Roman" w:hAnsi="Times New Roman"/>
                <w:sz w:val="14"/>
                <w:szCs w:val="14"/>
                <w:b w:val="1"/>
                <w:bCs w:val="1"/>
                <w:color w:val="auto"/>
                <w:w w:val="97"/>
              </w:rPr>
              <w:t>in progress</w:t>
            </w:r>
            <w:r>
              <w:rPr>
                <w:rFonts w:ascii="Times New Roman" w:cs="Times New Roman" w:eastAsia="Times New Roman" w:hAnsi="Times New Roman"/>
                <w:sz w:val="23"/>
                <w:szCs w:val="23"/>
                <w:b w:val="1"/>
                <w:bCs w:val="1"/>
                <w:color w:val="auto"/>
                <w:w w:val="97"/>
                <w:vertAlign w:val="superscript"/>
              </w:rPr>
              <w:t>1</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25"/>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assets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121,185</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29,476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64,171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202,425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104,951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875,661</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76,519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1,474,388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subsidiary</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512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8,823</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14,672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13,123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153,425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208,683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287,277</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190,351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876,354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Transfer between categories</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(225,339)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(101,722)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327,061</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(2,147)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(3,544)</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(5,942)</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(7,557)</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(10,977)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(35,441)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(475,536)</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(529,511)</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266</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1,038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3,627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21,331</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27,860</w:t>
            </w:r>
          </w:p>
        </w:tc>
        <w:tc>
          <w:tcPr>
            <w:tcW w:w="0" w:type="dxa"/>
            <w:vAlign w:val="bottom"/>
          </w:tcPr>
          <w:p>
            <w:pPr>
              <w:spacing w:after="0"/>
              <w:rPr>
                <w:sz w:val="1"/>
                <w:szCs w:val="1"/>
                <w:color w:val="auto"/>
              </w:rPr>
            </w:pPr>
          </w:p>
        </w:tc>
      </w:tr>
      <w:tr>
        <w:trPr>
          <w:trHeight w:val="155"/>
        </w:trPr>
        <w:tc>
          <w:tcPr>
            <w:tcW w:w="3480" w:type="dxa"/>
            <w:vAlign w:val="bottom"/>
            <w:tcBorders>
              <w:top w:val="single" w:sz="8" w:color="CCEEFF"/>
              <w:bottom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CCEEFF"/>
              <w:bottom w:val="single" w:sz="8" w:color="CCEEFF"/>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122,717</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34,470</w:t>
            </w:r>
          </w:p>
        </w:tc>
        <w:tc>
          <w:tcPr>
            <w:tcW w:w="200" w:type="dxa"/>
            <w:vAlign w:val="bottom"/>
            <w:tcBorders>
              <w:top w:val="single" w:sz="8" w:color="CCEEFF"/>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41,337</w:t>
            </w:r>
          </w:p>
        </w:tc>
        <w:tc>
          <w:tcPr>
            <w:tcW w:w="20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130,511</w:t>
            </w:r>
          </w:p>
        </w:tc>
        <w:tc>
          <w:tcPr>
            <w:tcW w:w="20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215,539</w:t>
            </w:r>
          </w:p>
        </w:tc>
        <w:tc>
          <w:tcPr>
            <w:tcW w:w="200" w:type="dxa"/>
            <w:vAlign w:val="bottom"/>
            <w:tcBorders>
              <w:top w:val="single" w:sz="8" w:color="CCEEFF"/>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1,032,250</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266,870</w:t>
            </w:r>
          </w:p>
        </w:tc>
        <w:tc>
          <w:tcPr>
            <w:tcW w:w="18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1,843,694</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Right-of-use assets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83,947</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33,155</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117,426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90,523</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64,529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(21,499)</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(8,092)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(29,591)</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(43,622)</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(14,282)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(1,245)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(59,149)</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3,743</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585</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80" w:type="dxa"/>
            <w:vAlign w:val="bottom"/>
            <w:tcBorders>
              <w:top w:val="single" w:sz="8" w:color="CCEEFF"/>
              <w:bottom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CCEEFF"/>
              <w:bottom w:val="single" w:sz="8" w:color="CCEEFF"/>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113,092</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75,895</w:t>
            </w:r>
          </w:p>
        </w:tc>
        <w:tc>
          <w:tcPr>
            <w:tcW w:w="200" w:type="dxa"/>
            <w:vAlign w:val="bottom"/>
            <w:tcBorders>
              <w:top w:val="single" w:sz="8" w:color="CCEEFF"/>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189,100</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235,809</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110,365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41,450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130,511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215,539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1,032,250</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266,870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260" w:hanging="254"/>
        <w:spacing w:after="0" w:line="196" w:lineRule="auto"/>
        <w:tabs>
          <w:tab w:leader="none" w:pos="260" w:val="left"/>
        </w:tabs>
        <w:numPr>
          <w:ilvl w:val="0"/>
          <w:numId w:val="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Certain freehold land and building of the Group with a carrying amount of ZAR 429.2 million (February 29, 2024: ZAR 376.9 million) were mortgaged to a bank as security for mortgaged loan (Note 15). The freehold land and building are for the new South African central office located at Rosebank, Johannesburg.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construction of South African central office was completed and transferred to land and property during the year ended February 2025.</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CAPITALIZED COMMISSION ASSETS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4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72"/>
        </w:trPr>
        <w:tc>
          <w:tcPr>
            <w:tcW w:w="8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905,380</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702,540</w:t>
            </w:r>
          </w:p>
        </w:tc>
      </w:t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amortization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(411,328)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(328,019)</w:t>
            </w:r>
          </w:p>
        </w:tc>
      </w:tr>
      <w:tr>
        <w:trPr>
          <w:trHeight w:val="195"/>
        </w:trPr>
        <w:tc>
          <w:tcPr>
            <w:tcW w:w="8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494,052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280"/>
          </w:cols>
          <w:pgMar w:left="300" w:top="724"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the carrying value of capitalized sales commissions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43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r>
      <w:tr>
        <w:trPr>
          <w:trHeight w:val="329"/>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374,521</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287,054</w:t>
            </w:r>
          </w:p>
        </w:tc>
        <w:tc>
          <w:tcPr>
            <w:tcW w:w="40" w:type="dxa"/>
            <w:vAlign w:val="bottom"/>
          </w:tcPr>
          <w:p>
            <w:pPr>
              <w:spacing w:after="0"/>
              <w:rPr>
                <w:sz w:val="24"/>
                <w:szCs w:val="24"/>
                <w:color w:val="auto"/>
              </w:rPr>
            </w:pPr>
          </w:p>
        </w:tc>
      </w:tr>
      <w:tr>
        <w:trPr>
          <w:trHeight w:val="172"/>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223,448</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163,716</w:t>
            </w:r>
          </w:p>
        </w:tc>
        <w:tc>
          <w:tcPr>
            <w:tcW w:w="40" w:type="dxa"/>
            <w:vAlign w:val="bottom"/>
          </w:tcPr>
          <w:p>
            <w:pPr>
              <w:spacing w:after="0"/>
              <w:rPr>
                <w:sz w:val="14"/>
                <w:szCs w:val="14"/>
                <w:color w:val="auto"/>
              </w:rPr>
            </w:pPr>
          </w:p>
        </w:tc>
      </w:tr>
      <w:tr>
        <w:trPr>
          <w:trHeight w:val="172"/>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(100,223)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(83,155)</w:t>
            </w:r>
          </w:p>
        </w:tc>
      </w:tr>
      <w:tr>
        <w:trPr>
          <w:trHeight w:val="199"/>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(3,694)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40" w:type="dxa"/>
            <w:vAlign w:val="bottom"/>
          </w:tcPr>
          <w:p>
            <w:pPr>
              <w:spacing w:after="0"/>
              <w:rPr>
                <w:sz w:val="17"/>
                <w:szCs w:val="17"/>
                <w:color w:val="auto"/>
              </w:rPr>
            </w:pPr>
          </w:p>
        </w:tc>
      </w:tr>
      <w:tr>
        <w:trPr>
          <w:trHeight w:val="195"/>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494,052</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374,521</w:t>
            </w:r>
          </w:p>
        </w:tc>
        <w:tc>
          <w:tcPr>
            <w:tcW w:w="4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7980" w:space="720"/>
            <w:col w:w="2580"/>
          </w:cols>
          <w:pgMar w:left="300" w:top="72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Group capitalizes sales commission costs arising from activated subscription contracts.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7. INTANGIBLE ASSETS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2870835"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2870835" cy="1333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amortization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Carrying value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r>
      <w:tr>
        <w:trPr>
          <w:trHeight w:val="501"/>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246,750</w:t>
            </w:r>
          </w:p>
        </w:tc>
        <w:tc>
          <w:tcPr>
            <w:tcW w:w="2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43,128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782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299,355</w:t>
            </w:r>
          </w:p>
        </w:tc>
        <w:tc>
          <w:tcPr>
            <w:tcW w:w="40" w:type="dxa"/>
            <w:vAlign w:val="bottom"/>
          </w:tcPr>
          <w:p>
            <w:pPr>
              <w:spacing w:after="0"/>
              <w:rPr>
                <w:sz w:val="24"/>
                <w:szCs w:val="24"/>
                <w:color w:val="auto"/>
              </w:rPr>
            </w:pPr>
          </w:p>
        </w:tc>
      </w:tr>
      <w:tr>
        <w:trPr>
          <w:trHeight w:val="197"/>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(173,786)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(33,809)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(7,925)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(216,302)</w:t>
            </w:r>
          </w:p>
        </w:tc>
      </w:tr>
      <w:tr>
        <w:trPr>
          <w:trHeight w:val="22"/>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72,964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9,319</w:t>
            </w:r>
          </w:p>
        </w:tc>
        <w:tc>
          <w:tcPr>
            <w:tcW w:w="2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83,053</w:t>
            </w:r>
          </w:p>
        </w:tc>
        <w:tc>
          <w:tcPr>
            <w:tcW w:w="40" w:type="dxa"/>
            <w:vAlign w:val="bottom"/>
          </w:tcPr>
          <w:p>
            <w:pPr>
              <w:spacing w:after="0"/>
              <w:rPr>
                <w:sz w:val="16"/>
                <w:szCs w:val="16"/>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200,994</w:t>
            </w:r>
          </w:p>
        </w:tc>
        <w:tc>
          <w:tcPr>
            <w:tcW w:w="2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36,937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247,507</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-720725</wp:posOffset>
            </wp:positionV>
            <wp:extent cx="7160260" cy="1092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-488950</wp:posOffset>
            </wp:positionV>
            <wp:extent cx="7160260" cy="143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60260" cy="14351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-216535</wp:posOffset>
            </wp:positionV>
            <wp:extent cx="7160260" cy="1092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20" w:space="720"/>
            <w:col w:w="6640"/>
          </w:cols>
          <w:pgMar w:left="300" w:top="724" w:right="319" w:bottom="1440" w:gutter="0" w:footer="0" w:header="0"/>
        </w:sectPr>
      </w:pPr>
    </w:p>
    <w:tbl>
      <w:tblPr>
        <w:tblLayout w:type="fixed"/>
        <w:tblInd w:w="0" w:type="dxa"/>
        <w:tblCellMar>
          <w:top w:w="0" w:type="dxa"/>
          <w:left w:w="0" w:type="dxa"/>
          <w:bottom w:w="0" w:type="dxa"/>
          <w:right w:w="0" w:type="dxa"/>
        </w:tblCellMar>
      </w:tblPr>
      <w:tr>
        <w:trPr>
          <w:trHeight w:val="16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amortization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(129,377)</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(28,164)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(6,091)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(164,384)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Carrying value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71,617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w:t>
            </w:r>
          </w:p>
        </w:tc>
        <w:tc>
          <w:tcPr>
            <w:tcW w:w="2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120"/>
        <w:spacing w:after="0" w:line="292" w:lineRule="auto"/>
        <w:rPr>
          <w:sz w:val="20"/>
          <w:szCs w:val="20"/>
          <w:color w:val="auto"/>
        </w:rPr>
      </w:pPr>
      <w:r>
        <w:rPr>
          <w:rFonts w:ascii="Times New Roman" w:cs="Times New Roman" w:eastAsia="Times New Roman" w:hAnsi="Times New Roman"/>
          <w:sz w:val="14"/>
          <w:szCs w:val="14"/>
          <w:color w:val="auto"/>
        </w:rPr>
        <w:t>Staff costs of ZAR 52.3 million (2024: ZAR 48.8 million) have been capitalized to product development costs with regard to the development of new generation telematics hardware and platform software which was deployed in the current financial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71,617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8,773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83,123</w:t>
            </w:r>
          </w:p>
        </w:tc>
        <w:tc>
          <w:tcPr>
            <w:tcW w:w="0" w:type="dxa"/>
            <w:vAlign w:val="bottom"/>
          </w:tcPr>
          <w:p>
            <w:pPr>
              <w:spacing w:after="0"/>
              <w:rPr>
                <w:sz w:val="1"/>
                <w:szCs w:val="1"/>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52,348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6,589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58,937</w:t>
            </w: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(48,274)</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(5,834)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(56,072)</w:t>
            </w:r>
          </w:p>
        </w:tc>
        <w:tc>
          <w:tcPr>
            <w:tcW w:w="0" w:type="dxa"/>
            <w:vAlign w:val="bottom"/>
          </w:tcPr>
          <w:p>
            <w:pPr>
              <w:spacing w:after="0"/>
              <w:rPr>
                <w:sz w:val="1"/>
                <w:szCs w:val="1"/>
                <w:color w:val="auto"/>
              </w:rPr>
            </w:pPr>
          </w:p>
        </w:tc>
      </w:tr>
      <w:tr>
        <w:trPr>
          <w:trHeight w:val="183"/>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(2,727)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(2,935)</w:t>
            </w:r>
          </w:p>
        </w:tc>
        <w:tc>
          <w:tcPr>
            <w:tcW w:w="0" w:type="dxa"/>
            <w:vAlign w:val="bottom"/>
          </w:tcPr>
          <w:p>
            <w:pPr>
              <w:spacing w:after="0"/>
              <w:rPr>
                <w:sz w:val="1"/>
                <w:szCs w:val="1"/>
                <w:color w:val="auto"/>
              </w:rPr>
            </w:pPr>
          </w:p>
        </w:tc>
      </w:tr>
      <w:tr>
        <w:trPr>
          <w:trHeight w:val="21"/>
        </w:trPr>
        <w:tc>
          <w:tcPr>
            <w:tcW w:w="4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gridSpan w:val="2"/>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72,964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83,053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68,301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13,758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3,192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85,642</w:t>
            </w: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subsidiary</w:t>
            </w:r>
          </w:p>
        </w:tc>
        <w:tc>
          <w:tcPr>
            <w:tcW w:w="9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2,310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48,792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2,422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51,214</w:t>
            </w: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(48,605)</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(7,717)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(2,899)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(59,482)</w:t>
            </w:r>
          </w:p>
        </w:tc>
        <w:tc>
          <w:tcPr>
            <w:tcW w:w="0" w:type="dxa"/>
            <w:vAlign w:val="bottom"/>
          </w:tcPr>
          <w:p>
            <w:pPr>
              <w:spacing w:after="0"/>
              <w:rPr>
                <w:sz w:val="1"/>
                <w:szCs w:val="1"/>
                <w:color w:val="auto"/>
              </w:rPr>
            </w:pPr>
          </w:p>
        </w:tc>
      </w:tr>
      <w:tr>
        <w:trPr>
          <w:trHeight w:val="183"/>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3,129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21"/>
        </w:trPr>
        <w:tc>
          <w:tcPr>
            <w:tcW w:w="4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gridSpan w:val="2"/>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71,617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8,773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83,123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is allocated to the following cash generating units (CGUs): Cartrack - Mozambique, Portugal, Spain, Karooooo Logistics and Other.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Karooooo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Mozambique</w:t>
            </w: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Portugal</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Spain</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 March 1, 2023</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82,277</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34,469</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24,432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12,989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58,314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212,481</w:t>
            </w:r>
          </w:p>
        </w:tc>
        <w:tc>
          <w:tcPr>
            <w:tcW w:w="0" w:type="dxa"/>
            <w:vAlign w:val="bottom"/>
          </w:tcPr>
          <w:p>
            <w:pPr>
              <w:spacing w:after="0"/>
              <w:rPr>
                <w:sz w:val="1"/>
                <w:szCs w:val="1"/>
                <w:color w:val="auto"/>
              </w:rPr>
            </w:pPr>
          </w:p>
        </w:tc>
      </w:tr>
      <w:tr>
        <w:trPr>
          <w:trHeight w:val="17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of subsidiary</w:t>
            </w: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6,223</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4,027</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2,346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8,676</w:t>
            </w:r>
          </w:p>
        </w:tc>
        <w:tc>
          <w:tcPr>
            <w:tcW w:w="0" w:type="dxa"/>
            <w:vAlign w:val="bottom"/>
          </w:tcPr>
          <w:p>
            <w:pPr>
              <w:spacing w:after="0"/>
              <w:rPr>
                <w:sz w:val="1"/>
                <w:szCs w:val="1"/>
                <w:color w:val="auto"/>
              </w:rPr>
            </w:pPr>
          </w:p>
        </w:tc>
      </w:tr>
      <w:tr>
        <w:trPr>
          <w:trHeight w:val="153"/>
        </w:trPr>
        <w:tc>
          <w:tcPr>
            <w:tcW w:w="352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At February 29, 2024</w:t>
            </w: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86,304</w:t>
            </w:r>
          </w:p>
        </w:tc>
        <w:tc>
          <w:tcPr>
            <w:tcW w:w="24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36,815</w:t>
            </w: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26,095</w:t>
            </w: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19,852</w:t>
            </w: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58,314</w:t>
            </w:r>
          </w:p>
        </w:tc>
        <w:tc>
          <w:tcPr>
            <w:tcW w:w="22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227,380</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(3,497)</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(2,705)</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(1,917)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(8,823)</w:t>
            </w:r>
          </w:p>
        </w:tc>
        <w:tc>
          <w:tcPr>
            <w:tcW w:w="0" w:type="dxa"/>
            <w:vAlign w:val="bottom"/>
          </w:tcPr>
          <w:p>
            <w:pPr>
              <w:spacing w:after="0"/>
              <w:rPr>
                <w:sz w:val="1"/>
                <w:szCs w:val="1"/>
                <w:color w:val="auto"/>
              </w:rPr>
            </w:pPr>
          </w:p>
        </w:tc>
      </w:tr>
      <w:tr>
        <w:trPr>
          <w:trHeight w:val="18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(43,600)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(43,600)</w:t>
            </w:r>
          </w:p>
        </w:tc>
        <w:tc>
          <w:tcPr>
            <w:tcW w:w="0" w:type="dxa"/>
            <w:vAlign w:val="bottom"/>
          </w:tcPr>
          <w:p>
            <w:pPr>
              <w:spacing w:after="0"/>
              <w:rPr>
                <w:sz w:val="1"/>
                <w:szCs w:val="1"/>
                <w:color w:val="auto"/>
              </w:rPr>
            </w:pPr>
          </w:p>
        </w:tc>
      </w:tr>
      <w:tr>
        <w:trPr>
          <w:trHeight w:val="21"/>
        </w:trPr>
        <w:tc>
          <w:tcPr>
            <w:tcW w:w="3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 February 28, 2025</w:t>
            </w: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20" w:type="dxa"/>
            <w:vAlign w:val="bottom"/>
            <w:gridSpan w:val="2"/>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39,207</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24,178</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19,148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58,314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174,957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"Other" component comprises more than 10 CGUs, none of which are individually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2025, the accumulated impairment related to the Mozambique CGU amounted to ZAR 43.6 million (2024: NIL).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testing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performs its annual impairment test at the end of each financial year, or more frequently if there are indications that goodwill may be impaired.</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 considers the relationship between its market capitalization and its equity attributable to equity holders of the parent, among other factors, when performing the annual test of impairment. At February 28, 2025, the market capitalization of the Group exceeded the value of equity by ZAR 25.8 billion (2024: ZAR 11.3 billion).</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Group determines the recoverable amount of each cash-generating units (CGU) based on the higher of its value in use calculations and fair value less costs of disposal. The recoverable amounts of Mozambique, Portugal, Spain and Karooooo Logistics were calculated by using discounted cash flow valuation technique, which requires the use of various estimates. Each of the cash flow projections are based on forecasts over a five-year period, which have been approved by senior management.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The key estimates used for the value in use calculations and sensitivity to changes in assumptions are as follows: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7"/>
        </w:trPr>
        <w:tc>
          <w:tcPr>
            <w:tcW w:w="7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Key estimates applied in value in use calculation</w:t>
            </w:r>
          </w:p>
        </w:tc>
        <w:tc>
          <w:tcPr>
            <w:tcW w:w="120" w:type="dxa"/>
            <w:vAlign w:val="bottom"/>
          </w:tcPr>
          <w:p>
            <w:pPr>
              <w:spacing w:after="0"/>
              <w:rPr>
                <w:sz w:val="16"/>
                <w:szCs w:val="16"/>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CGU</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growth rate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This is the average annual compound growth rate in revenue that is derived from</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Mozambique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management’s forecast and is based on external available information, such as GDP and</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industry growth rate within the region.</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Spain</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2"/>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Karooooo Logistics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7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The growth rate applied for revenue is considered to be the main driver of profitability</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hence free cash flow. CGUs are at different maturity levels in their business cycles</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hence will reflect considerably different growth rates. The various geographical</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markets the CGUs operate within also have differences in their economies which have</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been taken into consideration. The growth rate determined by management is based on</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historical data from both external and internal sources and is within the range of</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reported global telematics growth forecasts for the medium to long term and with</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assumptions that a market participant would make.</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3"/>
        </w:trPr>
        <w:tc>
          <w:tcPr>
            <w:tcW w:w="7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Terminal growth rate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estimated rate of growth after the five-year forecast period. This rate is informed</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Mozambique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primarily by external forecasts about economic activity by region. Changes in these rates</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are reflective of changes in market views on the economic growth in those regions.</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Spain</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Karooooo Logistics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rate reflects the specific risks relating to the country and industry in which the entity</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Mozambique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operates. These rates were determined using externally available information. The rates</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were determined using the Weighted Average Cost of Capital model. The rate is a pre-tax rate.</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Spain</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2"/>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Karooooo Logistics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3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For Spain, Portugal and Karooooo Logistics, the Group has applied a 50 basis point (2024: 50 basis point) increase and decrease to the revenue growth rates, terminal growth rates and discount rates used in the impairment testing. The sensitivity test does not result in impairment.</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 ended February 28, 2025, the operating environment in Mozambique is impacted by ongoing political and economic instability, which has introduced significant uncertainty regarding the near-to medium-term outlook for the country. The continued country-specific uncertainty has made the operating environment challenging. As a result, the Group recognized goodwill impairment relating to the Mozambique CGU amount of ZAR 43.6 million in the financial year ended February 28, 2025. The recoverable amount of the Mozambique CGU was determined to be ZAR 47.3 million based on value in use.</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For the year ended 2024, for Mozambique, the Group has engaged an external valuer to determine the fair value less cost of disposal of the CGU using market approach, by applying price-to-value metrics observed in comparable companies to the CGU. The key estimates used for the fair value less costs of disposal calculations are earnings multiples. The market approach is based on the premise that the companies with similar business models and economic fundamentals would likely sell for similar prices. Comparable companies, which are typically listed companies trading in the same sector as the entity, would be identified and price-to-value metrics for these companies would be calculated. The Group has considered EV/EBITDA multiple as the most appropriate metric to determine the fair value less cost of disposal of this CGU. The EV/EBITDA multiples for the financial year 2024 were 6.8x.</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Other CGUs are valued on an earnings multiple basis. The key estimates used for the fair value less costs of disposal calculations are earnings multiples. The market approach is based on the premise that the companies with similar business models and economic fundamentals would likely sell for similar prices. Comparable companies, which are typically listed companies trading in the same sector as the entity, was identified and price-to-value metrics for these companies were calculated. The Group has considered EV/EBITDA multiple as the most appropriate metric to determine the fair value less cost of disposal of these CGUs.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8"/>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9. DEFERRED TAX</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8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8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(95,892)</w:t>
            </w:r>
          </w:p>
        </w:tc>
        <w:tc>
          <w:tcPr>
            <w:tcW w:w="12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(69,840)</w:t>
            </w:r>
          </w:p>
        </w:tc>
        <w:tc>
          <w:tcPr>
            <w:tcW w:w="0" w:type="dxa"/>
            <w:vAlign w:val="bottom"/>
          </w:tcPr>
          <w:p>
            <w:pPr>
              <w:spacing w:after="0"/>
              <w:rPr>
                <w:sz w:val="1"/>
                <w:szCs w:val="1"/>
                <w:color w:val="auto"/>
              </w:rPr>
            </w:pPr>
          </w:p>
        </w:tc>
      </w:tr>
      <w:tr>
        <w:trPr>
          <w:trHeight w:val="154"/>
        </w:trPr>
        <w:tc>
          <w:tcPr>
            <w:tcW w:w="73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300" w:type="dxa"/>
            <w:vAlign w:val="bottom"/>
            <w:gridSpan w:val="2"/>
          </w:tcPr>
          <w:p>
            <w:pPr>
              <w:jc w:val="right"/>
              <w:ind w:right="220"/>
              <w:spacing w:after="0" w:line="154" w:lineRule="exact"/>
              <w:rPr>
                <w:sz w:val="20"/>
                <w:szCs w:val="20"/>
                <w:color w:val="auto"/>
              </w:rPr>
            </w:pPr>
            <w:r>
              <w:rPr>
                <w:rFonts w:ascii="Times New Roman" w:cs="Times New Roman" w:eastAsia="Times New Roman" w:hAnsi="Times New Roman"/>
                <w:sz w:val="14"/>
                <w:szCs w:val="14"/>
                <w:color w:val="auto"/>
              </w:rPr>
              <w:t>71,397</w:t>
            </w:r>
          </w:p>
        </w:tc>
        <w:tc>
          <w:tcPr>
            <w:tcW w:w="11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63,934</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and capitalized commission assets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(207,029)</w:t>
            </w:r>
          </w:p>
        </w:tc>
        <w:tc>
          <w:tcPr>
            <w:tcW w:w="12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(158,592)</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obligations</w:t>
            </w:r>
          </w:p>
        </w:tc>
        <w:tc>
          <w:tcPr>
            <w:tcW w:w="1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(3,385)</w:t>
            </w:r>
          </w:p>
        </w:tc>
        <w:tc>
          <w:tcPr>
            <w:tcW w:w="12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(2,411)</w:t>
            </w: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ECL provision on trade receivables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22,209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right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20,916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121,749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81,903</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and capitalized commission assets</w:t>
            </w:r>
          </w:p>
        </w:tc>
        <w:tc>
          <w:tcPr>
            <w:tcW w:w="1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61,767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41,842</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losses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27,287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15,186</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obligations</w:t>
            </w:r>
          </w:p>
        </w:tc>
        <w:tc>
          <w:tcPr>
            <w:tcW w:w="1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ECL provision on trade receivables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6,504</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right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12,305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9,504</w:t>
            </w:r>
          </w:p>
        </w:tc>
        <w:tc>
          <w:tcPr>
            <w:tcW w:w="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net deferred tax assets</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25,857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7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right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of deferred tax assets/(liabilities)</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9,025</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deferred revenue temporary differences</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ECL provision on trade receivables temporary differences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w:t>
            </w:r>
          </w:p>
        </w:tc>
        <w:tc>
          <w:tcPr>
            <w:tcW w:w="2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Increase in property, plant and equipment and capitalized commission assets temporary differences</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(30,015)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tax losses temporary differences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12,939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(Decrease) in lease obligation temporary differences</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(7,120)</w:t>
            </w: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other temporary differences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14,362</w:t>
            </w: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(3,051)</w:t>
            </w:r>
          </w:p>
        </w:tc>
        <w:tc>
          <w:tcPr>
            <w:tcW w:w="0" w:type="dxa"/>
            <w:vAlign w:val="bottom"/>
          </w:tcPr>
          <w:p>
            <w:pPr>
              <w:spacing w:after="0"/>
              <w:rPr>
                <w:sz w:val="1"/>
                <w:szCs w:val="1"/>
                <w:color w:val="auto"/>
              </w:rPr>
            </w:pPr>
          </w:p>
        </w:tc>
      </w:tr>
      <w:tr>
        <w:trPr>
          <w:trHeight w:val="183"/>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(2,650)</w:t>
            </w:r>
          </w:p>
        </w:tc>
        <w:tc>
          <w:tcPr>
            <w:tcW w:w="0" w:type="dxa"/>
            <w:vAlign w:val="bottom"/>
          </w:tcPr>
          <w:p>
            <w:pPr>
              <w:spacing w:after="0"/>
              <w:rPr>
                <w:sz w:val="1"/>
                <w:szCs w:val="1"/>
                <w:color w:val="auto"/>
              </w:rPr>
            </w:pPr>
          </w:p>
        </w:tc>
      </w:tr>
      <w:tr>
        <w:trPr>
          <w:trHeight w:val="21"/>
        </w:trPr>
        <w:tc>
          <w:tcPr>
            <w:tcW w:w="7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60" w:type="dxa"/>
            <w:vAlign w:val="bottom"/>
            <w:gridSpan w:val="2"/>
            <w:vMerge w:val="continue"/>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25,857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 of deferred tax balances</w:t>
            </w:r>
          </w:p>
        </w:tc>
        <w:tc>
          <w:tcPr>
            <w:tcW w:w="1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12,063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to statements of profit and loss</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Borders>
              <w:right w:val="single" w:sz="8" w:color="CCEEFF"/>
            </w:tcBorders>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12,904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Others</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1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20" w:type="dxa"/>
            <w:vAlign w:val="bottom"/>
            <w:shd w:val="clear" w:color="auto" w:fill="CCEEFF"/>
          </w:tcPr>
          <w:p>
            <w:pPr>
              <w:spacing w:after="0"/>
              <w:rPr>
                <w:sz w:val="15"/>
                <w:szCs w:val="15"/>
                <w:color w:val="auto"/>
              </w:rPr>
            </w:pP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(3,594)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25,857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deferred tax assets</w:t>
      </w:r>
    </w:p>
    <w:p>
      <w:pPr>
        <w:spacing w:after="0" w:line="18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4"/>
          <w:szCs w:val="14"/>
          <w:color w:val="auto"/>
        </w:rPr>
        <w:t>The Group has not recognized deferred tax assets relating to available tax losses in start-up subsidiaries where the probability of future taxable income is uncertain. These potential deferred tax assets will be recognized and utilized in future periods as and when they meet the recognition criteria. The tax losses available from these subsidiaries are ZAR 138.1 million (2024: ZAR 113.1 million). None of the tax losses expire in terms of local tax legislation.</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deferred tax liabilities</w:t>
      </w:r>
    </w:p>
    <w:p>
      <w:pPr>
        <w:spacing w:after="0" w:line="187"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4"/>
          <w:szCs w:val="14"/>
          <w:color w:val="auto"/>
        </w:rPr>
        <w:t>No deferred tax liability is recognized on temporary differences of ZAR 1,676.8 million (2024: ZAR 1,131.1 million) relating to the unremitted earnings of overseas subsidiaries as the Group is able to control the timings of the reversal of these temporary differences and it is probable that they will not reverse in the foreseeable future.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INVENTORIES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4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consumables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inventories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6,582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Inventories recognized as an expense in cost of revenue is ZAR 2.1 million (2024: ZAR 267.3 million, 2023: ZAR 218.8 million).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87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11. TRADE AND OTHER RECEIVABLES AND PREPAYMENTS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4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amounts due from related parties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672,370</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554,107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credit loss provision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(210,906)</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(165,240)</w:t>
            </w:r>
          </w:p>
        </w:tc>
        <w:tc>
          <w:tcPr>
            <w:tcW w:w="0" w:type="dxa"/>
            <w:vAlign w:val="bottom"/>
          </w:tcPr>
          <w:p>
            <w:pPr>
              <w:spacing w:after="0"/>
              <w:rPr>
                <w:sz w:val="1"/>
                <w:szCs w:val="1"/>
                <w:color w:val="auto"/>
              </w:rPr>
            </w:pPr>
          </w:p>
        </w:tc>
      </w:tr>
      <w:tr>
        <w:trPr>
          <w:trHeight w:val="153"/>
        </w:trPr>
        <w:tc>
          <w:tcPr>
            <w:tcW w:w="85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461,833</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388,867</w:t>
            </w: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receivables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Non-trade amounts due from related parties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24,631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500,646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Sundry debtors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38,661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17,326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5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538,186</w:t>
            </w: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931,495</w:t>
            </w: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700" w:type="dxa"/>
            <w:vAlign w:val="bottom"/>
            <w:gridSpan w:val="2"/>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Prepayments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63,726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55,778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taxes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trade and other receivables and prepayments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609,090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1,004,229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11,629</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18,831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597,461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609,090</w:t>
            </w:r>
          </w:p>
        </w:tc>
        <w:tc>
          <w:tcPr>
            <w:tcW w:w="22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1,004,229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During the year ended February 28, 2024, the Group had short term bank deposits included in total deposits, amounting to ZAR 485.7 million are placed with a licensed bank for a term of 5 to 9 months and earns interests at the bank’s prevailing deposit rate. There were no bank fixed deposits with maturity dates longer than 3 months as at February 28, 2025.</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During the year ended February 28, 2023, the Group entered into a finance leasing arrangement as a lessor for a machinery to a third party. The average term of finance leases entered into is five years. The following table shows the maturity analysis of the undiscounted lease payments to be received:</w:t>
      </w:r>
    </w:p>
    <w:p>
      <w:pPr>
        <w:sectPr>
          <w:pgSz w:w="11900" w:h="16838" w:orient="portrait"/>
          <w:cols w:equalWidth="0" w:num="1">
            <w:col w:w="11280"/>
          </w:cols>
          <w:pgMar w:left="300" w:top="722" w:right="31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Maturities analysis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within one 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within two to four years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 value of lease payments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3"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4,438</w:t>
            </w:r>
          </w:p>
        </w:tc>
      </w:tr>
      <w:tr>
        <w:trPr>
          <w:trHeight w:val="188"/>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12,888</w:t>
            </w:r>
          </w:p>
        </w:tc>
      </w:tr>
      <w:tr>
        <w:trPr>
          <w:trHeight w:val="195"/>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12,888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17,326</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-5520055</wp:posOffset>
            </wp:positionH>
            <wp:positionV relativeFrom="paragraph">
              <wp:posOffset>-394970</wp:posOffset>
            </wp:positionV>
            <wp:extent cx="7160260" cy="1092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-163195</wp:posOffset>
            </wp:positionV>
            <wp:extent cx="7160260" cy="143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7980" w:space="720"/>
            <w:col w:w="2580"/>
          </w:cols>
          <w:pgMar w:left="300" w:top="722"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12,888</w:t>
            </w:r>
          </w:p>
        </w:tc>
      </w:tr>
      <w:tr>
        <w:trPr>
          <w:trHeight w:val="184"/>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Current asset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4,438</w:t>
            </w:r>
          </w:p>
        </w:tc>
        <w:tc>
          <w:tcPr>
            <w:tcW w:w="100" w:type="dxa"/>
            <w:vAlign w:val="bottom"/>
            <w:tcBorders>
              <w:bottom w:val="single" w:sz="8" w:color="CCEEFF"/>
            </w:tcBorders>
          </w:tcPr>
          <w:p>
            <w:pPr>
              <w:spacing w:after="0"/>
              <w:rPr>
                <w:sz w:val="16"/>
                <w:szCs w:val="16"/>
                <w:color w:val="auto"/>
              </w:rPr>
            </w:pPr>
          </w:p>
        </w:tc>
      </w:tr>
      <w:tr>
        <w:trPr>
          <w:trHeight w:val="195"/>
        </w:trPr>
        <w:tc>
          <w:tcPr>
            <w:tcW w:w="87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17,326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Group recognizes a loss allowance for expected credit losses on financial assets that are measured at amortized cost. The determination of the expected credit loss provision is calculated on a basis specific to each customer grouping and jurisdiction in which the Group operates and requires the use of estimates. Additional information regarding credit risk applicable to trade receivables is disclosed in Note 29.2 (a).</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type w:val="continuous"/>
        </w:sectPr>
      </w:pPr>
    </w:p>
    <w:bookmarkStart w:id="142" w:name="page143"/>
    <w:bookmarkEnd w:id="142"/>
    <w:p>
      <w:pPr>
        <w:spacing w:after="0" w:line="292" w:lineRule="auto"/>
        <w:rPr>
          <w:sz w:val="20"/>
          <w:szCs w:val="20"/>
          <w:color w:val="auto"/>
        </w:rPr>
      </w:pPr>
      <w:r>
        <w:rPr>
          <w:rFonts w:ascii="Times New Roman" w:cs="Times New Roman" w:eastAsia="Times New Roman" w:hAnsi="Times New Roman"/>
          <w:sz w:val="14"/>
          <w:szCs w:val="14"/>
          <w:color w:val="auto"/>
        </w:rPr>
        <w:t>The Group has recognized a loss allowance of 100% (2024: 100%) against aged receivables, and debts are considered aged and not recoverable when they typically reach 360 or 450 days, depending on respective entities’ historical experiences. The method in providing for expected credit losses is consistent with prior years.</w:t>
      </w:r>
    </w:p>
    <w:p>
      <w:pPr>
        <w:sectPr>
          <w:pgSz w:w="11900" w:h="16838" w:orient="portrait"/>
          <w:cols w:equalWidth="0" w:num="1">
            <w:col w:w="11280"/>
          </w:cols>
          <w:pgMar w:left="300" w:top="726" w:right="31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average credit period extended to customers is 30 days (2024: 30 days). No interest is charged on outstanding trade receivables.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quality of trade and other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credit quality of trade and other receivables is on Note 29.2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the expected credit loss provision recognized with regard to trade and other receivables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Allowance for expected credit losses, net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43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LOANS TO/(FROM) RELATED PARTIES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Non-current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to a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43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160260" cy="1092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from a related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3"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(165,240)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(149,541)</w:t>
            </w:r>
          </w:p>
        </w:tc>
      </w:tr>
      <w:tr>
        <w:trPr>
          <w:trHeight w:val="172"/>
        </w:trPr>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(114,555)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(109,422)</w:t>
            </w:r>
          </w:p>
        </w:tc>
      </w:tr>
      <w:tr>
        <w:trPr>
          <w:trHeight w:val="183"/>
        </w:trPr>
        <w:tc>
          <w:tcPr>
            <w:tcW w:w="1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67,292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90,538</w:t>
            </w:r>
          </w:p>
        </w:tc>
        <w:tc>
          <w:tcPr>
            <w:tcW w:w="40" w:type="dxa"/>
            <w:vAlign w:val="bottom"/>
          </w:tcPr>
          <w:p>
            <w:pPr>
              <w:spacing w:after="0"/>
              <w:rPr>
                <w:sz w:val="15"/>
                <w:szCs w:val="15"/>
                <w:color w:val="auto"/>
              </w:rPr>
            </w:pPr>
          </w:p>
        </w:tc>
      </w:tr>
      <w:tr>
        <w:trPr>
          <w:trHeight w:val="188"/>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40" w:type="dxa"/>
            <w:vAlign w:val="bottom"/>
          </w:tcPr>
          <w:p>
            <w:pPr>
              <w:spacing w:after="0"/>
              <w:rPr>
                <w:sz w:val="16"/>
                <w:szCs w:val="16"/>
                <w:color w:val="auto"/>
              </w:rPr>
            </w:pPr>
          </w:p>
        </w:tc>
      </w:tr>
      <w:tr>
        <w:trPr>
          <w:trHeight w:val="195"/>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(210,906</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(165,240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3"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390" w:lineRule="exact"/>
        <w:rPr>
          <w:sz w:val="20"/>
          <w:szCs w:val="20"/>
          <w:color w:val="auto"/>
        </w:rPr>
      </w:pPr>
    </w:p>
    <w:p>
      <w:pPr>
        <w:ind w:left="740"/>
        <w:spacing w:after="0"/>
        <w:tabs>
          <w:tab w:leader="none" w:pos="2060" w:val="left"/>
        </w:tabs>
        <w:rPr>
          <w:sz w:val="20"/>
          <w:szCs w:val="20"/>
          <w:color w:val="auto"/>
        </w:rPr>
      </w:pPr>
      <w:r>
        <w:rPr>
          <w:rFonts w:ascii="Times New Roman" w:cs="Times New Roman" w:eastAsia="Times New Roman" w:hAnsi="Times New Roman"/>
          <w:sz w:val="14"/>
          <w:szCs w:val="14"/>
          <w:color w:val="auto"/>
        </w:rPr>
        <w:t>28,700</w:t>
      </w:r>
      <w:r>
        <w:rPr>
          <w:sz w:val="20"/>
          <w:szCs w:val="20"/>
          <w:color w:val="auto"/>
        </w:rPr>
        <w:tab/>
      </w:r>
      <w:r>
        <w:rPr>
          <w:rFonts w:ascii="Times New Roman" w:cs="Times New Roman" w:eastAsia="Times New Roman" w:hAnsi="Times New Roman"/>
          <w:sz w:val="14"/>
          <w:szCs w:val="14"/>
          <w:color w:val="auto"/>
        </w:rPr>
        <w:t>28,200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156845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ind w:right="60"/>
        <w:spacing w:after="0"/>
        <w:tabs>
          <w:tab w:leader="none" w:pos="280" w:val="left"/>
        </w:tabs>
        <w:rPr>
          <w:sz w:val="20"/>
          <w:szCs w:val="20"/>
          <w:color w:val="auto"/>
        </w:rPr>
      </w:pPr>
      <w:r>
        <w:rPr>
          <w:rFonts w:ascii="Times New Roman" w:cs="Times New Roman" w:eastAsia="Times New Roman" w:hAnsi="Times New Roman"/>
          <w:sz w:val="14"/>
          <w:szCs w:val="14"/>
          <w:color w:val="auto"/>
        </w:rPr>
        <w:t>(138)</w:t>
      </w:r>
      <w:r>
        <w:rPr>
          <w:sz w:val="20"/>
          <w:szCs w:val="20"/>
          <w:color w:val="auto"/>
        </w:rPr>
        <w:tab/>
      </w:r>
      <w:r>
        <w:rPr>
          <w:rFonts w:ascii="Times New Roman" w:cs="Times New Roman" w:eastAsia="Times New Roman" w:hAnsi="Times New Roman"/>
          <w:sz w:val="13"/>
          <w:szCs w:val="13"/>
          <w:color w:val="auto"/>
        </w:rPr>
        <w:t>(924)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15684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156845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80" w:space="720"/>
            <w:col w:w="2580"/>
          </w:cols>
          <w:pgMar w:left="300" w:top="726" w:right="31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party loans are unsecured, bear no interest and have no fixed terms of repayment. The fair value of these financial instruments approximates the carrying amount.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13. CASH AND CASH EQUIVALENTS AND BANK OVERDRAFT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Bank balances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Short-term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225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9" w:lineRule="exact"/>
        <w:rPr>
          <w:sz w:val="20"/>
          <w:szCs w:val="20"/>
          <w:color w:val="auto"/>
        </w:rPr>
      </w:pPr>
    </w:p>
    <w:p>
      <w:pPr>
        <w:ind w:right="4100"/>
        <w:spacing w:after="0" w:line="272" w:lineRule="auto"/>
        <w:rPr>
          <w:sz w:val="20"/>
          <w:szCs w:val="20"/>
          <w:color w:val="auto"/>
        </w:rPr>
      </w:pPr>
      <w:r>
        <w:rPr>
          <w:rFonts w:ascii="Times New Roman" w:cs="Times New Roman" w:eastAsia="Times New Roman" w:hAnsi="Times New Roman"/>
          <w:sz w:val="14"/>
          <w:szCs w:val="14"/>
          <w:color w:val="auto"/>
        </w:rPr>
        <w:t>Cash and cash equivalents in the consolidated statement of financial position Bank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60260" cy="1225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Cash and cash equivalents in the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60260" cy="1295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225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cash flow management is included in Note 29.2 (b). Refer to Note 33 for information on the various facilities available to the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SHARE CAPITAL AND TREASURY SHARES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3"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56845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40" w:type="dxa"/>
            <w:vAlign w:val="bottom"/>
          </w:tcPr>
          <w:p>
            <w:pPr>
              <w:spacing w:after="0"/>
              <w:rPr>
                <w:sz w:val="14"/>
                <w:szCs w:val="14"/>
                <w:color w:val="auto"/>
              </w:rPr>
            </w:pPr>
          </w:p>
        </w:tc>
      </w:tr>
      <w:tr>
        <w:trPr>
          <w:trHeight w:val="183"/>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208,971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457,366</w:t>
            </w:r>
          </w:p>
        </w:tc>
        <w:tc>
          <w:tcPr>
            <w:tcW w:w="40" w:type="dxa"/>
            <w:vAlign w:val="bottom"/>
          </w:tcPr>
          <w:p>
            <w:pPr>
              <w:spacing w:after="0"/>
              <w:rPr>
                <w:sz w:val="15"/>
                <w:szCs w:val="15"/>
                <w:color w:val="auto"/>
              </w:rPr>
            </w:pPr>
          </w:p>
        </w:tc>
      </w:tr>
      <w:tr>
        <w:trPr>
          <w:trHeight w:val="188"/>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829,857</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40" w:type="dxa"/>
            <w:vAlign w:val="bottom"/>
          </w:tcPr>
          <w:p>
            <w:pPr>
              <w:spacing w:after="0"/>
              <w:rPr>
                <w:sz w:val="16"/>
                <w:szCs w:val="16"/>
                <w:color w:val="auto"/>
              </w:rPr>
            </w:pPr>
          </w:p>
        </w:tc>
      </w:tr>
      <w:tr>
        <w:trPr>
          <w:trHeight w:val="157"/>
        </w:trPr>
        <w:tc>
          <w:tcPr>
            <w:tcW w:w="11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1,042,882</w:t>
            </w:r>
          </w:p>
        </w:tc>
        <w:tc>
          <w:tcPr>
            <w:tcW w:w="22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459,527</w:t>
            </w:r>
          </w:p>
        </w:tc>
        <w:tc>
          <w:tcPr>
            <w:tcW w:w="40" w:type="dxa"/>
            <w:vAlign w:val="bottom"/>
          </w:tcPr>
          <w:p>
            <w:pPr>
              <w:spacing w:after="0"/>
              <w:rPr>
                <w:sz w:val="13"/>
                <w:szCs w:val="13"/>
                <w:color w:val="auto"/>
              </w:rPr>
            </w:pPr>
          </w:p>
        </w:tc>
      </w:tr>
      <w:tr>
        <w:trPr>
          <w:trHeight w:val="199"/>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(205,299)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(23,362)</w:t>
            </w:r>
          </w:p>
        </w:tc>
      </w:tr>
      <w:tr>
        <w:trPr>
          <w:trHeight w:val="195"/>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837,583</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436,165</w:t>
            </w:r>
          </w:p>
        </w:tc>
        <w:tc>
          <w:tcPr>
            <w:tcW w:w="4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1"/>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1,042,882</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459,527</w:t>
            </w:r>
          </w:p>
        </w:tc>
        <w:tc>
          <w:tcPr>
            <w:tcW w:w="40" w:type="dxa"/>
            <w:vAlign w:val="bottom"/>
          </w:tcPr>
          <w:p>
            <w:pPr>
              <w:spacing w:after="0"/>
              <w:rPr>
                <w:sz w:val="24"/>
                <w:szCs w:val="24"/>
                <w:color w:val="auto"/>
              </w:rPr>
            </w:pPr>
          </w:p>
        </w:tc>
      </w:tr>
      <w:tr>
        <w:trPr>
          <w:trHeight w:val="199"/>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(205,299)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(23,362)</w:t>
            </w:r>
          </w:p>
        </w:tc>
      </w:tr>
      <w:tr>
        <w:trPr>
          <w:trHeight w:val="195"/>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837,583</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436,165</w:t>
            </w:r>
          </w:p>
        </w:tc>
        <w:tc>
          <w:tcPr>
            <w:tcW w:w="4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7" w:lineRule="exact"/>
        <w:rPr>
          <w:sz w:val="20"/>
          <w:szCs w:val="20"/>
          <w:color w:val="auto"/>
        </w:rPr>
      </w:pPr>
    </w:p>
    <w:p>
      <w:pPr>
        <w:sectPr>
          <w:pgSz w:w="11900" w:h="16838" w:orient="portrait"/>
          <w:cols w:equalWidth="0" w:num="2">
            <w:col w:w="8500" w:space="200"/>
            <w:col w:w="2580"/>
          </w:cols>
          <w:pgMar w:left="300" w:top="724" w:right="319" w:bottom="1440" w:gutter="0" w:footer="0" w:header="0"/>
        </w:sectPr>
      </w:pPr>
    </w:p>
    <w:tbl>
      <w:tblPr>
        <w:tblLayout w:type="fixed"/>
        <w:tblInd w:w="0" w:type="dxa"/>
        <w:tblCellMar>
          <w:top w:w="0" w:type="dxa"/>
          <w:left w:w="0" w:type="dxa"/>
          <w:bottom w:w="0" w:type="dxa"/>
          <w:right w:w="0" w:type="dxa"/>
        </w:tblCellMar>
      </w:tblPr>
      <w:tr>
        <w:trPr>
          <w:trHeight w:val="186"/>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3"/>
        </w:trPr>
        <w:tc>
          <w:tcPr>
            <w:tcW w:w="90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Share Capital</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9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Issued and fully paid 30,893,300 (2024: 30,951,106) ordinary shares of no par value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80" w:type="dxa"/>
            <w:vAlign w:val="bottom"/>
            <w:shd w:val="clear" w:color="auto" w:fill="CCEEFF"/>
          </w:tcPr>
          <w:p>
            <w:pPr>
              <w:spacing w:after="0"/>
              <w:rPr>
                <w:sz w:val="17"/>
                <w:szCs w:val="17"/>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335"/>
        </w:trPr>
        <w:tc>
          <w:tcPr>
            <w:tcW w:w="9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holder of ordinary shares is entitled to receive dividends as declared from time to time, and is entitled to one vote per share at meetings of the Company.</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7"/>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3"/>
        </w:trPr>
        <w:tc>
          <w:tcPr>
            <w:tcW w:w="90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Treasury shares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2"/>
        </w:trPr>
        <w:tc>
          <w:tcPr>
            <w:tcW w:w="9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(23,816)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r>
      <w:tr>
        <w:trPr>
          <w:trHeight w:val="172"/>
        </w:trPr>
        <w:tc>
          <w:tcPr>
            <w:tcW w:w="9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Treasury shares purchased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(3,461)</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(23,816)</w:t>
            </w:r>
          </w:p>
        </w:tc>
      </w:tr>
      <w:tr>
        <w:trPr>
          <w:trHeight w:val="203"/>
        </w:trPr>
        <w:tc>
          <w:tcPr>
            <w:tcW w:w="9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shares cancelled</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27,277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r>
      <w:tr>
        <w:trPr>
          <w:trHeight w:val="176"/>
        </w:trPr>
        <w:tc>
          <w:tcPr>
            <w:tcW w:w="87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(23,816</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2024, the Company acquired 51,106 shares in the open market, of which 14,637 shares are held in trust by Cartrack Holdings Proprietary Ltd. The total amount paid to acquire the shares was ZAR 23.8 million and this was presented as a component within shareholder’s equity. These shares were cancelled with effect on May 24, 2024.</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During the year ended February 28, 2025, the Company acquired 6,700 shares in the open market. The total amount paid to acquire the shares was ZAR 3.5 million and this was presented as a component within shareholder’s equity. These shares were cancelled with effect on June 17, 2024.</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88"/>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15. TERM LOANS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vMerge w:val="restart"/>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84"/>
        </w:trPr>
        <w:tc>
          <w:tcPr>
            <w:tcW w:w="4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4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Mortgaged bonds</w:t>
            </w:r>
          </w:p>
        </w:tc>
        <w:tc>
          <w:tcPr>
            <w:tcW w:w="1140" w:type="dxa"/>
            <w:vAlign w:val="bottom"/>
            <w:gridSpan w:val="2"/>
            <w:shd w:val="clear" w:color="auto" w:fill="CCEEFF"/>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15(a)</w:t>
            </w:r>
          </w:p>
        </w:tc>
        <w:tc>
          <w:tcPr>
            <w:tcW w:w="114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9"/>
              </w:rPr>
              <w:t>ZAR</w:t>
            </w:r>
          </w:p>
        </w:tc>
        <w:tc>
          <w:tcPr>
            <w:tcW w:w="114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Prime rate less</w:t>
            </w:r>
          </w:p>
        </w:tc>
        <w:tc>
          <w:tcPr>
            <w:tcW w:w="112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December 2025</w:t>
            </w: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41,645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6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Interest-bearing loan</w:t>
            </w:r>
          </w:p>
        </w:tc>
        <w:tc>
          <w:tcPr>
            <w:tcW w:w="114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15(c)</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9"/>
              </w:rPr>
              <w:t>EUR</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6-month Euribor</w:t>
            </w:r>
          </w:p>
        </w:tc>
        <w:tc>
          <w:tcPr>
            <w:tcW w:w="112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September 2031</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rate plus 0.75%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31,640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Mortgaged bonds</w:t>
            </w:r>
          </w:p>
        </w:tc>
        <w:tc>
          <w:tcPr>
            <w:tcW w:w="114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15(a)</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9"/>
              </w:rPr>
              <w:t>ZAR</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Prime rate less</w:t>
            </w:r>
          </w:p>
        </w:tc>
        <w:tc>
          <w:tcPr>
            <w:tcW w:w="112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December 2025</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41,182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64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Interest-bearing loan</w:t>
            </w:r>
          </w:p>
        </w:tc>
        <w:tc>
          <w:tcPr>
            <w:tcW w:w="114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15(b)</w:t>
            </w:r>
          </w:p>
        </w:tc>
        <w:tc>
          <w:tcPr>
            <w:tcW w:w="114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9"/>
              </w:rPr>
              <w:t>ZAR</w:t>
            </w:r>
          </w:p>
        </w:tc>
        <w:tc>
          <w:tcPr>
            <w:tcW w:w="114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Prime rate less</w:t>
            </w:r>
          </w:p>
        </w:tc>
        <w:tc>
          <w:tcPr>
            <w:tcW w:w="112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December 2025</w:t>
            </w: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237,190</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6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Interest-bearing loan</w:t>
            </w:r>
          </w:p>
        </w:tc>
        <w:tc>
          <w:tcPr>
            <w:tcW w:w="114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color w:val="auto"/>
              </w:rPr>
              <w:t>15(c)</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9"/>
              </w:rPr>
              <w:t>EUR</w:t>
            </w:r>
          </w:p>
        </w:tc>
        <w:tc>
          <w:tcPr>
            <w:tcW w:w="11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6-month Euribor</w:t>
            </w:r>
          </w:p>
        </w:tc>
        <w:tc>
          <w:tcPr>
            <w:tcW w:w="112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September 2031</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rate plus 0.75%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4,941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283,313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term loans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314,953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48,179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260" w:hanging="254"/>
        <w:spacing w:after="0" w:line="265" w:lineRule="auto"/>
        <w:tabs>
          <w:tab w:leader="none" w:pos="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mortgage bond of ZAR 65 million is registered in favor of First Rand Bank Limited over the remaining extent of Erf 160, Rosebank and Portion 6 of Erf 161, Rosebank, registered in the name of Purple Rain Properties No 444 Proprietary Limited (“Purple Rain”). Cartrack Proprietary Limited has signed a limited suretyship of ZAR 60 million for the mortgage bond. Interest levied by First Rand Bank Limited is at a rate of prime less 1.15% and repayable in equal monthly installments over a period of 60 months. The final repayment date is December 01, 2025. Covenants are reviewed annually unless loan instalments are not met timeously. As of February 28, 2025 and February 29, 2024, the Group has not breached the Loan-to-Value (“LTV”) covenant of percentage and Minimum Debt Service Coverage Ratio (“DSCR”) of 1.2x.</w:t>
      </w:r>
    </w:p>
    <w:p>
      <w:pPr>
        <w:spacing w:after="0" w:line="142" w:lineRule="exact"/>
        <w:rPr>
          <w:rFonts w:ascii="Times New Roman" w:cs="Times New Roman" w:eastAsia="Times New Roman" w:hAnsi="Times New Roman"/>
          <w:sz w:val="14"/>
          <w:szCs w:val="14"/>
          <w:color w:val="auto"/>
        </w:rPr>
      </w:pPr>
    </w:p>
    <w:p>
      <w:pPr>
        <w:ind w:left="260" w:hanging="254"/>
        <w:spacing w:after="0" w:line="292" w:lineRule="auto"/>
        <w:tabs>
          <w:tab w:leader="none" w:pos="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2024, Cartrack Portugal, S.A., secured a EUR 2.0 million loan from Banco Comercial Português, S.A. The loan bears an interest rate of 6-month Euribor rate plus 0.75%, with repayments scheduled over a seven-year period. There were no covenant relating to this loan.</w:t>
      </w:r>
    </w:p>
    <w:p>
      <w:pPr>
        <w:spacing w:after="0" w:line="123" w:lineRule="exact"/>
        <w:rPr>
          <w:rFonts w:ascii="Times New Roman" w:cs="Times New Roman" w:eastAsia="Times New Roman" w:hAnsi="Times New Roman"/>
          <w:sz w:val="14"/>
          <w:szCs w:val="14"/>
          <w:color w:val="auto"/>
        </w:rPr>
      </w:pPr>
    </w:p>
    <w:p>
      <w:pPr>
        <w:jc w:val="both"/>
        <w:ind w:left="260" w:hanging="254"/>
        <w:spacing w:after="0" w:line="264" w:lineRule="auto"/>
        <w:tabs>
          <w:tab w:leader="none" w:pos="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Standard Bank of South Africa Limited extended a loan of ZAR 250.0 million to Purple Rain Properties No.444 Proprietary Limited (the owner of the South Africa Central Office) for funding the construction of the building. Interest levied by the bank is at a rate of prime less 1.5% and will mature on December 21, 2025. No security has been provided for this loan arrangement. The financial conditions under the loan agreement are the Loan to Value Ratio shall not exceed 60% from the period commencing on June 21, 2024 (the First Utilisation Date) until the first anniversary of the First Utilisation Date and 55% during the next calendar period of 12 months. The Interest Cover Ratio shall not be less than 1.45 times for the period from the First Utilisation Date until the first anniversary of the First Utilisation Date and 1.71 times in the following period of 12 months. As of February 28, 2025, the financial conditions have been met.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movement of liabilities to cash flows arising from financing activities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7"/>
        </w:trPr>
        <w:tc>
          <w:tcPr>
            <w:tcW w:w="5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5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2"/>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Loan from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 related party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2"/>
        </w:trPr>
        <w:tc>
          <w:tcPr>
            <w:tcW w:w="5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2024</w:t>
            </w:r>
          </w:p>
        </w:tc>
        <w:tc>
          <w:tcPr>
            <w:tcW w:w="2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924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48,179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194,340</w:t>
            </w:r>
          </w:p>
        </w:tc>
        <w:tc>
          <w:tcPr>
            <w:tcW w:w="2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243,443</w:t>
            </w:r>
          </w:p>
        </w:tc>
      </w:tr>
      <w:tr>
        <w:trPr>
          <w:trHeight w:val="195"/>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Changes from financing cash flows</w:t>
            </w:r>
          </w:p>
        </w:tc>
        <w:tc>
          <w:tcPr>
            <w:tcW w:w="20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(686)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266,184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(77,633)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187,865</w:t>
            </w:r>
          </w:p>
        </w:tc>
      </w:tr>
      <w:tr>
        <w:trPr>
          <w:trHeight w:val="172"/>
        </w:trPr>
        <w:tc>
          <w:tcPr>
            <w:tcW w:w="5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52</w:t>
            </w:r>
          </w:p>
        </w:tc>
        <w:tc>
          <w:tcPr>
            <w:tcW w:w="13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289,518</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289,570</w:t>
            </w:r>
          </w:p>
        </w:tc>
      </w:tr>
      <w:tr>
        <w:trPr>
          <w:trHeight w:val="172"/>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a related party loan</w:t>
            </w: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(738)</w:t>
            </w: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term loans</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(23,334)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(23,334)</w:t>
            </w:r>
          </w:p>
        </w:tc>
      </w:tr>
      <w:tr>
        <w:trPr>
          <w:trHeight w:val="195"/>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of lease liabilities</w:t>
            </w: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(77,633)</w:t>
            </w:r>
          </w:p>
        </w:tc>
        <w:tc>
          <w:tcPr>
            <w:tcW w:w="124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(77,633)</w:t>
            </w:r>
          </w:p>
        </w:tc>
      </w:tr>
      <w:tr>
        <w:trPr>
          <w:trHeight w:val="17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effect of changes in foreign exchange rates</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(968)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(4,338)</w:t>
            </w: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(5,406)</w:t>
            </w:r>
          </w:p>
        </w:tc>
      </w:tr>
      <w:tr>
        <w:trPr>
          <w:trHeight w:val="172"/>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2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92,327</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93,885</w:t>
            </w:r>
          </w:p>
        </w:tc>
      </w:tr>
      <w:tr>
        <w:trPr>
          <w:trHeight w:val="154"/>
        </w:trPr>
        <w:tc>
          <w:tcPr>
            <w:tcW w:w="5380" w:type="dxa"/>
            <w:vAlign w:val="bottom"/>
            <w:tcBorders>
              <w:top w:val="single" w:sz="8" w:color="CCEEFF"/>
            </w:tcBorders>
          </w:tcPr>
          <w:p>
            <w:pPr>
              <w:ind w:left="140"/>
              <w:spacing w:after="0" w:line="154" w:lineRule="exact"/>
              <w:rPr>
                <w:sz w:val="20"/>
                <w:szCs w:val="20"/>
                <w:color w:val="auto"/>
              </w:rPr>
            </w:pPr>
            <w:r>
              <w:rPr>
                <w:rFonts w:ascii="Times New Roman" w:cs="Times New Roman" w:eastAsia="Times New Roman" w:hAnsi="Times New Roman"/>
                <w:sz w:val="14"/>
                <w:szCs w:val="14"/>
                <w:color w:val="auto"/>
              </w:rPr>
              <w:t>Interest paid</w:t>
            </w:r>
          </w:p>
        </w:tc>
        <w:tc>
          <w:tcPr>
            <w:tcW w:w="500" w:type="dxa"/>
            <w:vAlign w:val="bottom"/>
            <w:tcBorders>
              <w:top w:val="single" w:sz="8" w:color="CCEEFF"/>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1380" w:type="dxa"/>
            <w:vAlign w:val="bottom"/>
            <w:tcBorders>
              <w:top w:val="single" w:sz="8" w:color="auto"/>
            </w:tcBorders>
            <w:gridSpan w:val="2"/>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gridSpan w:val="2"/>
          </w:tcPr>
          <w:p>
            <w:pPr>
              <w:jc w:val="right"/>
              <w:ind w:right="160"/>
              <w:spacing w:after="0" w:line="154" w:lineRule="exact"/>
              <w:rPr>
                <w:sz w:val="20"/>
                <w:szCs w:val="20"/>
                <w:color w:val="auto"/>
              </w:rPr>
            </w:pPr>
            <w:r>
              <w:rPr>
                <w:rFonts w:ascii="Times New Roman" w:cs="Times New Roman" w:eastAsia="Times New Roman" w:hAnsi="Times New Roman"/>
                <w:sz w:val="14"/>
                <w:szCs w:val="14"/>
                <w:color w:val="auto"/>
              </w:rPr>
              <w:t>(18,685)</w:t>
            </w:r>
          </w:p>
        </w:tc>
        <w:tc>
          <w:tcPr>
            <w:tcW w:w="1340" w:type="dxa"/>
            <w:vAlign w:val="bottom"/>
            <w:tcBorders>
              <w:top w:val="single" w:sz="8" w:color="auto"/>
            </w:tcBorders>
            <w:gridSpan w:val="2"/>
          </w:tcPr>
          <w:p>
            <w:pPr>
              <w:jc w:val="right"/>
              <w:ind w:right="160"/>
              <w:spacing w:after="0" w:line="154" w:lineRule="exact"/>
              <w:rPr>
                <w:sz w:val="20"/>
                <w:szCs w:val="20"/>
                <w:color w:val="auto"/>
              </w:rPr>
            </w:pPr>
            <w:r>
              <w:rPr>
                <w:rFonts w:ascii="Times New Roman" w:cs="Times New Roman" w:eastAsia="Times New Roman" w:hAnsi="Times New Roman"/>
                <w:sz w:val="14"/>
                <w:szCs w:val="14"/>
                <w:color w:val="auto"/>
              </w:rPr>
              <w:t>(16,346)</w:t>
            </w:r>
          </w:p>
        </w:tc>
        <w:tc>
          <w:tcPr>
            <w:tcW w:w="1240" w:type="dxa"/>
            <w:vAlign w:val="bottom"/>
            <w:tcBorders>
              <w:top w:val="single" w:sz="8" w:color="auto"/>
              <w:right w:val="single" w:sz="8" w:color="auto"/>
            </w:tcBorders>
            <w:gridSpan w:val="2"/>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(35,031)</w:t>
            </w: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leases</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96,606</w:t>
            </w:r>
          </w:p>
        </w:tc>
        <w:tc>
          <w:tcPr>
            <w:tcW w:w="12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96,606</w:t>
            </w:r>
          </w:p>
        </w:tc>
      </w:tr>
      <w:tr>
        <w:trPr>
          <w:trHeight w:val="172"/>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20,473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16,346</w:t>
            </w:r>
          </w:p>
        </w:tc>
        <w:tc>
          <w:tcPr>
            <w:tcW w:w="12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36,819</w:t>
            </w: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Disposal</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(4,279)</w:t>
            </w:r>
          </w:p>
        </w:tc>
        <w:tc>
          <w:tcPr>
            <w:tcW w:w="12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(4,279)</w:t>
            </w:r>
          </w:p>
        </w:tc>
      </w:tr>
      <w:tr>
        <w:trPr>
          <w:trHeight w:val="195"/>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Others</w:t>
            </w: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(230)</w:t>
            </w:r>
          </w:p>
        </w:tc>
      </w:tr>
      <w:tr>
        <w:trPr>
          <w:trHeight w:val="17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February 28, 2025</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314,953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204,696</w:t>
            </w:r>
          </w:p>
        </w:tc>
        <w:tc>
          <w:tcPr>
            <w:tcW w:w="2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519,787</w:t>
            </w:r>
          </w:p>
        </w:tc>
      </w:tr>
      <w:tr>
        <w:trPr>
          <w:trHeight w:val="172"/>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2023</w:t>
            </w:r>
          </w:p>
        </w:tc>
        <w:tc>
          <w:tcPr>
            <w:tcW w:w="2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607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59,947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120,727</w:t>
            </w:r>
          </w:p>
        </w:tc>
        <w:tc>
          <w:tcPr>
            <w:tcW w:w="22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181,281</w:t>
            </w:r>
          </w:p>
        </w:tc>
      </w:tr>
      <w:tr>
        <w:trPr>
          <w:trHeight w:val="195"/>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Changes from financing cash flows</w:t>
            </w:r>
          </w:p>
        </w:tc>
        <w:tc>
          <w:tcPr>
            <w:tcW w:w="20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290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(12,018)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(57,892)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(69,620)</w:t>
            </w:r>
          </w:p>
        </w:tc>
      </w:tr>
      <w:tr>
        <w:trPr>
          <w:trHeight w:val="172"/>
        </w:trPr>
        <w:tc>
          <w:tcPr>
            <w:tcW w:w="5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a related party loan</w:t>
            </w:r>
          </w:p>
        </w:tc>
        <w:tc>
          <w:tcPr>
            <w:tcW w:w="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342</w:t>
            </w:r>
          </w:p>
        </w:tc>
        <w:tc>
          <w:tcPr>
            <w:tcW w:w="13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342</w:t>
            </w:r>
          </w:p>
        </w:tc>
      </w:tr>
      <w:tr>
        <w:trPr>
          <w:trHeight w:val="172"/>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a related party loan</w:t>
            </w: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w:t>
            </w:r>
          </w:p>
        </w:tc>
      </w:tr>
      <w:tr>
        <w:trPr>
          <w:trHeight w:val="193"/>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term loans</w:t>
            </w:r>
          </w:p>
        </w:tc>
        <w:tc>
          <w:tcPr>
            <w:tcW w:w="5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(12,018)</w:t>
            </w:r>
          </w:p>
        </w:tc>
      </w:tr>
      <w:tr>
        <w:trPr>
          <w:trHeight w:val="195"/>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(57,892)</w:t>
            </w:r>
          </w:p>
        </w:tc>
        <w:tc>
          <w:tcPr>
            <w:tcW w:w="124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(57,892)</w:t>
            </w:r>
          </w:p>
        </w:tc>
      </w:tr>
      <w:tr>
        <w:trPr>
          <w:trHeight w:val="17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effect of changes in foreign exchange rates</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5,011</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5,288</w:t>
            </w:r>
          </w:p>
        </w:tc>
      </w:tr>
      <w:tr>
        <w:trPr>
          <w:trHeight w:val="172"/>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2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126,494</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126,494</w:t>
            </w:r>
          </w:p>
        </w:tc>
      </w:tr>
      <w:tr>
        <w:trPr>
          <w:trHeight w:val="154"/>
        </w:trPr>
        <w:tc>
          <w:tcPr>
            <w:tcW w:w="5380" w:type="dxa"/>
            <w:vAlign w:val="bottom"/>
            <w:tcBorders>
              <w:top w:val="single" w:sz="8" w:color="CCEEFF"/>
            </w:tcBorders>
          </w:tcPr>
          <w:p>
            <w:pPr>
              <w:ind w:left="140"/>
              <w:spacing w:after="0" w:line="154" w:lineRule="exact"/>
              <w:rPr>
                <w:sz w:val="20"/>
                <w:szCs w:val="20"/>
                <w:color w:val="auto"/>
              </w:rPr>
            </w:pPr>
            <w:r>
              <w:rPr>
                <w:rFonts w:ascii="Times New Roman" w:cs="Times New Roman" w:eastAsia="Times New Roman" w:hAnsi="Times New Roman"/>
                <w:sz w:val="14"/>
                <w:szCs w:val="14"/>
                <w:color w:val="auto"/>
              </w:rPr>
              <w:t>Interest paid</w:t>
            </w:r>
          </w:p>
        </w:tc>
        <w:tc>
          <w:tcPr>
            <w:tcW w:w="500" w:type="dxa"/>
            <w:vAlign w:val="bottom"/>
            <w:tcBorders>
              <w:top w:val="single" w:sz="8" w:color="CCEEFF"/>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1380" w:type="dxa"/>
            <w:vAlign w:val="bottom"/>
            <w:tcBorders>
              <w:top w:val="single" w:sz="8" w:color="auto"/>
            </w:tcBorders>
            <w:gridSpan w:val="2"/>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gridSpan w:val="2"/>
          </w:tcPr>
          <w:p>
            <w:pPr>
              <w:jc w:val="right"/>
              <w:ind w:right="160"/>
              <w:spacing w:after="0" w:line="154" w:lineRule="exact"/>
              <w:rPr>
                <w:sz w:val="20"/>
                <w:szCs w:val="20"/>
                <w:color w:val="auto"/>
              </w:rPr>
            </w:pPr>
            <w:r>
              <w:rPr>
                <w:rFonts w:ascii="Times New Roman" w:cs="Times New Roman" w:eastAsia="Times New Roman" w:hAnsi="Times New Roman"/>
                <w:sz w:val="14"/>
                <w:szCs w:val="14"/>
                <w:color w:val="auto"/>
              </w:rPr>
              <w:t>(194)</w:t>
            </w:r>
          </w:p>
        </w:tc>
        <w:tc>
          <w:tcPr>
            <w:tcW w:w="1340" w:type="dxa"/>
            <w:vAlign w:val="bottom"/>
            <w:tcBorders>
              <w:top w:val="single" w:sz="8" w:color="auto"/>
            </w:tcBorders>
            <w:gridSpan w:val="2"/>
          </w:tcPr>
          <w:p>
            <w:pPr>
              <w:jc w:val="right"/>
              <w:ind w:right="160"/>
              <w:spacing w:after="0" w:line="154" w:lineRule="exact"/>
              <w:rPr>
                <w:sz w:val="20"/>
                <w:szCs w:val="20"/>
                <w:color w:val="auto"/>
              </w:rPr>
            </w:pPr>
            <w:r>
              <w:rPr>
                <w:rFonts w:ascii="Times New Roman" w:cs="Times New Roman" w:eastAsia="Times New Roman" w:hAnsi="Times New Roman"/>
                <w:sz w:val="14"/>
                <w:szCs w:val="14"/>
                <w:color w:val="auto"/>
              </w:rPr>
              <w:t>(11,371)</w:t>
            </w:r>
          </w:p>
        </w:tc>
        <w:tc>
          <w:tcPr>
            <w:tcW w:w="1240" w:type="dxa"/>
            <w:vAlign w:val="bottom"/>
            <w:tcBorders>
              <w:top w:val="single" w:sz="8" w:color="auto"/>
              <w:right w:val="single" w:sz="8" w:color="auto"/>
            </w:tcBorders>
            <w:gridSpan w:val="2"/>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(11,565)</w:t>
            </w: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leases</w:t>
            </w:r>
          </w:p>
        </w:tc>
        <w:tc>
          <w:tcPr>
            <w:tcW w:w="5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156,085</w:t>
            </w:r>
          </w:p>
        </w:tc>
        <w:tc>
          <w:tcPr>
            <w:tcW w:w="2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156,085</w:t>
            </w:r>
          </w:p>
        </w:tc>
      </w:tr>
      <w:tr>
        <w:trPr>
          <w:trHeight w:val="172"/>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Disposal</w:t>
            </w: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(29,591)</w:t>
            </w:r>
          </w:p>
        </w:tc>
        <w:tc>
          <w:tcPr>
            <w:tcW w:w="12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(29,591)</w:t>
            </w:r>
          </w:p>
        </w:tc>
      </w:tr>
      <w:tr>
        <w:trPr>
          <w:trHeight w:val="213"/>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11,565</w:t>
            </w: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February 29, 2024</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924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48,179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194,340</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243,443</w:t>
            </w:r>
          </w:p>
        </w:tc>
      </w:tr>
      <w:tr>
        <w:trPr>
          <w:trHeight w:val="503"/>
        </w:trPr>
        <w:tc>
          <w:tcPr>
            <w:tcW w:w="5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600"/>
              <w:spacing w:after="0"/>
              <w:rPr>
                <w:sz w:val="20"/>
                <w:szCs w:val="20"/>
                <w:color w:val="auto"/>
              </w:rPr>
            </w:pPr>
            <w:r>
              <w:rPr>
                <w:rFonts w:ascii="Times New Roman" w:cs="Times New Roman" w:eastAsia="Times New Roman" w:hAnsi="Times New Roman"/>
                <w:sz w:val="14"/>
                <w:szCs w:val="14"/>
                <w:color w:val="auto"/>
              </w:rPr>
              <w:t>F-36</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724" w:right="29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16. LEASE LIABILITIES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undiscounted maturity analysis of lease liabilities is as follows: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Minimum lease payment due</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2-4 years</w:t>
            </w: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Over 4 years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28 February 2025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payments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84,398</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132,804</w:t>
            </w: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217,990</w:t>
            </w:r>
          </w:p>
        </w:tc>
        <w:tc>
          <w:tcPr>
            <w:tcW w:w="0" w:type="dxa"/>
            <w:vAlign w:val="bottom"/>
          </w:tcPr>
          <w:p>
            <w:pPr>
              <w:spacing w:after="0"/>
              <w:rPr>
                <w:sz w:val="1"/>
                <w:szCs w:val="1"/>
                <w:color w:val="auto"/>
              </w:rPr>
            </w:pPr>
          </w:p>
        </w:tc>
      </w:tr>
      <w:tr>
        <w:trPr>
          <w:trHeight w:val="183"/>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charges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(6,953)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1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(13,294)</w:t>
            </w:r>
          </w:p>
        </w:tc>
        <w:tc>
          <w:tcPr>
            <w:tcW w:w="0" w:type="dxa"/>
            <w:vAlign w:val="bottom"/>
          </w:tcPr>
          <w:p>
            <w:pPr>
              <w:spacing w:after="0"/>
              <w:rPr>
                <w:sz w:val="1"/>
                <w:szCs w:val="1"/>
                <w:color w:val="auto"/>
              </w:rPr>
            </w:pPr>
          </w:p>
        </w:tc>
      </w:tr>
      <w:tr>
        <w:trPr>
          <w:trHeight w:val="21"/>
        </w:trPr>
        <w:tc>
          <w:tcPr>
            <w:tcW w:w="6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00" w:type="dxa"/>
            <w:vAlign w:val="bottom"/>
            <w:gridSpan w:val="2"/>
            <w:vMerge w:val="continue"/>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77,445</w:t>
            </w:r>
          </w:p>
        </w:tc>
        <w:tc>
          <w:tcPr>
            <w:tcW w:w="240" w:type="dxa"/>
            <w:vAlign w:val="bottom"/>
            <w:shd w:val="clear" w:color="auto" w:fill="CCEEFF"/>
          </w:tcPr>
          <w:p>
            <w:pPr>
              <w:spacing w:after="0"/>
              <w:rPr>
                <w:sz w:val="16"/>
                <w:szCs w:val="16"/>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126,474</w:t>
            </w:r>
          </w:p>
        </w:tc>
        <w:tc>
          <w:tcPr>
            <w:tcW w:w="140" w:type="dxa"/>
            <w:vAlign w:val="bottom"/>
            <w:tcBorders>
              <w:right w:val="single" w:sz="8" w:color="CCEEFF"/>
            </w:tcBorders>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204,696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29 February 2024</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63,055</w:t>
            </w:r>
          </w:p>
        </w:tc>
        <w:tc>
          <w:tcPr>
            <w:tcW w:w="2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123,387</w:t>
            </w: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84"/>
        </w:trPr>
        <w:tc>
          <w:tcPr>
            <w:tcW w:w="6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127,251</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131,285</w:t>
            </w:r>
          </w:p>
        </w:tc>
        <w:tc>
          <w:tcPr>
            <w:tcW w:w="0" w:type="dxa"/>
            <w:vAlign w:val="bottom"/>
          </w:tcPr>
          <w:p>
            <w:pPr>
              <w:spacing w:after="0"/>
              <w:rPr>
                <w:sz w:val="1"/>
                <w:szCs w:val="1"/>
                <w:color w:val="auto"/>
              </w:rPr>
            </w:pPr>
          </w:p>
        </w:tc>
      </w:tr>
      <w:tr>
        <w:trPr>
          <w:trHeight w:val="184"/>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77,445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63,055</w:t>
            </w:r>
          </w:p>
        </w:tc>
        <w:tc>
          <w:tcPr>
            <w:tcW w:w="0" w:type="dxa"/>
            <w:vAlign w:val="bottom"/>
          </w:tcPr>
          <w:p>
            <w:pPr>
              <w:spacing w:after="0"/>
              <w:rPr>
                <w:sz w:val="1"/>
                <w:szCs w:val="1"/>
                <w:color w:val="auto"/>
              </w:rPr>
            </w:pPr>
          </w:p>
        </w:tc>
      </w:tr>
      <w:tr>
        <w:trPr>
          <w:trHeight w:val="195"/>
        </w:trPr>
        <w:tc>
          <w:tcPr>
            <w:tcW w:w="58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204,696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It is Group policy to lease the various commercial properties occupied by the Group’s operations and certain motor vehicles are leased in terms of installment sale agreements. The average term of the installment sale agreements is between three to four years and interest is charged at prime linked interest rates. The Group’s obligations under instalment sale agreements are secured by the leased assets.</w:t>
      </w:r>
    </w:p>
    <w:p>
      <w:pPr>
        <w:spacing w:after="0" w:line="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Property leases capitalized have an average lease term of four years and interest incurred is at an incremental borrowing rate of a similar asset. External sources of information were used to determine incremental borrowing rate of a similar asset. Total cash outflows for leases recognized in statement of cash flows ZAR 94.0 million (2024: ZAR 69.3 million, 2023: ZAR 64.8 million).</w:t>
      </w:r>
    </w:p>
    <w:p>
      <w:pPr>
        <w:spacing w:after="0" w:line="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Group leases office building, motor vehicles and IT equipment with contract terms less than twelve months. These leases are short-term. For the financial year ended February 28, 2025, the Group recognized lease payments of ZAR 5.0 million (2024: ZAR 7.3 million, 2023: ZAR 6.2 million) associated with these short-term leases as an expense on a straight-line basis over the lease term.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DEFERRED REVENUE</w:t>
      </w:r>
    </w:p>
    <w:p>
      <w:pPr>
        <w:spacing w:after="0" w:line="14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17780</wp:posOffset>
            </wp:positionV>
            <wp:extent cx="1568450" cy="13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448935" cy="13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5448935" cy="1333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deferred in current financial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released to revenue in the current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60260" cy="149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60260"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17780</wp:posOffset>
            </wp:positionV>
            <wp:extent cx="156845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186" w:lineRule="exact"/>
        <w:rPr>
          <w:sz w:val="20"/>
          <w:szCs w:val="20"/>
          <w:color w:val="auto"/>
        </w:rPr>
      </w:pPr>
    </w:p>
    <w:p>
      <w:pPr>
        <w:ind w:left="240"/>
        <w:spacing w:after="0"/>
        <w:tabs>
          <w:tab w:leader="none" w:pos="1540" w:val="left"/>
        </w:tabs>
        <w:rPr>
          <w:sz w:val="20"/>
          <w:szCs w:val="20"/>
          <w:color w:val="auto"/>
        </w:rPr>
      </w:pPr>
      <w:r>
        <w:rPr>
          <w:rFonts w:ascii="Times New Roman" w:cs="Times New Roman" w:eastAsia="Times New Roman" w:hAnsi="Times New Roman"/>
          <w:sz w:val="14"/>
          <w:szCs w:val="14"/>
          <w:color w:val="auto"/>
        </w:rPr>
        <w:t>447,150</w:t>
      </w:r>
      <w:r>
        <w:rPr>
          <w:sz w:val="20"/>
          <w:szCs w:val="20"/>
          <w:color w:val="auto"/>
        </w:rPr>
        <w:tab/>
      </w:r>
      <w:r>
        <w:rPr>
          <w:rFonts w:ascii="Times New Roman" w:cs="Times New Roman" w:eastAsia="Times New Roman" w:hAnsi="Times New Roman"/>
          <w:sz w:val="14"/>
          <w:szCs w:val="14"/>
          <w:color w:val="auto"/>
        </w:rPr>
        <w:t>395,867</w:t>
      </w:r>
    </w:p>
    <w:p>
      <w:pPr>
        <w:spacing w:after="0" w:line="25" w:lineRule="exact"/>
        <w:rPr>
          <w:sz w:val="20"/>
          <w:szCs w:val="20"/>
          <w:color w:val="auto"/>
        </w:rPr>
      </w:pPr>
    </w:p>
    <w:p>
      <w:pPr>
        <w:ind w:left="240"/>
        <w:spacing w:after="0"/>
        <w:tabs>
          <w:tab w:leader="none" w:pos="1540" w:val="left"/>
        </w:tabs>
        <w:rPr>
          <w:sz w:val="20"/>
          <w:szCs w:val="20"/>
          <w:color w:val="auto"/>
        </w:rPr>
      </w:pPr>
      <w:r>
        <w:rPr>
          <w:rFonts w:ascii="Times New Roman" w:cs="Times New Roman" w:eastAsia="Times New Roman" w:hAnsi="Times New Roman"/>
          <w:sz w:val="14"/>
          <w:szCs w:val="14"/>
          <w:color w:val="auto"/>
        </w:rPr>
        <w:t>489,444</w:t>
      </w:r>
      <w:r>
        <w:rPr>
          <w:sz w:val="20"/>
          <w:szCs w:val="20"/>
          <w:color w:val="auto"/>
        </w:rPr>
        <w:tab/>
      </w:r>
      <w:r>
        <w:rPr>
          <w:rFonts w:ascii="Times New Roman" w:cs="Times New Roman" w:eastAsia="Times New Roman" w:hAnsi="Times New Roman"/>
          <w:sz w:val="14"/>
          <w:szCs w:val="14"/>
          <w:color w:val="auto"/>
        </w:rPr>
        <w:t>474,706</w:t>
      </w:r>
    </w:p>
    <w:p>
      <w:pPr>
        <w:spacing w:after="0" w:line="11" w:lineRule="exact"/>
        <w:rPr>
          <w:sz w:val="20"/>
          <w:szCs w:val="20"/>
          <w:color w:val="auto"/>
        </w:rPr>
      </w:pPr>
    </w:p>
    <w:p>
      <w:pPr>
        <w:ind w:left="200"/>
        <w:spacing w:after="0"/>
        <w:tabs>
          <w:tab w:leader="none" w:pos="1500" w:val="left"/>
        </w:tabs>
        <w:rPr>
          <w:sz w:val="20"/>
          <w:szCs w:val="20"/>
          <w:color w:val="auto"/>
        </w:rPr>
      </w:pPr>
      <w:r>
        <w:rPr>
          <w:rFonts w:ascii="Times New Roman" w:cs="Times New Roman" w:eastAsia="Times New Roman" w:hAnsi="Times New Roman"/>
          <w:sz w:val="14"/>
          <w:szCs w:val="14"/>
          <w:color w:val="auto"/>
        </w:rPr>
        <w:t>(444,690)</w:t>
      </w:r>
      <w:r>
        <w:rPr>
          <w:sz w:val="20"/>
          <w:szCs w:val="20"/>
          <w:color w:val="auto"/>
        </w:rPr>
        <w:tab/>
      </w:r>
      <w:r>
        <w:rPr>
          <w:rFonts w:ascii="Times New Roman" w:cs="Times New Roman" w:eastAsia="Times New Roman" w:hAnsi="Times New Roman"/>
          <w:sz w:val="14"/>
          <w:szCs w:val="14"/>
          <w:color w:val="auto"/>
        </w:rPr>
        <w:t>(382,081)</w:t>
      </w:r>
    </w:p>
    <w:p>
      <w:pPr>
        <w:spacing w:after="0" w:line="11" w:lineRule="exact"/>
        <w:rPr>
          <w:sz w:val="20"/>
          <w:szCs w:val="20"/>
          <w:color w:val="auto"/>
        </w:rPr>
      </w:pPr>
    </w:p>
    <w:p>
      <w:pPr>
        <w:jc w:val="right"/>
        <w:ind w:right="60"/>
        <w:spacing w:after="0"/>
        <w:tabs>
          <w:tab w:leader="none" w:pos="460" w:val="left"/>
        </w:tabs>
        <w:rPr>
          <w:sz w:val="20"/>
          <w:szCs w:val="20"/>
          <w:color w:val="auto"/>
        </w:rPr>
      </w:pPr>
      <w:r>
        <w:rPr>
          <w:rFonts w:ascii="Times New Roman" w:cs="Times New Roman" w:eastAsia="Times New Roman" w:hAnsi="Times New Roman"/>
          <w:sz w:val="14"/>
          <w:szCs w:val="14"/>
          <w:color w:val="auto"/>
        </w:rPr>
        <w:t>(7,165)</w:t>
      </w:r>
      <w:r>
        <w:rPr>
          <w:sz w:val="20"/>
          <w:szCs w:val="20"/>
          <w:color w:val="auto"/>
        </w:rPr>
        <w:tab/>
      </w:r>
      <w:r>
        <w:rPr>
          <w:rFonts w:ascii="Times New Roman" w:cs="Times New Roman" w:eastAsia="Times New Roman" w:hAnsi="Times New Roman"/>
          <w:sz w:val="14"/>
          <w:szCs w:val="14"/>
          <w:color w:val="auto"/>
        </w:rPr>
        <w:t>(41,342)</w:t>
      </w:r>
    </w:p>
    <w:p>
      <w:pPr>
        <w:spacing w:after="0" w:line="51" w:lineRule="exact"/>
        <w:rPr>
          <w:sz w:val="20"/>
          <w:szCs w:val="20"/>
          <w:color w:val="auto"/>
        </w:rPr>
      </w:pPr>
    </w:p>
    <w:p>
      <w:pPr>
        <w:ind w:left="240"/>
        <w:spacing w:after="0"/>
        <w:tabs>
          <w:tab w:leader="none" w:pos="1540" w:val="left"/>
        </w:tabs>
        <w:rPr>
          <w:sz w:val="20"/>
          <w:szCs w:val="20"/>
          <w:color w:val="auto"/>
        </w:rPr>
      </w:pPr>
      <w:r>
        <w:rPr>
          <w:rFonts w:ascii="Times New Roman" w:cs="Times New Roman" w:eastAsia="Times New Roman" w:hAnsi="Times New Roman"/>
          <w:sz w:val="14"/>
          <w:szCs w:val="14"/>
          <w:color w:val="auto"/>
        </w:rPr>
        <w:t>484,739</w:t>
      </w:r>
      <w:r>
        <w:rPr>
          <w:sz w:val="20"/>
          <w:szCs w:val="20"/>
          <w:color w:val="auto"/>
        </w:rPr>
        <w:tab/>
      </w:r>
      <w:r>
        <w:rPr>
          <w:rFonts w:ascii="Times New Roman" w:cs="Times New Roman" w:eastAsia="Times New Roman" w:hAnsi="Times New Roman"/>
          <w:sz w:val="14"/>
          <w:szCs w:val="14"/>
          <w:color w:val="auto"/>
        </w:rPr>
        <w:t>447,150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36830</wp:posOffset>
            </wp:positionV>
            <wp:extent cx="156845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1568450" cy="13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2140"/>
          </w:cols>
          <w:pgMar w:left="300" w:top="724" w:right="31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126,959</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121,302</w:t>
            </w:r>
          </w:p>
        </w:tc>
      </w:tr>
      <w:tr>
        <w:trPr>
          <w:trHeight w:val="184"/>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357,780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325,848</w:t>
            </w:r>
          </w:p>
        </w:tc>
        <w:tc>
          <w:tcPr>
            <w:tcW w:w="100" w:type="dxa"/>
            <w:vAlign w:val="bottom"/>
            <w:tcBorders>
              <w:bottom w:val="single" w:sz="8" w:color="CCEEFF"/>
            </w:tcBorders>
          </w:tcPr>
          <w:p>
            <w:pPr>
              <w:spacing w:after="0"/>
              <w:rPr>
                <w:sz w:val="16"/>
                <w:szCs w:val="16"/>
                <w:color w:val="auto"/>
              </w:rPr>
            </w:pPr>
          </w:p>
        </w:tc>
      </w:tr>
      <w:tr>
        <w:trPr>
          <w:trHeight w:val="195"/>
        </w:trPr>
        <w:tc>
          <w:tcPr>
            <w:tcW w:w="87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484,739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447,150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Majority of subscription revenues are billed monthly in advance and then recognized in revenue as the service is provided. In most situations, ownership of all telematics devices remain with the Group. For customers who have paid for the hardware fees and service upfront, revenue for the hardware fees is deferred and recognized over 60 months and the service revenue is recognized over time as the services are performed.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estimated revenue expected to be recognized in the future related to performance obligations that are unsatisfied or partially satisfied at the end of the reporting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4640" w:type="dxa"/>
            <w:vAlign w:val="bottom"/>
            <w:gridSpan w:val="2"/>
          </w:tcPr>
          <w:p>
            <w:pPr>
              <w:spacing w:after="0"/>
              <w:rPr>
                <w:sz w:val="16"/>
                <w:szCs w:val="16"/>
                <w:color w:val="auto"/>
              </w:rPr>
            </w:pPr>
          </w:p>
        </w:tc>
        <w:tc>
          <w:tcPr>
            <w:tcW w:w="114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43"/>
        </w:trPr>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Maturities analysis</w:t>
            </w:r>
          </w:p>
        </w:tc>
        <w:tc>
          <w:tcPr>
            <w:tcW w:w="4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within one year</w:t>
            </w:r>
          </w:p>
        </w:tc>
        <w:tc>
          <w:tcPr>
            <w:tcW w:w="5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357,780</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325,848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 within two to four years</w:t>
            </w:r>
          </w:p>
        </w:tc>
        <w:tc>
          <w:tcPr>
            <w:tcW w:w="5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121,514</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115,801</w:t>
            </w:r>
          </w:p>
        </w:tc>
      </w:tr>
      <w:tr>
        <w:trPr>
          <w:trHeight w:val="20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over four years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amounts received in advance</w:t>
            </w:r>
          </w:p>
        </w:tc>
        <w:tc>
          <w:tcPr>
            <w:tcW w:w="5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484,739</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447,150</w:t>
            </w:r>
          </w:p>
        </w:tc>
      </w:tr>
      <w:tr>
        <w:trPr>
          <w:trHeight w:val="20"/>
        </w:trPr>
        <w:tc>
          <w:tcPr>
            <w:tcW w:w="40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9"/>
        </w:trPr>
        <w:tc>
          <w:tcPr>
            <w:tcW w:w="40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4"/>
          </w:tcPr>
          <w:p>
            <w:pPr>
              <w:ind w:left="1440"/>
              <w:spacing w:after="0"/>
              <w:rPr>
                <w:sz w:val="20"/>
                <w:szCs w:val="20"/>
                <w:color w:val="auto"/>
              </w:rPr>
            </w:pPr>
            <w:r>
              <w:rPr>
                <w:rFonts w:ascii="Times New Roman" w:cs="Times New Roman" w:eastAsia="Times New Roman" w:hAnsi="Times New Roman"/>
                <w:sz w:val="14"/>
                <w:szCs w:val="14"/>
                <w:color w:val="auto"/>
              </w:rPr>
              <w:t>F-37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4" w:right="319" w:bottom="1440" w:gutter="0" w:footer="0" w:header="0"/>
          <w:type w:val="continuous"/>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18. TRADE AND OTHER PAYABLES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7"/>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4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Trade payables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due to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12,230</w:t>
            </w: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212,310</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207,308</w:t>
            </w:r>
          </w:p>
        </w:tc>
      </w:tr>
      <w:tr>
        <w:trPr>
          <w:trHeight w:val="20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156,321</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149,251</w:t>
            </w:r>
          </w:p>
        </w:tc>
      </w:tr>
      <w:tr>
        <w:trPr>
          <w:trHeight w:val="155"/>
        </w:trPr>
        <w:tc>
          <w:tcPr>
            <w:tcW w:w="85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372,317</w:t>
            </w:r>
          </w:p>
        </w:tc>
        <w:tc>
          <w:tcPr>
            <w:tcW w:w="22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368,789</w:t>
            </w:r>
          </w:p>
        </w:tc>
        <w:tc>
          <w:tcPr>
            <w:tcW w:w="100" w:type="dxa"/>
            <w:vAlign w:val="bottom"/>
            <w:tcBorders>
              <w:top w:val="single" w:sz="8" w:color="CCEEFF"/>
              <w:bottom w:val="single" w:sz="8" w:color="CCEEFF"/>
            </w:tcBorders>
          </w:tcPr>
          <w:p>
            <w:pPr>
              <w:spacing w:after="0"/>
              <w:rPr>
                <w:sz w:val="13"/>
                <w:szCs w:val="13"/>
                <w:color w:val="auto"/>
              </w:rPr>
            </w:pPr>
          </w:p>
        </w:tc>
      </w:tr>
      <w:tr>
        <w:trPr>
          <w:trHeight w:val="172"/>
        </w:trPr>
        <w:tc>
          <w:tcPr>
            <w:tcW w:w="8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payables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Sundry creditors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32,804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19,639</w:t>
            </w: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taxes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48,131</w:t>
            </w:r>
          </w:p>
        </w:tc>
      </w:tr>
      <w:tr>
        <w:trPr>
          <w:trHeight w:val="20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payable to NCI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9,026</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9,725</w:t>
            </w:r>
          </w:p>
        </w:tc>
      </w:tr>
      <w:tr>
        <w:trPr>
          <w:trHeight w:val="155"/>
        </w:trPr>
        <w:tc>
          <w:tcPr>
            <w:tcW w:w="85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97,620</w:t>
            </w:r>
          </w:p>
        </w:tc>
        <w:tc>
          <w:tcPr>
            <w:tcW w:w="22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77,495</w:t>
            </w:r>
          </w:p>
        </w:tc>
        <w:tc>
          <w:tcPr>
            <w:tcW w:w="100" w:type="dxa"/>
            <w:vAlign w:val="bottom"/>
            <w:tcBorders>
              <w:top w:val="single" w:sz="8" w:color="CCEEFF"/>
              <w:bottom w:val="single" w:sz="8" w:color="CCEEFF"/>
            </w:tcBorders>
          </w:tcPr>
          <w:p>
            <w:pPr>
              <w:spacing w:after="0"/>
              <w:rPr>
                <w:sz w:val="13"/>
                <w:szCs w:val="13"/>
                <w:color w:val="auto"/>
              </w:rPr>
            </w:pPr>
          </w:p>
        </w:tc>
      </w:tr>
      <w:tr>
        <w:trPr>
          <w:trHeight w:val="195"/>
        </w:trPr>
        <w:tc>
          <w:tcPr>
            <w:tcW w:w="8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469,937</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446,284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4"/>
          <w:szCs w:val="14"/>
          <w:color w:val="auto"/>
        </w:rPr>
        <w:t>The amounts due to related parties are unsecured, interest-free and repayable on demand. Trade payables are non-interest bearing and are normally settled on 30 to 60 days term. The fair value of the financial instruments approximates their carrying amounts.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REVENUE</w:t>
      </w:r>
    </w:p>
    <w:p>
      <w:pPr>
        <w:spacing w:after="0" w:line="18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4"/>
          <w:szCs w:val="14"/>
          <w:color w:val="auto"/>
        </w:rPr>
        <w:t>The Group generates revenue by offering a full-stack smart mobility technology SaaS platform for connected vehicles and other assets, vehicles sales and delivery services. In the following table, revenue from contracts with customers is disaggregated by revenue streams, primary geographical markets and timing of revenue recognition.</w:t>
      </w:r>
    </w:p>
    <w:p>
      <w:pPr>
        <w:sectPr>
          <w:pgSz w:w="11900" w:h="16838" w:orient="portrait"/>
          <w:cols w:equalWidth="0" w:num="1">
            <w:col w:w="11300"/>
          </w:cols>
          <w:pgMar w:left="300" w:top="724" w:right="29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4589145" cy="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4589145" cy="1333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from contracts with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revenue - Cartrack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revenue - Karooooo Logistics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revenue - Cartrack</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Hardware sales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Installation revenue</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Miscellaneous contract fees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Vehicle sales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Delivery service fees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revenue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Primary geographical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South Africa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Africa-Other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Asia-Pacific*, Middle East and USA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and services transferred at a point in time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transferred over time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revenue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As of February 28/29</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1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501"/>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4,055,394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3,522,816</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3,003,931</w:t>
            </w:r>
          </w:p>
        </w:tc>
        <w:tc>
          <w:tcPr>
            <w:tcW w:w="120" w:type="dxa"/>
            <w:vAlign w:val="bottom"/>
          </w:tcPr>
          <w:p>
            <w:pPr>
              <w:spacing w:after="0"/>
              <w:rPr>
                <w:sz w:val="24"/>
                <w:szCs w:val="24"/>
                <w:color w:val="auto"/>
              </w:rPr>
            </w:pPr>
          </w:p>
        </w:tc>
      </w:tr>
      <w:tr>
        <w:trPr>
          <w:trHeight w:val="186"/>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12,989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20" w:type="dxa"/>
            <w:vAlign w:val="bottom"/>
          </w:tcPr>
          <w:p>
            <w:pPr>
              <w:spacing w:after="0"/>
              <w:rPr>
                <w:sz w:val="16"/>
                <w:szCs w:val="16"/>
                <w:color w:val="auto"/>
              </w:rPr>
            </w:pPr>
          </w:p>
        </w:tc>
      </w:tr>
      <w:tr>
        <w:trPr>
          <w:trHeight w:val="196"/>
        </w:trPr>
        <w:tc>
          <w:tcPr>
            <w:tcW w:w="13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89,618</w:t>
            </w:r>
          </w:p>
        </w:tc>
        <w:tc>
          <w:tcPr>
            <w:tcW w:w="1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90,879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72,709</w:t>
            </w:r>
          </w:p>
        </w:tc>
        <w:tc>
          <w:tcPr>
            <w:tcW w:w="120" w:type="dxa"/>
            <w:vAlign w:val="bottom"/>
            <w:tcBorders>
              <w:bottom w:val="single" w:sz="8" w:color="auto"/>
            </w:tcBorders>
          </w:tcPr>
          <w:p>
            <w:pPr>
              <w:spacing w:after="0"/>
              <w:rPr>
                <w:sz w:val="17"/>
                <w:szCs w:val="17"/>
                <w:color w:val="auto"/>
              </w:rPr>
            </w:pPr>
          </w:p>
        </w:tc>
      </w:tr>
      <w:tr>
        <w:trPr>
          <w:trHeight w:val="157"/>
        </w:trPr>
        <w:tc>
          <w:tcPr>
            <w:tcW w:w="1380" w:type="dxa"/>
            <w:vAlign w:val="bottom"/>
            <w:tcBorders>
              <w:left w:val="single" w:sz="8" w:color="auto"/>
            </w:tcBorders>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37,018</w:t>
            </w:r>
          </w:p>
        </w:tc>
        <w:tc>
          <w:tcPr>
            <w:tcW w:w="134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43,250</w:t>
            </w: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29,685</w:t>
            </w:r>
          </w:p>
        </w:tc>
        <w:tc>
          <w:tcPr>
            <w:tcW w:w="120" w:type="dxa"/>
            <w:vAlign w:val="bottom"/>
            <w:tcBorders>
              <w:right w:val="single" w:sz="8" w:color="auto"/>
            </w:tcBorders>
          </w:tcPr>
          <w:p>
            <w:pPr>
              <w:spacing w:after="0"/>
              <w:rPr>
                <w:sz w:val="13"/>
                <w:szCs w:val="13"/>
                <w:color w:val="auto"/>
              </w:rPr>
            </w:pPr>
          </w:p>
        </w:tc>
      </w:tr>
      <w:tr>
        <w:trPr>
          <w:trHeight w:val="186"/>
        </w:trPr>
        <w:tc>
          <w:tcPr>
            <w:tcW w:w="1380" w:type="dxa"/>
            <w:vAlign w:val="bottom"/>
            <w:tcBorders>
              <w:lef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29,186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29,278</w:t>
            </w:r>
          </w:p>
        </w:tc>
        <w:tc>
          <w:tcPr>
            <w:tcW w:w="120" w:type="dxa"/>
            <w:vAlign w:val="bottom"/>
            <w:tcBorders>
              <w:right w:val="single" w:sz="8" w:color="auto"/>
            </w:tcBorders>
          </w:tcPr>
          <w:p>
            <w:pPr>
              <w:spacing w:after="0"/>
              <w:rPr>
                <w:sz w:val="16"/>
                <w:szCs w:val="16"/>
                <w:color w:val="auto"/>
              </w:rPr>
            </w:pPr>
          </w:p>
        </w:tc>
      </w:tr>
      <w:tr>
        <w:trPr>
          <w:trHeight w:val="196"/>
        </w:trPr>
        <w:tc>
          <w:tcPr>
            <w:tcW w:w="1380" w:type="dxa"/>
            <w:vAlign w:val="bottom"/>
            <w:tcBorders>
              <w:left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23,090</w:t>
            </w:r>
          </w:p>
        </w:tc>
        <w:tc>
          <w:tcPr>
            <w:tcW w:w="1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18,443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13,746</w:t>
            </w:r>
          </w:p>
        </w:tc>
        <w:tc>
          <w:tcPr>
            <w:tcW w:w="120" w:type="dxa"/>
            <w:vAlign w:val="bottom"/>
            <w:tcBorders>
              <w:bottom w:val="single" w:sz="8" w:color="auto"/>
              <w:right w:val="single" w:sz="8" w:color="auto"/>
            </w:tcBorders>
          </w:tcPr>
          <w:p>
            <w:pPr>
              <w:spacing w:after="0"/>
              <w:rPr>
                <w:sz w:val="17"/>
                <w:szCs w:val="17"/>
                <w:color w:val="auto"/>
              </w:rPr>
            </w:pPr>
          </w:p>
        </w:tc>
      </w:tr>
      <w:tr>
        <w:trPr>
          <w:trHeight w:val="168"/>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274,787</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250,845</w:t>
            </w:r>
          </w:p>
        </w:tc>
        <w:tc>
          <w:tcPr>
            <w:tcW w:w="120" w:type="dxa"/>
            <w:vAlign w:val="bottom"/>
          </w:tcPr>
          <w:p>
            <w:pPr>
              <w:spacing w:after="0"/>
              <w:rPr>
                <w:sz w:val="14"/>
                <w:szCs w:val="14"/>
                <w:color w:val="auto"/>
              </w:rPr>
            </w:pPr>
          </w:p>
        </w:tc>
      </w:tr>
      <w:tr>
        <w:trPr>
          <w:trHeight w:val="186"/>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407,565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304,040</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173,441</w:t>
            </w:r>
          </w:p>
        </w:tc>
        <w:tc>
          <w:tcPr>
            <w:tcW w:w="120" w:type="dxa"/>
            <w:vAlign w:val="bottom"/>
          </w:tcPr>
          <w:p>
            <w:pPr>
              <w:spacing w:after="0"/>
              <w:rPr>
                <w:sz w:val="16"/>
                <w:szCs w:val="16"/>
                <w:color w:val="auto"/>
              </w:rPr>
            </w:pPr>
          </w:p>
        </w:tc>
      </w:tr>
      <w:tr>
        <w:trPr>
          <w:trHeight w:val="22"/>
        </w:trPr>
        <w:tc>
          <w:tcPr>
            <w:tcW w:w="1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4,567,459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4,205,511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3,507,067</w:t>
            </w:r>
          </w:p>
        </w:tc>
        <w:tc>
          <w:tcPr>
            <w:tcW w:w="120" w:type="dxa"/>
            <w:vAlign w:val="bottom"/>
          </w:tcPr>
          <w:p>
            <w:pPr>
              <w:spacing w:after="0"/>
              <w:rPr>
                <w:sz w:val="16"/>
                <w:szCs w:val="16"/>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3,364,854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3,171,851</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2,730,401</w:t>
            </w:r>
          </w:p>
        </w:tc>
        <w:tc>
          <w:tcPr>
            <w:tcW w:w="120" w:type="dxa"/>
            <w:vAlign w:val="bottom"/>
          </w:tcPr>
          <w:p>
            <w:pPr>
              <w:spacing w:after="0"/>
              <w:rPr>
                <w:sz w:val="24"/>
                <w:szCs w:val="24"/>
                <w:color w:val="auto"/>
              </w:rPr>
            </w:pPr>
          </w:p>
        </w:tc>
      </w:tr>
      <w:tr>
        <w:trPr>
          <w:trHeight w:val="172"/>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143,803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144,020</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131,077</w:t>
            </w:r>
          </w:p>
        </w:tc>
        <w:tc>
          <w:tcPr>
            <w:tcW w:w="120" w:type="dxa"/>
            <w:vAlign w:val="bottom"/>
          </w:tcPr>
          <w:p>
            <w:pPr>
              <w:spacing w:after="0"/>
              <w:rPr>
                <w:sz w:val="14"/>
                <w:szCs w:val="14"/>
                <w:color w:val="auto"/>
              </w:rPr>
            </w:pPr>
          </w:p>
        </w:tc>
      </w:tr>
      <w:tr>
        <w:trPr>
          <w:trHeight w:val="183"/>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399,209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347,628</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257,078</w:t>
            </w:r>
          </w:p>
        </w:tc>
        <w:tc>
          <w:tcPr>
            <w:tcW w:w="120" w:type="dxa"/>
            <w:vAlign w:val="bottom"/>
          </w:tcPr>
          <w:p>
            <w:pPr>
              <w:spacing w:after="0"/>
              <w:rPr>
                <w:sz w:val="15"/>
                <w:szCs w:val="15"/>
                <w:color w:val="auto"/>
              </w:rPr>
            </w:pPr>
          </w:p>
        </w:tc>
      </w:tr>
      <w:tr>
        <w:trPr>
          <w:trHeight w:val="186"/>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659,593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542,012</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388,511</w:t>
            </w:r>
          </w:p>
        </w:tc>
        <w:tc>
          <w:tcPr>
            <w:tcW w:w="120" w:type="dxa"/>
            <w:vAlign w:val="bottom"/>
          </w:tcPr>
          <w:p>
            <w:pPr>
              <w:spacing w:after="0"/>
              <w:rPr>
                <w:sz w:val="16"/>
                <w:szCs w:val="16"/>
                <w:color w:val="auto"/>
              </w:rPr>
            </w:pPr>
          </w:p>
        </w:tc>
      </w:tr>
      <w:tr>
        <w:trPr>
          <w:trHeight w:val="22"/>
        </w:trPr>
        <w:tc>
          <w:tcPr>
            <w:tcW w:w="1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4,567,459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4,205,511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3,507,067</w:t>
            </w:r>
          </w:p>
        </w:tc>
        <w:tc>
          <w:tcPr>
            <w:tcW w:w="120" w:type="dxa"/>
            <w:vAlign w:val="bottom"/>
          </w:tcPr>
          <w:p>
            <w:pPr>
              <w:spacing w:after="0"/>
              <w:rPr>
                <w:sz w:val="16"/>
                <w:szCs w:val="16"/>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4"/>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499,282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669,706</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323,554</w:t>
            </w:r>
          </w:p>
        </w:tc>
        <w:tc>
          <w:tcPr>
            <w:tcW w:w="120" w:type="dxa"/>
            <w:vAlign w:val="bottom"/>
          </w:tcPr>
          <w:p>
            <w:pPr>
              <w:spacing w:after="0"/>
              <w:rPr>
                <w:sz w:val="24"/>
                <w:szCs w:val="24"/>
                <w:color w:val="auto"/>
              </w:rPr>
            </w:pPr>
          </w:p>
        </w:tc>
      </w:tr>
      <w:tr>
        <w:trPr>
          <w:trHeight w:val="186"/>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4,068,177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3,535,805</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3,183,513</w:t>
            </w:r>
          </w:p>
        </w:tc>
        <w:tc>
          <w:tcPr>
            <w:tcW w:w="120" w:type="dxa"/>
            <w:vAlign w:val="bottom"/>
          </w:tcPr>
          <w:p>
            <w:pPr>
              <w:spacing w:after="0"/>
              <w:rPr>
                <w:sz w:val="16"/>
                <w:szCs w:val="16"/>
                <w:color w:val="auto"/>
              </w:rPr>
            </w:pPr>
          </w:p>
        </w:tc>
      </w:tr>
      <w:tr>
        <w:trPr>
          <w:trHeight w:val="22"/>
        </w:trPr>
        <w:tc>
          <w:tcPr>
            <w:tcW w:w="1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4,567,459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4,205,511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3,507,067</w:t>
            </w:r>
          </w:p>
        </w:tc>
        <w:tc>
          <w:tcPr>
            <w:tcW w:w="120" w:type="dxa"/>
            <w:vAlign w:val="bottom"/>
          </w:tcPr>
          <w:p>
            <w:pPr>
              <w:spacing w:after="0"/>
              <w:rPr>
                <w:sz w:val="16"/>
                <w:szCs w:val="16"/>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-2549525</wp:posOffset>
            </wp:positionV>
            <wp:extent cx="7160260" cy="1092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-2331720</wp:posOffset>
            </wp:positionV>
            <wp:extent cx="7160260" cy="1295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60260" cy="12954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-2085975</wp:posOffset>
            </wp:positionV>
            <wp:extent cx="7160260" cy="109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-1847215</wp:posOffset>
            </wp:positionV>
            <wp:extent cx="7160260" cy="1162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60260" cy="11620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-1608455</wp:posOffset>
            </wp:positionV>
            <wp:extent cx="7160260" cy="143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60260" cy="14351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-1336040</wp:posOffset>
            </wp:positionV>
            <wp:extent cx="7160260" cy="1092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-1117600</wp:posOffset>
            </wp:positionV>
            <wp:extent cx="7160260" cy="109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-899795</wp:posOffset>
            </wp:positionV>
            <wp:extent cx="7160260" cy="1225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-633730</wp:posOffset>
            </wp:positionV>
            <wp:extent cx="7160260" cy="1295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60260" cy="12954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-394970</wp:posOffset>
            </wp:positionV>
            <wp:extent cx="7160260" cy="1092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-163195</wp:posOffset>
            </wp:positionV>
            <wp:extent cx="7160260" cy="143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620" w:space="720"/>
            <w:col w:w="3960"/>
          </w:cols>
          <w:pgMar w:left="300" w:top="724" w:right="299" w:bottom="1440" w:gutter="0" w:footer="0" w:header="0"/>
          <w:type w:val="continuous"/>
        </w:sectPr>
      </w:pPr>
    </w:p>
    <w:p>
      <w:pPr>
        <w:ind w:left="5500" w:right="3060" w:hanging="5494"/>
        <w:spacing w:after="0" w:line="805" w:lineRule="auto"/>
        <w:tabs>
          <w:tab w:leader="none" w:pos="255"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Asia-Pacific is revenue from Singapore amounted to ZAR 141.1 million (2024: ZAR 132.4 million, 2023: ZAR 105.6 million). 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716026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 OPERATING PROFIT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7"/>
        </w:trPr>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43"/>
        </w:trPr>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profit is stated after accounting for the following charges:</w:t>
            </w: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30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606,487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588,660</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493,788</w:t>
            </w:r>
          </w:p>
        </w:tc>
      </w:tr>
      <w:tr>
        <w:trPr>
          <w:trHeight w:val="172"/>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capitalized commission assets</w:t>
            </w:r>
          </w:p>
        </w:tc>
        <w:tc>
          <w:tcPr>
            <w:tcW w:w="230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100,223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83,155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64,707</w:t>
            </w:r>
          </w:p>
        </w:tc>
      </w:tr>
      <w:tr>
        <w:trPr>
          <w:trHeight w:val="17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30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56,072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59,482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51,143</w:t>
            </w:r>
          </w:p>
        </w:tc>
      </w:tr>
      <w:tr>
        <w:trPr>
          <w:trHeight w:val="172"/>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Employee benefits expense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1,251,384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1,076,244</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865,831</w:t>
            </w:r>
          </w:p>
        </w:tc>
      </w:tr>
      <w:tr>
        <w:trPr>
          <w:trHeight w:val="20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Defined contribution plan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41,113</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45,468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44,681</w:t>
            </w:r>
          </w:p>
        </w:tc>
      </w:tr>
      <w:tr>
        <w:trPr>
          <w:trHeight w:val="324"/>
        </w:trPr>
        <w:tc>
          <w:tcPr>
            <w:tcW w:w="4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21. FINANCE INCOME</w:t>
            </w:r>
          </w:p>
        </w:tc>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57"/>
        </w:trPr>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72"/>
        </w:trPr>
        <w:tc>
          <w:tcPr>
            <w:tcW w:w="48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 from bank balances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44,167</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23,255</w:t>
            </w:r>
          </w:p>
        </w:tc>
      </w:tr>
      <w:tr>
        <w:trPr>
          <w:trHeight w:val="324"/>
        </w:trPr>
        <w:tc>
          <w:tcPr>
            <w:tcW w:w="4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22. FINANCE COSTS</w:t>
            </w:r>
          </w:p>
        </w:tc>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57"/>
        </w:trPr>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72"/>
        </w:trPr>
        <w:tc>
          <w:tcPr>
            <w:tcW w:w="48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8,199</w:t>
            </w:r>
          </w:p>
        </w:tc>
      </w:tr>
      <w:tr>
        <w:trPr>
          <w:trHeight w:val="172"/>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Term loans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797</w:t>
            </w:r>
          </w:p>
        </w:tc>
      </w:tr>
      <w:tr>
        <w:trPr>
          <w:trHeight w:val="17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overdraft</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w:t>
            </w:r>
          </w:p>
        </w:tc>
      </w:tr>
      <w:tr>
        <w:trPr>
          <w:trHeight w:val="183"/>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808</w:t>
            </w:r>
          </w:p>
        </w:tc>
      </w:tr>
      <w:tr>
        <w:trPr>
          <w:trHeight w:val="21"/>
        </w:trPr>
        <w:tc>
          <w:tcPr>
            <w:tcW w:w="48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48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50,866</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10,095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gridSpan w:val="5"/>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09"/>
        </w:trPr>
        <w:tc>
          <w:tcPr>
            <w:tcW w:w="4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color w:val="auto"/>
              </w:rPr>
              <w:t>F-39</w:t>
            </w: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4" w:right="31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23. TAXATION</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Major components of the tax expense: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Current tax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year</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297,670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297,546</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250,606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Prior year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(120)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(4,671)</w:t>
            </w:r>
          </w:p>
        </w:tc>
        <w:tc>
          <w:tcPr>
            <w:tcW w:w="0" w:type="dxa"/>
            <w:vAlign w:val="bottom"/>
          </w:tcPr>
          <w:p>
            <w:pPr>
              <w:spacing w:after="0"/>
              <w:rPr>
                <w:sz w:val="1"/>
                <w:szCs w:val="1"/>
                <w:color w:val="auto"/>
              </w:rPr>
            </w:pPr>
          </w:p>
        </w:tc>
      </w:tr>
      <w:tr>
        <w:trPr>
          <w:trHeight w:val="173"/>
        </w:trPr>
        <w:tc>
          <w:tcPr>
            <w:tcW w:w="58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297,426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245,935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year</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1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(12,964)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15,972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8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1140" w:type="dxa"/>
            <w:vAlign w:val="bottom"/>
            <w:tcBorders>
              <w:top w:val="single" w:sz="8" w:color="CCEEFF"/>
              <w:bottom w:val="single" w:sz="8" w:color="CCEEFF"/>
            </w:tcBorders>
          </w:tcPr>
          <w:p>
            <w:pPr>
              <w:jc w:val="right"/>
              <w:ind w:right="408"/>
              <w:spacing w:after="0" w:line="153" w:lineRule="exact"/>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top w:val="single" w:sz="8" w:color="CCEEFF"/>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(12,904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(6,500</w:t>
            </w:r>
          </w:p>
        </w:tc>
        <w:tc>
          <w:tcPr>
            <w:tcW w:w="220" w:type="dxa"/>
            <w:vAlign w:val="bottom"/>
            <w:tcBorders>
              <w:top w:val="single" w:sz="8" w:color="CCEEFF"/>
              <w:bottom w:val="single" w:sz="8" w:color="CCEEFF"/>
            </w:tcBorders>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w w:val="84"/>
              </w:rPr>
              <w:t>)</w:t>
            </w: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17,229</w:t>
            </w:r>
          </w:p>
        </w:tc>
        <w:tc>
          <w:tcPr>
            <w:tcW w:w="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Withholding tax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27,043</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20,628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tax expense</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309,811</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311,554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285,298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between accounting profit and tax expense: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before taxation</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1,246,921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1,065,710</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894,104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0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 xml:space="preserve">Tax at the applicable tax rate of 17%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(2024: 17%, 2023: 17%)</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211,976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181,171</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151,998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different tax rates in foreign jurisdictions</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97,965</w:t>
            </w:r>
          </w:p>
        </w:tc>
        <w:tc>
          <w:tcPr>
            <w:tcW w:w="14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90,081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91,841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Taxation effect of adjustments on taxable income:</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Utilization of previously unrecognized tax losses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(7,918)</w:t>
            </w:r>
          </w:p>
        </w:tc>
        <w:tc>
          <w:tcPr>
            <w:tcW w:w="1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(10,811)</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incentive</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(6,549)</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(5,975)</w:t>
            </w: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not subject to tax</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(5,924)</w:t>
            </w:r>
          </w:p>
        </w:tc>
        <w:tc>
          <w:tcPr>
            <w:tcW w:w="1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(1,414)</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(4,184)</w:t>
            </w: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Non-deductible expenses for tax purposes:</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7,413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non-deductible expenses</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3,997</w:t>
            </w:r>
          </w:p>
        </w:tc>
        <w:tc>
          <w:tcPr>
            <w:tcW w:w="14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15,898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20,789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Recognition of previously unrecognized tax losses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year losses for which no deferred tax asset is recognized</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3,663</w:t>
            </w:r>
          </w:p>
        </w:tc>
        <w:tc>
          <w:tcPr>
            <w:tcW w:w="14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19,223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Withholding tax</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27,043</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20,628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tax (over)/under provision</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2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(3,414)</w:t>
            </w:r>
          </w:p>
        </w:tc>
        <w:tc>
          <w:tcPr>
            <w:tcW w:w="0" w:type="dxa"/>
            <w:vAlign w:val="bottom"/>
          </w:tcPr>
          <w:p>
            <w:pPr>
              <w:spacing w:after="0"/>
              <w:rPr>
                <w:sz w:val="1"/>
                <w:szCs w:val="1"/>
                <w:color w:val="auto"/>
              </w:rPr>
            </w:pPr>
          </w:p>
        </w:tc>
      </w:tr>
      <w:tr>
        <w:trPr>
          <w:trHeight w:val="17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effect of deferred tax on decrease in tax rate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83"/>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(3,017)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2,651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tax expense</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0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311,554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285,298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4"/>
          <w:szCs w:val="24"/>
          <w:color w:val="auto"/>
          <w:vertAlign w:val="superscript"/>
        </w:rPr>
        <w:t>1</w:t>
      </w:r>
      <w:r>
        <w:rPr>
          <w:sz w:val="20"/>
          <w:szCs w:val="20"/>
          <w:color w:val="auto"/>
        </w:rPr>
        <w:tab/>
      </w:r>
      <w:r>
        <w:rPr>
          <w:rFonts w:ascii="Times New Roman" w:cs="Times New Roman" w:eastAsia="Times New Roman" w:hAnsi="Times New Roman"/>
          <w:sz w:val="14"/>
          <w:szCs w:val="14"/>
          <w:color w:val="auto"/>
        </w:rPr>
        <w:t>This is the corporate tax rate in Singapore.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color w:val="auto"/>
        </w:rPr>
        <w:t>24. TAXATION PAID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4589145"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4589145" cy="1333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payable at beginning of the year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tax for the year recognized in profit or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payable at end of the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Taxation paid during the year</w:t>
      </w:r>
    </w:p>
    <w:p>
      <w:pPr>
        <w:spacing w:after="0" w:line="267" w:lineRule="exact"/>
        <w:rPr>
          <w:sz w:val="20"/>
          <w:szCs w:val="20"/>
          <w:color w:val="auto"/>
        </w:rPr>
      </w:pPr>
    </w:p>
    <w:p>
      <w:pPr>
        <w:jc w:val="center"/>
        <w:ind w:right="4100" w:firstLine="6"/>
        <w:spacing w:after="0" w:line="512" w:lineRule="auto"/>
        <w:tabs>
          <w:tab w:leader="none" w:pos="215"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DIVIDEND Dividend per share</w:t>
      </w:r>
    </w:p>
    <w:p>
      <w:pPr>
        <w:spacing w:after="0"/>
        <w:rPr>
          <w:sz w:val="20"/>
          <w:szCs w:val="20"/>
          <w:color w:val="auto"/>
        </w:rPr>
      </w:pPr>
      <w:r>
        <w:rPr>
          <w:rFonts w:ascii="Times New Roman" w:cs="Times New Roman" w:eastAsia="Times New Roman" w:hAnsi="Times New Roman"/>
          <w:sz w:val="14"/>
          <w:szCs w:val="14"/>
          <w:i w:val="1"/>
          <w:iCs w:val="1"/>
          <w:color w:val="auto"/>
        </w:rPr>
        <w:t>Dividend paid by the Company to owner of the Company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72999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3729990" cy="1333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Interim dividend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Year ended February 28/29</w:t>
      </w:r>
    </w:p>
    <w:p>
      <w:pPr>
        <w:spacing w:after="0" w:line="27" w:lineRule="exact"/>
        <w:rPr>
          <w:sz w:val="20"/>
          <w:szCs w:val="20"/>
          <w:color w:val="auto"/>
        </w:rPr>
      </w:pPr>
    </w:p>
    <w:tbl>
      <w:tblPr>
        <w:tblLayout w:type="fixed"/>
        <w:tblInd w:w="1360" w:type="dxa"/>
        <w:tblCellMar>
          <w:top w:w="0" w:type="dxa"/>
          <w:left w:w="0" w:type="dxa"/>
          <w:bottom w:w="0" w:type="dxa"/>
          <w:right w:w="0" w:type="dxa"/>
        </w:tblCellMar>
      </w:tblPr>
      <w:tr>
        <w:trPr>
          <w:trHeight w:val="186"/>
        </w:trPr>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9"/>
        </w:trPr>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(64,661)</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(47,369)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(32,100)</w:t>
            </w:r>
          </w:p>
        </w:tc>
      </w:tr>
      <w:tr>
        <w:trPr>
          <w:trHeight w:val="172"/>
        </w:trPr>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(322,715)</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(318,054)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(268,069)</w:t>
            </w:r>
          </w:p>
        </w:tc>
      </w:tr>
      <w:tr>
        <w:trPr>
          <w:trHeight w:val="183"/>
        </w:trPr>
        <w:tc>
          <w:tcPr>
            <w:tcW w:w="1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4,524</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(1,195)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(3,821)</w:t>
            </w:r>
          </w:p>
        </w:tc>
      </w:tr>
      <w:tr>
        <w:trPr>
          <w:trHeight w:val="188"/>
        </w:trPr>
        <w:tc>
          <w:tcPr>
            <w:tcW w:w="1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44,417</w:t>
            </w: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64,661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47,369</w:t>
            </w:r>
          </w:p>
        </w:tc>
        <w:tc>
          <w:tcPr>
            <w:tcW w:w="20" w:type="dxa"/>
            <w:vAlign w:val="bottom"/>
          </w:tcPr>
          <w:p>
            <w:pPr>
              <w:spacing w:after="0"/>
              <w:rPr>
                <w:sz w:val="16"/>
                <w:szCs w:val="16"/>
                <w:color w:val="auto"/>
              </w:rPr>
            </w:pPr>
          </w:p>
        </w:tc>
      </w:tr>
      <w:tr>
        <w:trPr>
          <w:trHeight w:val="195"/>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(338,435</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(301,957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(256,621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-613410</wp:posOffset>
            </wp:positionV>
            <wp:extent cx="7160260" cy="1092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-394970</wp:posOffset>
            </wp:positionV>
            <wp:extent cx="7160260" cy="1092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-163195</wp:posOffset>
            </wp:positionV>
            <wp:extent cx="7160260" cy="143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Year ended February 28/29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(ZAR)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(ZAR)</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r>
      <w:tr>
        <w:trPr>
          <w:trHeight w:val="19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19.79</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612,422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499,518</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-163195</wp:posOffset>
            </wp:positionV>
            <wp:extent cx="7160260" cy="143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220"/>
          </w:cols>
          <w:pgMar w:left="300" w:top="724" w:right="379" w:bottom="1440" w:gutter="0" w:footer="0" w:header="0"/>
        </w:sectPr>
      </w:pP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20"/>
          </w:cols>
          <w:pgMar w:left="300" w:top="724" w:right="37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color w:val="auto"/>
        </w:rPr>
        <w:t>26. INTEREST IN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lists the entities which are controlled by the Group.</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Name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Holdings Proprietary Limited</w:t>
      </w:r>
    </w:p>
    <w:p>
      <w:pPr>
        <w:spacing w:after="0" w:line="209" w:lineRule="auto"/>
        <w:rPr>
          <w:sz w:val="20"/>
          <w:szCs w:val="20"/>
          <w:color w:val="auto"/>
        </w:rPr>
      </w:pPr>
      <w:r>
        <w:rPr>
          <w:rFonts w:ascii="Times New Roman" w:cs="Times New Roman" w:eastAsia="Times New Roman" w:hAnsi="Times New Roman"/>
          <w:sz w:val="14"/>
          <w:szCs w:val="14"/>
          <w:color w:val="auto"/>
        </w:rPr>
        <w:t>Carzuka.com Pte Ltd</w:t>
      </w:r>
      <w:r>
        <w:rPr>
          <w:rFonts w:ascii="Times New Roman" w:cs="Times New Roman" w:eastAsia="Times New Roman" w:hAnsi="Times New Roman"/>
          <w:sz w:val="23"/>
          <w:szCs w:val="23"/>
          <w:color w:val="auto"/>
          <w:vertAlign w:val="superscript"/>
        </w:rPr>
        <w:t>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Karooooo Management Company Pte. Ltd.</w:t>
      </w:r>
    </w:p>
    <w:p>
      <w:pPr>
        <w:spacing w:after="0" w:line="194" w:lineRule="auto"/>
        <w:rPr>
          <w:sz w:val="20"/>
          <w:szCs w:val="20"/>
          <w:color w:val="auto"/>
        </w:rPr>
      </w:pPr>
      <w:r>
        <w:rPr>
          <w:rFonts w:ascii="Times New Roman" w:cs="Times New Roman" w:eastAsia="Times New Roman" w:hAnsi="Times New Roman"/>
          <w:sz w:val="14"/>
          <w:szCs w:val="14"/>
          <w:color w:val="auto"/>
        </w:rPr>
        <w:t>Karooooo Software Pte. Ltd.</w:t>
      </w:r>
      <w:r>
        <w:rPr>
          <w:rFonts w:ascii="Times New Roman" w:cs="Times New Roman" w:eastAsia="Times New Roman" w:hAnsi="Times New Roman"/>
          <w:sz w:val="23"/>
          <w:szCs w:val="23"/>
          <w:color w:val="auto"/>
          <w:vertAlign w:val="superscript"/>
        </w:rPr>
        <w:t>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Karooooo Proprietary Ltd</w:t>
      </w:r>
    </w:p>
    <w:p>
      <w:pPr>
        <w:spacing w:after="0" w:line="194" w:lineRule="auto"/>
        <w:rPr>
          <w:sz w:val="20"/>
          <w:szCs w:val="20"/>
          <w:color w:val="auto"/>
        </w:rPr>
      </w:pPr>
      <w:r>
        <w:rPr>
          <w:rFonts w:ascii="Times New Roman" w:cs="Times New Roman" w:eastAsia="Times New Roman" w:hAnsi="Times New Roman"/>
          <w:sz w:val="14"/>
          <w:szCs w:val="14"/>
          <w:color w:val="auto"/>
        </w:rPr>
        <w:t>Karooooo Cartrack Limited</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(Cambodia) Co. Ltd</w:t>
      </w:r>
    </w:p>
    <w:p>
      <w:pPr>
        <w:spacing w:after="0" w:line="194" w:lineRule="auto"/>
        <w:rPr>
          <w:sz w:val="20"/>
          <w:szCs w:val="20"/>
          <w:color w:val="auto"/>
        </w:rPr>
      </w:pPr>
      <w:r>
        <w:rPr>
          <w:rFonts w:ascii="Times New Roman" w:cs="Times New Roman" w:eastAsia="Times New Roman" w:hAnsi="Times New Roman"/>
          <w:sz w:val="14"/>
          <w:szCs w:val="14"/>
          <w:color w:val="auto"/>
        </w:rPr>
        <w:t>Cartrack Swaziland (Pty) Ltd</w:t>
      </w:r>
      <w:r>
        <w:rPr>
          <w:rFonts w:ascii="Times New Roman" w:cs="Times New Roman" w:eastAsia="Times New Roman" w:hAnsi="Times New Roman"/>
          <w:sz w:val="23"/>
          <w:szCs w:val="23"/>
          <w:color w:val="auto"/>
          <w:vertAlign w:val="superscript"/>
        </w:rPr>
        <w:t>4</w:t>
      </w:r>
    </w:p>
    <w:p>
      <w:pPr>
        <w:spacing w:after="0" w:line="186" w:lineRule="auto"/>
        <w:rPr>
          <w:sz w:val="20"/>
          <w:szCs w:val="20"/>
          <w:color w:val="auto"/>
        </w:rPr>
      </w:pPr>
      <w:r>
        <w:rPr>
          <w:rFonts w:ascii="Times New Roman" w:cs="Times New Roman" w:eastAsia="Times New Roman" w:hAnsi="Times New Roman"/>
          <w:sz w:val="14"/>
          <w:szCs w:val="14"/>
          <w:color w:val="auto"/>
        </w:rPr>
        <w:t>Carzuka Pte Ltd</w:t>
      </w:r>
      <w:r>
        <w:rPr>
          <w:rFonts w:ascii="Times New Roman" w:cs="Times New Roman" w:eastAsia="Times New Roman" w:hAnsi="Times New Roman"/>
          <w:sz w:val="23"/>
          <w:szCs w:val="23"/>
          <w:color w:val="auto"/>
          <w:vertAlign w:val="superscript"/>
        </w:rPr>
        <w:t>1,5</w:t>
      </w:r>
    </w:p>
    <w:p>
      <w:pPr>
        <w:spacing w:after="0"/>
        <w:rPr>
          <w:sz w:val="20"/>
          <w:szCs w:val="20"/>
          <w:color w:val="auto"/>
        </w:rPr>
      </w:pPr>
      <w:r>
        <w:rPr>
          <w:rFonts w:ascii="Times New Roman" w:cs="Times New Roman" w:eastAsia="Times New Roman" w:hAnsi="Times New Roman"/>
          <w:sz w:val="14"/>
          <w:szCs w:val="14"/>
          <w:color w:val="auto"/>
        </w:rPr>
        <w:t>Karooooo Technologies Proprietary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Management Services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Manufacturing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Insurance Agency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Namibia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Technologies Pte.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Carzuka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Purple Rain Properties No.444 Proprietary Limited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Karooooo Logistics (Pty) Ltd</w:t>
      </w:r>
    </w:p>
    <w:p>
      <w:pPr>
        <w:spacing w:after="0" w:line="196" w:lineRule="auto"/>
        <w:rPr>
          <w:sz w:val="20"/>
          <w:szCs w:val="20"/>
          <w:color w:val="auto"/>
        </w:rPr>
      </w:pPr>
      <w:r>
        <w:rPr>
          <w:rFonts w:ascii="Times New Roman" w:cs="Times New Roman" w:eastAsia="Times New Roman" w:hAnsi="Times New Roman"/>
          <w:sz w:val="14"/>
          <w:szCs w:val="14"/>
          <w:color w:val="auto"/>
        </w:rPr>
        <w:t>Cartrack Telematics Proprietary Limited</w:t>
      </w:r>
      <w:r>
        <w:rPr>
          <w:rFonts w:ascii="Times New Roman" w:cs="Times New Roman" w:eastAsia="Times New Roman" w:hAnsi="Times New Roman"/>
          <w:sz w:val="23"/>
          <w:szCs w:val="23"/>
          <w:color w:val="auto"/>
          <w:vertAlign w:val="superscript"/>
        </w:rPr>
        <w:t>2</w:t>
      </w:r>
    </w:p>
    <w:p>
      <w:pPr>
        <w:spacing w:after="0" w:line="186" w:lineRule="auto"/>
        <w:rPr>
          <w:sz w:val="20"/>
          <w:szCs w:val="20"/>
          <w:color w:val="auto"/>
        </w:rPr>
      </w:pPr>
      <w:r>
        <w:rPr>
          <w:rFonts w:ascii="Times New Roman" w:cs="Times New Roman" w:eastAsia="Times New Roman" w:hAnsi="Times New Roman"/>
          <w:sz w:val="14"/>
          <w:szCs w:val="14"/>
          <w:color w:val="auto"/>
        </w:rPr>
        <w:t>Cartrack Academy (Pty) Ltd</w:t>
      </w:r>
      <w:r>
        <w:rPr>
          <w:rFonts w:ascii="Times New Roman" w:cs="Times New Roman" w:eastAsia="Times New Roman" w:hAnsi="Times New Roman"/>
          <w:sz w:val="23"/>
          <w:szCs w:val="23"/>
          <w:color w:val="auto"/>
          <w:vertAlign w:val="superscript"/>
        </w:rPr>
        <w:t>6</w:t>
      </w:r>
    </w:p>
    <w:p>
      <w:pPr>
        <w:spacing w:after="0"/>
        <w:rPr>
          <w:sz w:val="20"/>
          <w:szCs w:val="20"/>
          <w:color w:val="auto"/>
        </w:rPr>
      </w:pPr>
      <w:r>
        <w:rPr>
          <w:rFonts w:ascii="Times New Roman" w:cs="Times New Roman" w:eastAsia="Times New Roman" w:hAnsi="Times New Roman"/>
          <w:sz w:val="14"/>
          <w:szCs w:val="14"/>
          <w:color w:val="auto"/>
        </w:rPr>
        <w:t>Karu Holdings Proprietary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Combined Telematics Services Proprietary Limited</w:t>
      </w:r>
      <w:r>
        <w:rPr>
          <w:rFonts w:ascii="Times New Roman" w:cs="Times New Roman" w:eastAsia="Times New Roman" w:hAnsi="Times New Roman"/>
          <w:sz w:val="23"/>
          <w:szCs w:val="23"/>
          <w:color w:val="auto"/>
          <w:vertAlign w:val="superscript"/>
        </w:rPr>
        <w:t>1, 2,7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holding</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holding</w:t>
            </w:r>
          </w:p>
        </w:tc>
      </w:tr>
      <w:tr>
        <w:trPr>
          <w:trHeight w:val="190"/>
        </w:trPr>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Held by</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157"/>
        </w:trPr>
        <w:tc>
          <w:tcPr>
            <w:tcW w:w="294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Karooooo Ltd</w:t>
            </w:r>
          </w:p>
        </w:tc>
        <w:tc>
          <w:tcPr>
            <w:tcW w:w="100" w:type="dxa"/>
            <w:vAlign w:val="bottom"/>
          </w:tcPr>
          <w:p>
            <w:pPr>
              <w:spacing w:after="0"/>
              <w:rPr>
                <w:sz w:val="13"/>
                <w:szCs w:val="13"/>
                <w:color w:val="auto"/>
              </w:rPr>
            </w:pPr>
          </w:p>
        </w:tc>
        <w:tc>
          <w:tcPr>
            <w:tcW w:w="136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South Africa</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3"/>
                <w:szCs w:val="13"/>
                <w:color w:val="auto"/>
              </w:rPr>
            </w:pPr>
          </w:p>
        </w:tc>
      </w:tr>
      <w:tr>
        <w:trPr>
          <w:trHeight w:val="18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Singapore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90"/>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Singapore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8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Singapore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90"/>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8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Uganda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90"/>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Management Company Pte.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Cambodia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8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Management Company Pte.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Kingdom of Eswatini</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76.0</w:t>
            </w:r>
          </w:p>
        </w:tc>
      </w:tr>
      <w:tr>
        <w:trPr>
          <w:trHeight w:val="204"/>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Carzuka.com Pte.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Singapore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90"/>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Karooooo Proprietary Ltd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Namibia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Singapore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Holdings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70.1</w:t>
            </w:r>
          </w:p>
        </w:tc>
      </w:tr>
      <w:tr>
        <w:trPr>
          <w:trHeight w:val="18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49.0</w:t>
            </w:r>
          </w:p>
        </w:tc>
      </w:tr>
      <w:tr>
        <w:trPr>
          <w:trHeight w:val="204"/>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90"/>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8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Proprietary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49.0</w:t>
            </w:r>
          </w:p>
        </w:tc>
      </w:tr>
      <w:tr>
        <w:trPr>
          <w:trHeight w:val="548"/>
        </w:trPr>
        <w:tc>
          <w:tcPr>
            <w:tcW w:w="30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F-42</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-2760345</wp:posOffset>
            </wp:positionV>
            <wp:extent cx="7160260" cy="1092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-2522220</wp:posOffset>
            </wp:positionV>
            <wp:extent cx="7160260" cy="1092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-2283460</wp:posOffset>
            </wp:positionV>
            <wp:extent cx="7160260" cy="1092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-2044700</wp:posOffset>
            </wp:positionV>
            <wp:extent cx="7160260" cy="1295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60260" cy="12954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-1805940</wp:posOffset>
            </wp:positionV>
            <wp:extent cx="7160260" cy="1092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-1587500</wp:posOffset>
            </wp:positionV>
            <wp:extent cx="7160260" cy="1092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-1369695</wp:posOffset>
            </wp:positionV>
            <wp:extent cx="7160260" cy="1092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-1151255</wp:posOffset>
            </wp:positionV>
            <wp:extent cx="7160260" cy="1092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-932815</wp:posOffset>
            </wp:positionV>
            <wp:extent cx="7160260" cy="1092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-694055</wp:posOffset>
            </wp:positionV>
            <wp:extent cx="7160260" cy="1295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60260" cy="12954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-455930</wp:posOffset>
            </wp:positionV>
            <wp:extent cx="7160260" cy="1295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60260" cy="12954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-3013075</wp:posOffset>
            </wp:positionV>
            <wp:extent cx="7160260" cy="1225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635</wp:posOffset>
            </wp:positionV>
            <wp:extent cx="7160260" cy="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2">
            <w:col w:w="4100" w:space="320"/>
            <w:col w:w="6860"/>
          </w:cols>
          <w:pgMar w:left="300" w:top="724"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holding</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holding</w:t>
            </w: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Held by</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4"/>
        </w:trPr>
        <w:tc>
          <w:tcPr>
            <w:tcW w:w="43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CTK Shell 2 (Pty) Ltd</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Proprietary Limited</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Africa</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Tanzania Limited</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Tanzania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Karooooo Kenya Limited</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Kenya</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Engineering Technologies Limited</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Nigeria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PT. Cartrack Technologies Indonesia</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Indonesia</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4"/>
        </w:trPr>
        <w:tc>
          <w:tcPr>
            <w:tcW w:w="442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Cartrack Investments UK Limited</w:t>
            </w:r>
            <w:r>
              <w:rPr>
                <w:rFonts w:ascii="Times New Roman" w:cs="Times New Roman" w:eastAsia="Times New Roman" w:hAnsi="Times New Roman"/>
                <w:sz w:val="23"/>
                <w:szCs w:val="23"/>
                <w:color w:val="auto"/>
                <w:vertAlign w:val="superscript"/>
              </w:rPr>
              <w:t>1</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(China) Limited</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Hong Kong</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Malaysia SDN.BHD</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Malaysia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LLC</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U.A.E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PHL.INC.</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Philippines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South East Asia Pte. Limited</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Singapore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Ireland Limited</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Republic of Ireland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(Thailand) Company Limited</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Thailand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New Zealand Limited</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Zealand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(Australia) Proprietary Limited</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Australia</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Zambia Limited</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Zambia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4"/>
        </w:trPr>
        <w:tc>
          <w:tcPr>
            <w:tcW w:w="442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Cartrack (Mauritius)</w:t>
            </w:r>
            <w:r>
              <w:rPr>
                <w:rFonts w:ascii="Times New Roman" w:cs="Times New Roman" w:eastAsia="Times New Roman" w:hAnsi="Times New Roman"/>
                <w:sz w:val="23"/>
                <w:szCs w:val="23"/>
                <w:color w:val="auto"/>
                <w:vertAlign w:val="superscript"/>
              </w:rPr>
              <w:t>1,5</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Mauritius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Vietnam Limited Liability Company</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Pte.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Vietnam</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INC.</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Ireland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U.S.A</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Polska.Sp.zo.o</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Ireland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Poland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Portugal S.A.</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Ireland Limited</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Espana. S.L.U.</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Ireland Limited</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Spain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Karu.Com. Unipessoal. Lda</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Portugal S.A.</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4"/>
        </w:trPr>
        <w:tc>
          <w:tcPr>
            <w:tcW w:w="442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Cartrack Limitada</w:t>
            </w:r>
            <w:r>
              <w:rPr>
                <w:rFonts w:ascii="Times New Roman" w:cs="Times New Roman" w:eastAsia="Times New Roman" w:hAnsi="Times New Roman"/>
                <w:sz w:val="23"/>
                <w:szCs w:val="23"/>
                <w:color w:val="auto"/>
                <w:vertAlign w:val="superscript"/>
              </w:rPr>
              <w:t>2</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LLC</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Mozambique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2"/>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Auto Club LDA</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Cartrack Technologies LLC</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Mozambique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61"/>
        </w:trPr>
        <w:tc>
          <w:tcPr>
            <w:tcW w:w="4420" w:type="dxa"/>
            <w:vAlign w:val="bottom"/>
            <w:gridSpan w:val="2"/>
          </w:tcPr>
          <w:p>
            <w:pPr>
              <w:spacing w:after="0" w:line="161" w:lineRule="exact"/>
              <w:rPr>
                <w:sz w:val="20"/>
                <w:szCs w:val="20"/>
                <w:color w:val="auto"/>
              </w:rPr>
            </w:pPr>
            <w:r>
              <w:rPr>
                <w:rFonts w:ascii="Times New Roman" w:cs="Times New Roman" w:eastAsia="Times New Roman" w:hAnsi="Times New Roman"/>
                <w:sz w:val="12"/>
                <w:szCs w:val="12"/>
                <w:color w:val="auto"/>
              </w:rPr>
              <w:t>Cartrack for Information Technology Company</w:t>
            </w:r>
            <w:r>
              <w:rPr>
                <w:rFonts w:ascii="Times New Roman" w:cs="Times New Roman" w:eastAsia="Times New Roman" w:hAnsi="Times New Roman"/>
                <w:sz w:val="18"/>
                <w:szCs w:val="18"/>
                <w:color w:val="auto"/>
                <w:vertAlign w:val="superscript"/>
              </w:rPr>
              <w:t>1</w:t>
            </w: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Cartrack Technologies LLC</w:t>
            </w: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Kingdom of Saudi</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Arabia</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54" w:lineRule="exact"/>
        <w:rPr>
          <w:sz w:val="20"/>
          <w:szCs w:val="20"/>
          <w:color w:val="auto"/>
        </w:rPr>
      </w:pPr>
    </w:p>
    <w:p>
      <w:pPr>
        <w:ind w:left="260" w:hanging="254"/>
        <w:spacing w:after="0"/>
        <w:tabs>
          <w:tab w:leader="none" w:pos="2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Dormant</w:t>
      </w:r>
    </w:p>
    <w:p>
      <w:pPr>
        <w:spacing w:after="0" w:line="25" w:lineRule="exact"/>
        <w:rPr>
          <w:sz w:val="20"/>
          <w:szCs w:val="20"/>
          <w:color w:val="auto"/>
        </w:rPr>
      </w:pPr>
    </w:p>
    <w:p>
      <w:pPr>
        <w:jc w:val="both"/>
        <w:ind w:left="260" w:hanging="254"/>
        <w:spacing w:after="0" w:line="256" w:lineRule="auto"/>
        <w:tabs>
          <w:tab w:leader="none" w:pos="2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considers Cartrack Limitada, Combined Telematics Services Proprietary Limited and Cartrack Telematics Proprietary Limited as subsidiaries of the Group as the Group has the right to appoint majority of the directors on the Board of Directors of these entities through contractual shareholders’ agreement. The Board of Directors of the companies direct the relevant activities of these entities. Accordingly, the Group is exposed to and has the rights to variable returns, and has the ability to affect those returns through the Board of Directors.</w:t>
      </w:r>
    </w:p>
    <w:p>
      <w:pPr>
        <w:ind w:left="260" w:hanging="254"/>
        <w:spacing w:after="0"/>
        <w:tabs>
          <w:tab w:leader="none" w:pos="2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the share capital of Karooooo Cartrack Limited is held by Karooooo Limited and the remainder 10% of the share capital is held by Karooooo Management Company Pte Limited.</w:t>
      </w:r>
    </w:p>
    <w:p>
      <w:pPr>
        <w:spacing w:after="0" w:line="10" w:lineRule="exact"/>
        <w:rPr>
          <w:rFonts w:ascii="Times New Roman" w:cs="Times New Roman" w:eastAsia="Times New Roman" w:hAnsi="Times New Roman"/>
          <w:sz w:val="14"/>
          <w:szCs w:val="14"/>
          <w:color w:val="auto"/>
        </w:rPr>
      </w:pPr>
    </w:p>
    <w:p>
      <w:pPr>
        <w:ind w:right="130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74% of the share capital of Cartrack Swaziland (Pty) Ltd is held by Karooooo Management Company Pte. Ltd. and 2% is held by Cartrack Holdings Proprietary Limited. 5 As at financial year ended February 28, 2025, the entities were deregistered and ceased to exist as legal entities.</w:t>
      </w:r>
    </w:p>
    <w:p>
      <w:pPr>
        <w:ind w:right="608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CTK Shell 1 (Pty) Ltd was renamed to Cartrack Academy (Pty) Ltd on June 20, 2024. 7 This entity was deregistered after February 28,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provided to subsidiary companies which require financial support have been subordinated in favor of third- party creditors of the underlying companies.</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On March 1, 2023, Cartrack acquired 76% of the shares and voting interests in Cartrack Swaziland (Pty) Ltd for a consideration of ZAR 9,120,000, recognizing a goodwill of ZAR 6.2 million (see Note 27).</w:t>
      </w:r>
    </w:p>
    <w:p>
      <w:pPr>
        <w:spacing w:after="0" w:line="12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On April 30, 2024, Karooooo Logistics (Pty) Ltd repurchased its ordinary shares at a purchase price of ZAR 15.2 million in accordance with the Companies Act of South Africa and cancelled the repurchased shares. As a result, the Group’s effective shareholding in Karooooo Logistics (Pty) Ltd increased from 70.1% to 74.8% after completion of the repurchase and cancellation.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53" w:name="page154"/>
    <w:bookmarkEnd w:id="153"/>
    <w:p>
      <w:pPr>
        <w:ind w:left="220" w:hanging="214"/>
        <w:spacing w:after="0"/>
        <w:tabs>
          <w:tab w:leader="none" w:pos="22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 OF SUBSIDIARY</w:t>
      </w:r>
    </w:p>
    <w:p>
      <w:pPr>
        <w:spacing w:after="0" w:line="182"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 Cartrack Swaziland (Pty) Ltd</w:t>
      </w:r>
    </w:p>
    <w:p>
      <w:pPr>
        <w:spacing w:after="0" w:line="185"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4"/>
          <w:szCs w:val="14"/>
          <w:color w:val="auto"/>
        </w:rPr>
        <w:t>On March 8, 2023, the Group acquired 76% of the shares and voting interests in Cartrack Swaziland (Pty) Ltd, from its existing franchisees for a consideration of ZAR 9.12 million, recognizing a goodwill of ZAR 6.2 million. The goodwill amount is not material to the Group.</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fair values of identifiable net assets and the cash outflows on the acquisition were as follows: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8"/>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29,</w:t>
            </w:r>
          </w:p>
        </w:tc>
      </w:tr>
      <w:tr>
        <w:trPr>
          <w:trHeight w:val="190"/>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8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shd w:val="clear" w:color="auto" w:fill="CCEEFF"/>
          </w:tcPr>
          <w:p>
            <w:pPr>
              <w:spacing w:after="0"/>
              <w:rPr>
                <w:sz w:val="14"/>
                <w:szCs w:val="14"/>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3,778</w:t>
            </w:r>
          </w:p>
        </w:tc>
        <w:tc>
          <w:tcPr>
            <w:tcW w:w="80" w:type="dxa"/>
            <w:vAlign w:val="bottom"/>
          </w:tcPr>
          <w:p>
            <w:pPr>
              <w:spacing w:after="0"/>
              <w:rPr>
                <w:sz w:val="14"/>
                <w:szCs w:val="14"/>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 (excluding cash and cash equivalents)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4"/>
                <w:szCs w:val="14"/>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(354)</w:t>
            </w:r>
          </w:p>
        </w:tc>
      </w:tr>
      <w:tr>
        <w:trPr>
          <w:trHeight w:val="18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(2,683)</w:t>
            </w:r>
          </w:p>
        </w:tc>
      </w:tr>
      <w:tr>
        <w:trPr>
          <w:trHeight w:val="172"/>
        </w:trPr>
        <w:tc>
          <w:tcPr>
            <w:tcW w:w="85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7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identifiable assets acquired</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shd w:val="clear" w:color="auto" w:fill="CCEEFF"/>
          </w:tcPr>
          <w:p>
            <w:pPr>
              <w:spacing w:after="0"/>
              <w:rPr>
                <w:sz w:val="14"/>
                <w:szCs w:val="14"/>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Goodwill</w:t>
            </w: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6,223</w:t>
            </w:r>
          </w:p>
        </w:tc>
        <w:tc>
          <w:tcPr>
            <w:tcW w:w="80" w:type="dxa"/>
            <w:vAlign w:val="bottom"/>
          </w:tcPr>
          <w:p>
            <w:pPr>
              <w:spacing w:after="0"/>
              <w:rPr>
                <w:sz w:val="14"/>
                <w:szCs w:val="14"/>
                <w:color w:val="auto"/>
              </w:rPr>
            </w:pPr>
          </w:p>
        </w:tc>
      </w:tr>
      <w:tr>
        <w:trPr>
          <w:trHeight w:val="20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NCI based on proportionate interest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(915)</w:t>
            </w:r>
          </w:p>
        </w:tc>
      </w:tr>
      <w:tr>
        <w:trPr>
          <w:trHeight w:val="153"/>
        </w:trPr>
        <w:tc>
          <w:tcPr>
            <w:tcW w:w="870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Cash consideration transferred for the business</w:t>
            </w:r>
          </w:p>
        </w:tc>
        <w:tc>
          <w:tcPr>
            <w:tcW w:w="11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9,120</w:t>
            </w: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72"/>
        </w:trPr>
        <w:tc>
          <w:tcPr>
            <w:tcW w:w="8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(3,778)</w:t>
            </w:r>
          </w:p>
        </w:tc>
      </w:tr>
      <w:tr>
        <w:trPr>
          <w:trHeight w:val="20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cash consideration payable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(240)</w:t>
            </w:r>
          </w:p>
        </w:tc>
      </w:tr>
      <w:tr>
        <w:trPr>
          <w:trHeight w:val="176"/>
        </w:trPr>
        <w:tc>
          <w:tcPr>
            <w:tcW w:w="87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outflow of cash</w:t>
            </w:r>
          </w:p>
        </w:tc>
        <w:tc>
          <w:tcPr>
            <w:tcW w:w="1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4"/>
          <w:szCs w:val="14"/>
          <w:color w:val="auto"/>
        </w:rPr>
        <w:t>Goodwill arising on the acquisitions is attributable to the synergies expected to arise from their integration with the Group, the skilled workforce acquired and the expanded customers. The primary reason for these acquisitions is to strategically expand its customer base.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color w:val="auto"/>
        </w:rPr>
        <w:t>28. RELATED PARTIES</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All related party transactions are entered into in the normal course of business and at prices available at negotiated terms. Whenever it exists, related party transactions also include transactions with entities that are controlled or significantly influenced by any key management personnel.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management personnel are the persons who have authority and responsibility for planning, directing and controlling the activities of the Group or the Company either directly or indirectly.</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 addition to the information disclosed in Notes 11, 12 and 18 in the financial statements, the following transactions took place between the Group and related parties which does not include any holding companies or associates and joint venture, at the terms agreed between parties: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28.1 Transactions with related parties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6"/>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72"/>
        </w:trPr>
        <w:tc>
          <w:tcPr>
            <w:tcW w:w="7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related parties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27,296</w:t>
            </w: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30,730</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20,139</w:t>
            </w: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related parties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(146,871)</w:t>
            </w:r>
          </w:p>
        </w:tc>
        <w:tc>
          <w:tcPr>
            <w:tcW w:w="1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(137,107)</w:t>
            </w:r>
          </w:p>
        </w:tc>
        <w:tc>
          <w:tcPr>
            <w:tcW w:w="2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(92,520)</w:t>
            </w:r>
          </w:p>
        </w:tc>
      </w:tr>
      <w:tr>
        <w:trPr>
          <w:trHeight w:val="20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Rent paid to related parties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(8,727)</w:t>
            </w:r>
          </w:p>
        </w:tc>
        <w:tc>
          <w:tcPr>
            <w:tcW w:w="140" w:type="dxa"/>
            <w:vAlign w:val="bottom"/>
            <w:tcBorders>
              <w:right w:val="single" w:sz="8" w:color="CCEEFF"/>
            </w:tcBorders>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(8,468)</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(6,121)</w:t>
            </w:r>
          </w:p>
        </w:tc>
      </w:tr>
      <w:tr>
        <w:trPr>
          <w:trHeight w:val="496"/>
        </w:trPr>
        <w:tc>
          <w:tcPr>
            <w:tcW w:w="73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28.2 Balances with related parties</w:t>
            </w: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46"/>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r>
      <w:tr>
        <w:trPr>
          <w:trHeight w:val="184"/>
        </w:trPr>
        <w:tc>
          <w:tcPr>
            <w:tcW w:w="7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72"/>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from related parties</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542</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 due to related parties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(3,686)</w:t>
            </w:r>
          </w:p>
        </w:tc>
        <w:tc>
          <w:tcPr>
            <w:tcW w:w="2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(12,230)</w:t>
            </w: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due from related parties</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28,700</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28,200</w:t>
            </w:r>
          </w:p>
        </w:tc>
      </w:tr>
      <w:tr>
        <w:trPr>
          <w:trHeight w:val="18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due to related parties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(924)</w:t>
            </w:r>
          </w:p>
        </w:tc>
      </w:tr>
      <w:tr>
        <w:trPr>
          <w:trHeight w:val="343"/>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28.3 Key management compensation short term employee benefits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Key management personnel compensation comprised the following:</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2"/>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72"/>
        </w:trPr>
        <w:tc>
          <w:tcPr>
            <w:tcW w:w="7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18,285</w:t>
            </w: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18,094</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16,557</w:t>
            </w:r>
          </w:p>
        </w:tc>
      </w:tr>
      <w:tr>
        <w:trPr>
          <w:trHeight w:val="183"/>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Post-employment benefits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430</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378</w:t>
            </w:r>
          </w:p>
        </w:tc>
      </w:tr>
      <w:tr>
        <w:trPr>
          <w:trHeight w:val="21"/>
        </w:trPr>
        <w:tc>
          <w:tcPr>
            <w:tcW w:w="7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7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18,741</w:t>
            </w:r>
          </w:p>
        </w:tc>
        <w:tc>
          <w:tcPr>
            <w:tcW w:w="140" w:type="dxa"/>
            <w:vAlign w:val="bottom"/>
            <w:tcBorders>
              <w:right w:val="single" w:sz="8" w:color="CCEEFF"/>
            </w:tcBorders>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18,524</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16,935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disclosed in the table are the amounts recognized as an expense during the reporting period related to directors and key management personnel.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29. RISK MANAGEMENT</w:t>
      </w:r>
    </w:p>
    <w:p>
      <w:pPr>
        <w:spacing w:after="0" w:line="1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Directors have overall responsibility for the establishment in oversight of the Group’s risk management framework. The Directors have established the Audit and risk committee which is responsible for developing and monitoring the Group’s risk management policies. The committee reports regularly to the Directors on its activities.</w:t>
      </w:r>
    </w:p>
    <w:p>
      <w:pPr>
        <w:spacing w:after="0" w:line="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Group’s risk management policies are established to identify and analyze the risk faced by the Group, to set appropriate risk limits, implement controls to enforce limits to monitor risk and adherence to limits.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committee is assisted in its oversight role by internal audit. Internal audit reviews risk and management controls and procedures, the results of which are reported to the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29.1 </w:t>
      </w:r>
      <w:r>
        <w:rPr>
          <w:rFonts w:ascii="Times New Roman" w:cs="Times New Roman" w:eastAsia="Times New Roman" w:hAnsi="Times New Roman"/>
          <w:sz w:val="14"/>
          <w:szCs w:val="14"/>
          <w:b w:val="1"/>
          <w:bCs w:val="1"/>
          <w:i w:val="1"/>
          <w:iCs w:val="1"/>
          <w:color w:val="auto"/>
        </w:rPr>
        <w:t>Capital management</w:t>
      </w:r>
    </w:p>
    <w:p>
      <w:pPr>
        <w:spacing w:after="0" w:line="13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Group’s policy is to maintain a strong capital base so as to maintain investor, creditor and market confidence and to sustain future development of the business. Management monitors return of capital, as well as the level of dividends to shareholders.</w:t>
      </w:r>
    </w:p>
    <w:p>
      <w:pPr>
        <w:spacing w:after="0" w:line="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capital structure of the Group consists of debt, which includes the borrowings and lease obligations disclosed in Note 15 and 16 respectively, cash and cash equivalents and bank overdraft disclosed in Note 13, and equity as disclosed in the consolidated statement of financial position.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changes in the Group’s approach to the capital management during the financial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order to maintain or adjust the capital structure, the Group may adjust the amounts of dividends paid to shareholders, return capital to shareholders, issue new shares or sell assets to reduce debt.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color w:val="auto"/>
        </w:rPr>
        <w:t xml:space="preserve">29.2 </w:t>
      </w:r>
      <w:r>
        <w:rPr>
          <w:rFonts w:ascii="Times New Roman" w:cs="Times New Roman" w:eastAsia="Times New Roman" w:hAnsi="Times New Roman"/>
          <w:sz w:val="14"/>
          <w:szCs w:val="14"/>
          <w:b w:val="1"/>
          <w:bCs w:val="1"/>
          <w:i w:val="1"/>
          <w:iCs w:val="1"/>
          <w:color w:val="auto"/>
        </w:rPr>
        <w:t>Financial risk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has exposure to the following risks arising from financial instruments: credit risk, liquidity risk, currency and interest rate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29.2 (a) Credit risk</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Credit risk is the risk of financial loss to the Group if a customer or financial institution where deposits are held fail to meet the contractual obligations, and arises principally from the Group’s receivables from customers, cash deposits and cash equivalents.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Credit risk is managed by each subsidiary subject to the Group’s established policy and procedure. The Group has a general credit policy of only dealing with credit worthy customers. A significant element of its individual customers is on debit-order payment method to assess credit risk.</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Trade receivables comprise a widespread customer base. Management evaluates credit risk relating to customers on an ongoing basis. If customers are independently rated, these ratings are used. Otherwise, if there is no independent rating, risk control assesses the credit quality of the customer, taking into account its financial position, past experience and other factors. Individual risk limits are set based on internal or external ratings in accordance with limits set by the Directors. The utilization of credit limits is regularly monitored. The Group does not have any significant credit risk exposure to any single customer or any Group of customers having similar characteristics.</w:t>
      </w:r>
    </w:p>
    <w:p>
      <w:pPr>
        <w:spacing w:after="0" w:line="1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There has been no change in credit risk estimation techniques since the last financial year. The carrying amounts of financial assets represent the maximum credit exposure. Expected credit losses on financial assets recognized in profit or loss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72"/>
        </w:trPr>
        <w:tc>
          <w:tcPr>
            <w:tcW w:w="7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credit loss provision on trade receivables arising from contracts with customers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114,555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87,541</w:t>
            </w:r>
          </w:p>
        </w:tc>
      </w:tr>
      <w:tr>
        <w:trPr>
          <w:trHeight w:val="21"/>
        </w:trPr>
        <w:tc>
          <w:tcPr>
            <w:tcW w:w="7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Trade receivables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Group’s exposure to credit risk is influenced mainly by the individual characteristics of each customer. However, management also considers the factors that may influence the credit risk of its customer base, including the default risk associated with the country in which the customer operates. Details of concentration of revenue are included in Note 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Expected credit loss assessment process followed in the current financial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impairment analysis is performed at each reporting date using a provision matrix to measure expected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rates are based on days since invoicing date for various groupings of various customer segments with similar loss patterns.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calculation reflects the probability-weighted outcome and reasonable and supportable information that is available at the reporting date about past events, current conditions and forecasts of future conditions.</w:t>
      </w:r>
    </w:p>
    <w:p>
      <w:pPr>
        <w:sectPr>
          <w:pgSz w:w="11900" w:h="16838" w:orient="portrait"/>
          <w:cols w:equalWidth="0" w:num="1">
            <w:col w:w="11280"/>
          </w:cols>
          <w:pgMar w:left="300" w:top="722" w:right="31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the expected credit loss rate for trade receivables by ageing category: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4589145"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4589145" cy="1333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invoicing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 month since invoicing date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months since invoicing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3 months since invoicing 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43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6026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w:t>
            </w:r>
          </w:p>
        </w:tc>
      </w:tr>
      <w:tr>
        <w:trPr>
          <w:trHeight w:val="172"/>
        </w:trPr>
        <w:tc>
          <w:tcPr>
            <w:tcW w:w="13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credit loss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190"/>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w:t>
            </w:r>
          </w:p>
        </w:tc>
      </w:tr>
      <w:tr>
        <w:trPr>
          <w:trHeight w:val="501"/>
        </w:trPr>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229,073</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13,546</w:t>
            </w:r>
          </w:p>
        </w:tc>
      </w:tr>
      <w:tr>
        <w:trPr>
          <w:trHeight w:val="172"/>
        </w:trPr>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82,721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w:t>
            </w:r>
          </w:p>
        </w:tc>
      </w:tr>
      <w:tr>
        <w:trPr>
          <w:trHeight w:val="172"/>
        </w:trPr>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38,484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8,998</w:t>
            </w:r>
          </w:p>
        </w:tc>
      </w:tr>
      <w:tr>
        <w:trPr>
          <w:trHeight w:val="199"/>
        </w:trPr>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322,461</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178,060</w:t>
            </w:r>
          </w:p>
        </w:tc>
      </w:tr>
      <w:tr>
        <w:trPr>
          <w:trHeight w:val="195"/>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672,739</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210,906</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6720" w:space="640"/>
            <w:col w:w="3920"/>
          </w:cols>
          <w:pgMar w:left="300" w:top="722"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tc>
        <w:tc>
          <w:tcPr>
            <w:tcW w:w="37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Since invoicing</w:t>
            </w:r>
          </w:p>
        </w:tc>
        <w:tc>
          <w:tcPr>
            <w:tcW w:w="51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201,762</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12,844</w:t>
            </w:r>
          </w:p>
        </w:tc>
      </w:tr>
      <w:tr>
        <w:trPr>
          <w:trHeight w:val="17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 month since invoicing date</w:t>
            </w:r>
          </w:p>
        </w:tc>
        <w:tc>
          <w:tcPr>
            <w:tcW w:w="51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8,988</w:t>
            </w: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2 months since invoicing date</w:t>
            </w:r>
          </w:p>
        </w:tc>
        <w:tc>
          <w:tcPr>
            <w:tcW w:w="51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39,487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8,627</w:t>
            </w: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 months since invoicing date</w:t>
            </w:r>
          </w:p>
        </w:tc>
        <w:tc>
          <w:tcPr>
            <w:tcW w:w="37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134,781</w:t>
            </w:r>
          </w:p>
        </w:tc>
      </w:tr>
      <w:tr>
        <w:trPr>
          <w:trHeight w:val="176"/>
        </w:trPr>
        <w:tc>
          <w:tcPr>
            <w:tcW w:w="3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37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554,107</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165,240</w:t>
            </w:r>
          </w:p>
        </w:tc>
        <w:tc>
          <w:tcPr>
            <w:tcW w:w="100" w:type="dxa"/>
            <w:vAlign w:val="bottom"/>
            <w:tcBorders>
              <w:top w:val="single" w:sz="8" w:color="CCEEFF"/>
            </w:tcBorders>
          </w:tcPr>
          <w:p>
            <w:pPr>
              <w:spacing w:after="0"/>
              <w:rPr>
                <w:sz w:val="15"/>
                <w:szCs w:val="15"/>
                <w:color w:val="auto"/>
              </w:rPr>
            </w:pPr>
          </w:p>
        </w:tc>
      </w:tr>
      <w:tr>
        <w:trPr>
          <w:trHeight w:val="20"/>
        </w:trPr>
        <w:tc>
          <w:tcPr>
            <w:tcW w:w="36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9"/>
        </w:trPr>
        <w:tc>
          <w:tcPr>
            <w:tcW w:w="36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3"/>
          </w:tcPr>
          <w:p>
            <w:pPr>
              <w:jc w:val="right"/>
              <w:ind w:right="2868"/>
              <w:spacing w:after="0"/>
              <w:rPr>
                <w:sz w:val="20"/>
                <w:szCs w:val="20"/>
                <w:color w:val="auto"/>
              </w:rPr>
            </w:pPr>
            <w:r>
              <w:rPr>
                <w:rFonts w:ascii="Times New Roman" w:cs="Times New Roman" w:eastAsia="Times New Roman" w:hAnsi="Times New Roman"/>
                <w:sz w:val="14"/>
                <w:szCs w:val="14"/>
                <w:color w:val="auto"/>
              </w:rPr>
              <w:t>F-46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Group held cash and cash equivalents of ZAR 643.3 million as at February 28, 2025 (2024: ZAR 459.5 million) and short term deposits amounting to ZAR 399.5 million as at February 28, 2025 (2024: ZAR 485.7 million). The amounts are held with major banks and financial institutions which are rated and regulated in each country. Management believes that these financial institutions are of high credit quality and continually monitors the credit worthiness of these financial institutions. None of the bank’s holding deposits show financial strain. Impairment on cash and cash equivalents at bank and short term deposits has been measured on a 12-month expected loss and reflect the short maturity of the exposures. The Group considers that its cash and cash equivalents at bank and short term deposits have low credit risk and the amount of the allowance to be insignificant.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29.2 (b) Liquidity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manages liquidity risk through an ongoing review of future commitments and ensures that there is adequate funding available in terms of cash reserves and committed funding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 forecasts are prepared and available borrowing facilities are monitored on an ongoing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Exposure to liquidity risk</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table below analyzes the Group’s financial liabilities into relevant maturity groupings based on the remaining period at the statement of financial position to the contractual maturity date. The amounts disclosed in the table are the contractual undiscounted cash flows and includes contractual interest payments.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4 years</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43"/>
        </w:trPr>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306,556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6,355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341,969</w:t>
            </w:r>
          </w:p>
        </w:tc>
        <w:tc>
          <w:tcPr>
            <w:tcW w:w="100" w:type="dxa"/>
            <w:vAlign w:val="bottom"/>
            <w:shd w:val="clear" w:color="auto" w:fill="CCEEFF"/>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obligations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84,398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69,922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46,061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16,821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217,990</w:t>
            </w:r>
          </w:p>
        </w:tc>
        <w:tc>
          <w:tcPr>
            <w:tcW w:w="100" w:type="dxa"/>
            <w:vAlign w:val="bottom"/>
          </w:tcPr>
          <w:p>
            <w:pPr>
              <w:spacing w:after="0"/>
              <w:rPr>
                <w:sz w:val="14"/>
                <w:szCs w:val="14"/>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414,147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414,147</w:t>
            </w:r>
          </w:p>
        </w:tc>
        <w:tc>
          <w:tcPr>
            <w:tcW w:w="100" w:type="dxa"/>
            <w:vAlign w:val="bottom"/>
            <w:shd w:val="clear" w:color="auto" w:fill="CCEEFF"/>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from a related party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r>
      <w:tr>
        <w:trPr>
          <w:trHeight w:val="20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overdraft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205,299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205,299</w:t>
            </w:r>
          </w:p>
        </w:tc>
        <w:tc>
          <w:tcPr>
            <w:tcW w:w="100" w:type="dxa"/>
            <w:vAlign w:val="bottom"/>
            <w:shd w:val="clear" w:color="auto" w:fill="CCEEFF"/>
          </w:tcPr>
          <w:p>
            <w:pPr>
              <w:spacing w:after="0"/>
              <w:rPr>
                <w:sz w:val="17"/>
                <w:szCs w:val="17"/>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4"/>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11,313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45,089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56,402</w:t>
            </w:r>
          </w:p>
        </w:tc>
        <w:tc>
          <w:tcPr>
            <w:tcW w:w="100" w:type="dxa"/>
            <w:vAlign w:val="bottom"/>
          </w:tcPr>
          <w:p>
            <w:pPr>
              <w:spacing w:after="0"/>
              <w:rPr>
                <w:sz w:val="14"/>
                <w:szCs w:val="14"/>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obligations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74,161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63,876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34,842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31,868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15,033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219,780</w:t>
            </w:r>
          </w:p>
        </w:tc>
        <w:tc>
          <w:tcPr>
            <w:tcW w:w="100" w:type="dxa"/>
            <w:vAlign w:val="bottom"/>
            <w:shd w:val="clear" w:color="auto" w:fill="CCEEFF"/>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398,153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398,153</w:t>
            </w:r>
          </w:p>
        </w:tc>
        <w:tc>
          <w:tcPr>
            <w:tcW w:w="100" w:type="dxa"/>
            <w:vAlign w:val="bottom"/>
          </w:tcPr>
          <w:p>
            <w:pPr>
              <w:spacing w:after="0"/>
              <w:rPr>
                <w:sz w:val="14"/>
                <w:szCs w:val="14"/>
                <w:color w:val="auto"/>
              </w:rPr>
            </w:pPr>
          </w:p>
        </w:tc>
      </w:tr>
      <w:tr>
        <w:trPr>
          <w:trHeight w:val="17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from a related party</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4"/>
                <w:szCs w:val="14"/>
                <w:color w:val="auto"/>
              </w:rPr>
            </w:pPr>
          </w:p>
        </w:tc>
      </w:tr>
      <w:tr>
        <w:trPr>
          <w:trHeight w:val="206"/>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overdraft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23,362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23,362</w:t>
            </w:r>
          </w:p>
        </w:tc>
        <w:tc>
          <w:tcPr>
            <w:tcW w:w="10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29.2 (c) Currency risk</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(EUR), Mozambican metical (MZN), the Singapore dollar (SGD) and Polish zloty (PLN).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does not apply hedge accounting.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Exposure to currency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summarized quantitative data about the Group’s exposure to currency risk of the Group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USD</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EUR</w:t>
            </w:r>
          </w:p>
        </w:tc>
        <w:tc>
          <w:tcPr>
            <w:tcW w:w="100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SGD</w:t>
            </w:r>
          </w:p>
        </w:tc>
        <w:tc>
          <w:tcPr>
            <w:tcW w:w="0" w:type="dxa"/>
            <w:vAlign w:val="bottom"/>
          </w:tcPr>
          <w:p>
            <w:pPr>
              <w:spacing w:after="0"/>
              <w:rPr>
                <w:sz w:val="1"/>
                <w:szCs w:val="1"/>
                <w:color w:val="auto"/>
              </w:rPr>
            </w:pPr>
          </w:p>
        </w:tc>
      </w:tr>
      <w:tr>
        <w:trPr>
          <w:trHeight w:val="343"/>
        </w:trPr>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February 28, 2025</w:t>
            </w:r>
          </w:p>
        </w:tc>
        <w:tc>
          <w:tcPr>
            <w:tcW w:w="4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5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55,354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34,535</w:t>
            </w: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50,212</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825,778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16,614</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16,561</w:t>
            </w: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44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(4,334)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(36,366)</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(34,472)</w:t>
            </w:r>
          </w:p>
        </w:tc>
        <w:tc>
          <w:tcPr>
            <w:tcW w:w="0" w:type="dxa"/>
            <w:vAlign w:val="bottom"/>
          </w:tcPr>
          <w:p>
            <w:pPr>
              <w:spacing w:after="0"/>
              <w:rPr>
                <w:sz w:val="1"/>
                <w:szCs w:val="1"/>
                <w:color w:val="auto"/>
              </w:rPr>
            </w:pPr>
          </w:p>
        </w:tc>
      </w:tr>
      <w:tr>
        <w:trPr>
          <w:trHeight w:val="21"/>
        </w:trPr>
        <w:tc>
          <w:tcPr>
            <w:tcW w:w="358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580" w:type="dxa"/>
            <w:vAlign w:val="bottom"/>
          </w:tcPr>
          <w:p>
            <w:pPr>
              <w:spacing w:after="0"/>
              <w:rPr>
                <w:sz w:val="20"/>
                <w:szCs w:val="20"/>
                <w:color w:val="auto"/>
              </w:rPr>
            </w:pPr>
          </w:p>
        </w:tc>
        <w:tc>
          <w:tcPr>
            <w:tcW w:w="4440" w:type="dxa"/>
            <w:vAlign w:val="bottom"/>
            <w:gridSpan w:val="2"/>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876,798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14,783</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32,301</w:t>
            </w:r>
          </w:p>
        </w:tc>
        <w:tc>
          <w:tcPr>
            <w:tcW w:w="0" w:type="dxa"/>
            <w:vAlign w:val="bottom"/>
          </w:tcPr>
          <w:p>
            <w:pPr>
              <w:spacing w:after="0"/>
              <w:rPr>
                <w:sz w:val="1"/>
                <w:szCs w:val="1"/>
                <w:color w:val="auto"/>
              </w:rPr>
            </w:pPr>
          </w:p>
        </w:tc>
      </w:tr>
      <w:tr>
        <w:trPr>
          <w:trHeight w:val="164"/>
        </w:trPr>
        <w:tc>
          <w:tcPr>
            <w:tcW w:w="358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 February 29, 2024</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5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326,060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5,213</w:t>
            </w: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Loan from a related party</w:t>
            </w:r>
          </w:p>
        </w:tc>
        <w:tc>
          <w:tcPr>
            <w:tcW w:w="5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127,802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86,824</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related parties</w:t>
            </w:r>
          </w:p>
        </w:tc>
        <w:tc>
          <w:tcPr>
            <w:tcW w:w="56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(236,878)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(20,869)</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70,015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2,590</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44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(230,793)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(5,318)</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(15,639)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76"/>
        </w:trPr>
        <w:tc>
          <w:tcPr>
            <w:tcW w:w="3580" w:type="dxa"/>
            <w:vAlign w:val="bottom"/>
          </w:tcPr>
          <w:p>
            <w:pPr>
              <w:spacing w:after="0"/>
              <w:rPr>
                <w:sz w:val="15"/>
                <w:szCs w:val="15"/>
                <w:color w:val="auto"/>
              </w:rPr>
            </w:pPr>
          </w:p>
        </w:tc>
        <w:tc>
          <w:tcPr>
            <w:tcW w:w="4440" w:type="dxa"/>
            <w:vAlign w:val="bottom"/>
            <w:gridSpan w:val="2"/>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56,206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89,309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5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4"/>
          </w:tcPr>
          <w:p>
            <w:pPr>
              <w:jc w:val="right"/>
              <w:ind w:right="3400"/>
              <w:spacing w:after="0"/>
              <w:rPr>
                <w:sz w:val="20"/>
                <w:szCs w:val="20"/>
                <w:color w:val="auto"/>
              </w:rPr>
            </w:pPr>
            <w:r>
              <w:rPr>
                <w:rFonts w:ascii="Times New Roman" w:cs="Times New Roman" w:eastAsia="Times New Roman" w:hAnsi="Times New Roman"/>
                <w:sz w:val="14"/>
                <w:szCs w:val="14"/>
                <w:color w:val="auto"/>
              </w:rPr>
              <w:t>F-47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4"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i w:val="1"/>
          <w:iCs w:val="1"/>
          <w:color w:val="auto"/>
        </w:rPr>
        <w:t>Sensitivity analysis</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 strengthening/weakening of the ZAR against the USD, EUR and SGD, at year-end would have impacted the measurement of financial instruments denominated in a foreign currency, equity and profit or loss by the amounts shown below. The analysis assumes that all other variables remain constant. A factor change of 10% has been applied to the exchange rates.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Strengthening</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Weakening of</w:t>
            </w:r>
          </w:p>
        </w:tc>
      </w:tr>
      <w:tr>
        <w:trPr>
          <w:trHeight w:val="190"/>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of ZAR</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ZAR</w:t>
            </w:r>
          </w:p>
        </w:tc>
        <w:tc>
          <w:tcPr>
            <w:tcW w:w="100" w:type="dxa"/>
            <w:vAlign w:val="bottom"/>
          </w:tcPr>
          <w:p>
            <w:pPr>
              <w:spacing w:after="0"/>
              <w:rPr>
                <w:sz w:val="16"/>
                <w:szCs w:val="16"/>
                <w:color w:val="auto"/>
              </w:rPr>
            </w:pPr>
          </w:p>
        </w:tc>
      </w:tr>
      <w:tr>
        <w:trPr>
          <w:trHeight w:val="343"/>
        </w:trPr>
        <w:tc>
          <w:tcPr>
            <w:tcW w:w="9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USD</w:t>
            </w:r>
          </w:p>
        </w:tc>
        <w:tc>
          <w:tcPr>
            <w:tcW w:w="11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(87,680)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87,680</w:t>
            </w:r>
          </w:p>
        </w:tc>
        <w:tc>
          <w:tcPr>
            <w:tcW w:w="100" w:type="dxa"/>
            <w:vAlign w:val="bottom"/>
            <w:shd w:val="clear" w:color="auto" w:fill="CCEEFF"/>
          </w:tcPr>
          <w:p>
            <w:pPr>
              <w:spacing w:after="0"/>
              <w:rPr>
                <w:sz w:val="14"/>
                <w:szCs w:val="14"/>
                <w:color w:val="auto"/>
              </w:rPr>
            </w:pPr>
          </w:p>
        </w:tc>
      </w:tr>
      <w:tr>
        <w:trPr>
          <w:trHeight w:val="172"/>
        </w:trPr>
        <w:tc>
          <w:tcPr>
            <w:tcW w:w="9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EUR</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(1,478)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Pr>
          <w:p>
            <w:pPr>
              <w:spacing w:after="0"/>
              <w:rPr>
                <w:sz w:val="14"/>
                <w:szCs w:val="14"/>
                <w:color w:val="auto"/>
              </w:rPr>
            </w:pPr>
          </w:p>
        </w:tc>
      </w:tr>
      <w:tr>
        <w:trPr>
          <w:trHeight w:val="203"/>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SGD</w:t>
            </w:r>
          </w:p>
        </w:tc>
        <w:tc>
          <w:tcPr>
            <w:tcW w:w="11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(3,230)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shd w:val="clear" w:color="auto" w:fill="CCEEFF"/>
          </w:tcPr>
          <w:p>
            <w:pPr>
              <w:spacing w:after="0"/>
              <w:rPr>
                <w:sz w:val="17"/>
                <w:szCs w:val="17"/>
                <w:color w:val="auto"/>
              </w:rPr>
            </w:pPr>
          </w:p>
        </w:tc>
      </w:tr>
      <w:tr>
        <w:trPr>
          <w:trHeight w:val="216"/>
        </w:trPr>
        <w:tc>
          <w:tcPr>
            <w:tcW w:w="90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(92,388</w:t>
            </w:r>
          </w:p>
        </w:tc>
        <w:tc>
          <w:tcPr>
            <w:tcW w:w="220" w:type="dxa"/>
            <w:vAlign w:val="bottom"/>
            <w:tcBorders>
              <w:top w:val="single" w:sz="8" w:color="CCEEFF"/>
              <w:bottom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92,388</w:t>
            </w:r>
          </w:p>
        </w:tc>
        <w:tc>
          <w:tcPr>
            <w:tcW w:w="100" w:type="dxa"/>
            <w:vAlign w:val="bottom"/>
            <w:tcBorders>
              <w:top w:val="single" w:sz="8" w:color="CCEEFF"/>
              <w:bottom w:val="single" w:sz="8" w:color="CCEEFF"/>
            </w:tcBorders>
          </w:tcPr>
          <w:p>
            <w:pPr>
              <w:spacing w:after="0"/>
              <w:rPr>
                <w:sz w:val="18"/>
                <w:szCs w:val="18"/>
                <w:color w:val="auto"/>
              </w:rPr>
            </w:pPr>
          </w:p>
        </w:tc>
      </w:tr>
      <w:tr>
        <w:trPr>
          <w:trHeight w:val="164"/>
        </w:trPr>
        <w:tc>
          <w:tcPr>
            <w:tcW w:w="9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9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USD</w:t>
            </w:r>
          </w:p>
        </w:tc>
        <w:tc>
          <w:tcPr>
            <w:tcW w:w="11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w:t>
            </w:r>
          </w:p>
        </w:tc>
        <w:tc>
          <w:tcPr>
            <w:tcW w:w="100" w:type="dxa"/>
            <w:vAlign w:val="bottom"/>
            <w:shd w:val="clear" w:color="auto" w:fill="CCEEFF"/>
          </w:tcPr>
          <w:p>
            <w:pPr>
              <w:spacing w:after="0"/>
              <w:rPr>
                <w:sz w:val="14"/>
                <w:szCs w:val="14"/>
                <w:color w:val="auto"/>
              </w:rPr>
            </w:pPr>
          </w:p>
        </w:tc>
      </w:tr>
      <w:tr>
        <w:trPr>
          <w:trHeight w:val="172"/>
        </w:trPr>
        <w:tc>
          <w:tcPr>
            <w:tcW w:w="9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EUR</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(8,931)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8,931</w:t>
            </w:r>
          </w:p>
        </w:tc>
        <w:tc>
          <w:tcPr>
            <w:tcW w:w="100" w:type="dxa"/>
            <w:vAlign w:val="bottom"/>
          </w:tcPr>
          <w:p>
            <w:pPr>
              <w:spacing w:after="0"/>
              <w:rPr>
                <w:sz w:val="14"/>
                <w:szCs w:val="14"/>
                <w:color w:val="auto"/>
              </w:rPr>
            </w:pPr>
          </w:p>
        </w:tc>
      </w:tr>
      <w:tr>
        <w:trPr>
          <w:trHeight w:val="203"/>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SGD</w:t>
            </w:r>
          </w:p>
        </w:tc>
        <w:tc>
          <w:tcPr>
            <w:tcW w:w="11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3,333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(3,333)</w:t>
            </w:r>
          </w:p>
        </w:tc>
      </w:tr>
      <w:tr>
        <w:trPr>
          <w:trHeight w:val="176"/>
        </w:trPr>
        <w:tc>
          <w:tcPr>
            <w:tcW w:w="9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22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100" w:type="dxa"/>
            <w:vAlign w:val="bottom"/>
            <w:tcBorders>
              <w:top w:val="single" w:sz="8" w:color="CCEEFF"/>
            </w:tcBorders>
          </w:tcPr>
          <w:p>
            <w:pPr>
              <w:spacing w:after="0"/>
              <w:rPr>
                <w:sz w:val="15"/>
                <w:szCs w:val="15"/>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29.2 (d) Interest rate risk</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Interest rate risk is the risk that the fair value of future cash flows of a financial instrument will fluctuate because of changes in market interest rates. The Group’s exposure to interest rate risk relates primarily to the Group’s loan obligations with variable interest rates as follow:</w:t>
      </w:r>
    </w:p>
    <w:p>
      <w:pPr>
        <w:spacing w:after="0" w:line="124" w:lineRule="exact"/>
        <w:rPr>
          <w:sz w:val="20"/>
          <w:szCs w:val="20"/>
          <w:color w:val="auto"/>
        </w:rPr>
      </w:pPr>
    </w:p>
    <w:p>
      <w:pPr>
        <w:ind w:left="520" w:hanging="256"/>
        <w:spacing w:after="0"/>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granted by Standard Bank of South Africa Limited in June 2024 bears interest at a rate equivalent to the prime rate less 1.5%.</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mortgaged bond with First National Bank attracts interest at a rate of prime rate less 1.15% p.a.</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with Banco Comercial Português, S.A attracts interest at a rate of 0.75% p.a plus 6-months EURIBOR.</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overdraft facility with Capitec Bank Limited, previously Mercantile Bank (“Capitec Bank”) attracts interest at Capitec Bank’s prime lending rate, which as at the date of this annual report was 10.75% p.a.</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with Caixa Geral Depositos de S.A attracts interest at a rate of 3% p.a plus 12-month Euro Interbank Offered Rate (“EURIBOR”). The reform of EURIBOR was completed and as a result it can continue to be used as a reference rate. The term loan was fully repaid on January 18, 2024.</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financial year ended February 2024, the Group utilized the term loan facility with Standard Bank of South Africa Limited and attracted interest at a rate of 2.05% plus 3-month Johannesburg Interbank Average Rate (“JIBAR”). The facility was repaid on February 26,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financial instruments were entered into to mitigate the risk of interest rate movements.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sensitivity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illustrates the effects on Group’s earnings and equity, all other factors remaining constant. A factor of 1% has been applied to the interest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February 28/29</w:t>
            </w:r>
          </w:p>
        </w:tc>
      </w:tr>
      <w:tr>
        <w:trPr>
          <w:trHeight w:val="18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4780" w:type="dxa"/>
            <w:vAlign w:val="bottom"/>
            <w:gridSpan w:val="2"/>
          </w:tcPr>
          <w:p>
            <w:pPr>
              <w:spacing w:after="0"/>
              <w:rPr>
                <w:sz w:val="16"/>
                <w:szCs w:val="16"/>
                <w:color w:val="auto"/>
              </w:rPr>
            </w:pPr>
          </w:p>
        </w:tc>
        <w:tc>
          <w:tcPr>
            <w:tcW w:w="114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72"/>
        </w:trPr>
        <w:tc>
          <w:tcPr>
            <w:tcW w:w="3920" w:type="dxa"/>
            <w:vAlign w:val="bottom"/>
            <w:tcBorders>
              <w:top w:val="single" w:sz="8" w:color="auto"/>
            </w:tcBorders>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on profit before tax (1% increase)</w:t>
            </w:r>
          </w:p>
        </w:tc>
        <w:tc>
          <w:tcPr>
            <w:tcW w:w="6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(5,203)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(479)</w:t>
            </w:r>
          </w:p>
        </w:tc>
      </w:tr>
      <w:tr>
        <w:trPr>
          <w:trHeight w:val="18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Effect on profit before tax (1% decrease)</w:t>
            </w:r>
          </w:p>
        </w:tc>
        <w:tc>
          <w:tcPr>
            <w:tcW w:w="4780" w:type="dxa"/>
            <w:vAlign w:val="bottom"/>
            <w:gridSpan w:val="2"/>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r>
      <w:tr>
        <w:trPr>
          <w:trHeight w:val="517"/>
        </w:trPr>
        <w:tc>
          <w:tcPr>
            <w:tcW w:w="39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4"/>
          </w:tcPr>
          <w:p>
            <w:pPr>
              <w:jc w:val="right"/>
              <w:ind w:right="4280"/>
              <w:spacing w:after="0"/>
              <w:rPr>
                <w:sz w:val="20"/>
                <w:szCs w:val="20"/>
                <w:color w:val="auto"/>
              </w:rPr>
            </w:pPr>
            <w:r>
              <w:rPr>
                <w:rFonts w:ascii="Times New Roman" w:cs="Times New Roman" w:eastAsia="Times New Roman" w:hAnsi="Times New Roman"/>
                <w:sz w:val="14"/>
                <w:szCs w:val="14"/>
                <w:color w:val="auto"/>
              </w:rPr>
              <w:t>F-48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4" w:right="31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30. ANALYSIS OF ASSETS AND LIABILITIES BY FINANCIAL INSTRUMENT CLASSIFICATION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00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shows the carrying amounts and classification of financial assets and financial liabilities. The carrying amounts approximate their fair values.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February 28/29</w:t>
            </w:r>
          </w:p>
        </w:tc>
        <w:tc>
          <w:tcPr>
            <w:tcW w:w="0" w:type="dxa"/>
            <w:vAlign w:val="bottom"/>
          </w:tcPr>
          <w:p>
            <w:pPr>
              <w:spacing w:after="0"/>
              <w:rPr>
                <w:sz w:val="1"/>
                <w:szCs w:val="1"/>
                <w:color w:val="auto"/>
              </w:rPr>
            </w:pPr>
          </w:p>
        </w:tc>
      </w:tr>
      <w:tr>
        <w:trPr>
          <w:trHeight w:val="184"/>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assets (at amortized cost)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to a related party</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28,200</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and other receivables (exclude prepayments and other taxes)</w:t>
            </w: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538,186</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931,495</w:t>
            </w:r>
          </w:p>
        </w:tc>
        <w:tc>
          <w:tcPr>
            <w:tcW w:w="0" w:type="dxa"/>
            <w:vAlign w:val="bottom"/>
          </w:tcPr>
          <w:p>
            <w:pPr>
              <w:spacing w:after="0"/>
              <w:rPr>
                <w:sz w:val="1"/>
                <w:szCs w:val="1"/>
                <w:color w:val="auto"/>
              </w:rPr>
            </w:pPr>
          </w:p>
        </w:tc>
      </w:tr>
      <w:tr>
        <w:trPr>
          <w:trHeight w:val="184"/>
        </w:trPr>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1,042,882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459,527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1,609,768</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1,419,222</w:t>
            </w:r>
          </w:p>
        </w:tc>
        <w:tc>
          <w:tcPr>
            <w:tcW w:w="0" w:type="dxa"/>
            <w:vAlign w:val="bottom"/>
          </w:tcPr>
          <w:p>
            <w:pPr>
              <w:spacing w:after="0"/>
              <w:rPr>
                <w:sz w:val="1"/>
                <w:szCs w:val="1"/>
                <w:color w:val="auto"/>
              </w:rPr>
            </w:pPr>
          </w:p>
        </w:tc>
      </w:tr>
      <w:tr>
        <w:trPr>
          <w:trHeight w:val="164"/>
        </w:trPr>
        <w:tc>
          <w:tcPr>
            <w:tcW w:w="7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liabilities (at amortized cost)</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from a related party</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7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and other payables (exclude other taxes)</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414,147</w:t>
            </w:r>
          </w:p>
        </w:tc>
        <w:tc>
          <w:tcPr>
            <w:tcW w:w="2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398,153</w:t>
            </w:r>
          </w:p>
        </w:tc>
        <w:tc>
          <w:tcPr>
            <w:tcW w:w="0" w:type="dxa"/>
            <w:vAlign w:val="bottom"/>
          </w:tcPr>
          <w:p>
            <w:pPr>
              <w:spacing w:after="0"/>
              <w:rPr>
                <w:sz w:val="1"/>
                <w:szCs w:val="1"/>
                <w:color w:val="auto"/>
              </w:rPr>
            </w:pPr>
          </w:p>
        </w:tc>
      </w:tr>
      <w:tr>
        <w:trPr>
          <w:trHeight w:val="172"/>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loans</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314,953</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48,179</w:t>
            </w:r>
          </w:p>
        </w:tc>
        <w:tc>
          <w:tcPr>
            <w:tcW w:w="0" w:type="dxa"/>
            <w:vAlign w:val="bottom"/>
          </w:tcPr>
          <w:p>
            <w:pPr>
              <w:spacing w:after="0"/>
              <w:rPr>
                <w:sz w:val="1"/>
                <w:szCs w:val="1"/>
                <w:color w:val="auto"/>
              </w:rPr>
            </w:pPr>
          </w:p>
        </w:tc>
      </w:tr>
      <w:tr>
        <w:trPr>
          <w:trHeight w:val="184"/>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Bank overdraft</w:t>
            </w:r>
          </w:p>
        </w:tc>
        <w:tc>
          <w:tcPr>
            <w:tcW w:w="1120" w:type="dxa"/>
            <w:vAlign w:val="bottom"/>
            <w:tcBorders>
              <w:bottom w:val="single" w:sz="8" w:color="CCEEFF"/>
            </w:tcBorders>
          </w:tcPr>
          <w:p>
            <w:pPr>
              <w:jc w:val="right"/>
              <w:ind w:right="34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205,299</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934,537</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470,618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ind w:left="5500"/>
              <w:spacing w:after="0"/>
              <w:rPr>
                <w:sz w:val="20"/>
                <w:szCs w:val="20"/>
                <w:color w:val="auto"/>
              </w:rPr>
            </w:pPr>
            <w:r>
              <w:rPr>
                <w:rFonts w:ascii="Times New Roman" w:cs="Times New Roman" w:eastAsia="Times New Roman" w:hAnsi="Times New Roman"/>
                <w:sz w:val="14"/>
                <w:szCs w:val="14"/>
                <w:color w:val="auto"/>
              </w:rPr>
              <w:t>F-49</w:t>
            </w: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36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4"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color w:val="auto"/>
        </w:rPr>
        <w:t>31. FAIR VALUE OF ASSETS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categorizes fair value measurement using a fair value hierarchy that is dependent on the valuation inputs used as follows: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Quoted prices (unadjusted) in active markets for identical assets or liabilities that the Group can access at the measurement date.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Inputs other than quoted prices included within Level 1 that are observable for the asset or liability, either directly (i.e. as prices) or indirectly (i.e. derived from prices).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Unobservable inputs for the asset or liability</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Fair value measurements that use inputs of different hierarchy levels are categorized in its entirety in the same level of the fair value hierarchy as the lowest level input that is significant to the entire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Assets and liabilities not measured at fair value, for which fair value is disclosed</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As of February 28, 2025, the fair value of loan to a related party as disclosed in the table below is based on significant unobservable inputs (Level 3) and have been calculated by discounting the expected future cash flows using rates currently available for instruments on with similar terms, credit risk and remaining maturities.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February 28, 2025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7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00" w:type="dxa"/>
            <w:vAlign w:val="bottom"/>
          </w:tcPr>
          <w:p>
            <w:pPr>
              <w:spacing w:after="0"/>
              <w:rPr>
                <w:sz w:val="13"/>
                <w:szCs w:val="13"/>
                <w:color w:val="auto"/>
              </w:rPr>
            </w:pPr>
          </w:p>
        </w:tc>
      </w:tr>
      <w:tr>
        <w:trPr>
          <w:trHeight w:val="19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72"/>
        </w:trPr>
        <w:tc>
          <w:tcPr>
            <w:tcW w:w="7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to a related party</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28,700</w:t>
            </w:r>
          </w:p>
        </w:tc>
      </w:tr>
      <w:tr>
        <w:trPr>
          <w:trHeight w:val="21"/>
        </w:trPr>
        <w:tc>
          <w:tcPr>
            <w:tcW w:w="7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 by classes that are not carried at fair value and whose carrying amounts are reasonable approximation of fair value</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Cash and cash equivalents (Note 13), trade and other receivables (Note 11), trade and other payables (Note 18), term loans (Note 15), loan from a related party (Note 12), and lease liabilities (Note 16). The carrying amounts of these financial assets and liabilities are reasonable approximation of fair values as they are short term in nature, market interest rate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 classes that are not carried at fair value and whose carrying amounts are not reasonable approximation of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financial instruments that are not carried at fair value and whose carrying amounts are not reasonable approximation of fair value.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color w:val="auto"/>
        </w:rPr>
        <w:t>32. BASIC AND DILUTED EARNINGS PER SHARE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Basic and diluted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calculation of basic and diluted earnings per share has been based on the profit attributable to ordinary shareholders and the weighted average number of ordinary shares in issue.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9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February 28/29</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36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71"/>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earnings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attributable to ordinary shareholder of Karooooo (ZAR ’000)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921,031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738,191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597,153</w:t>
            </w:r>
          </w:p>
        </w:tc>
      </w:tr>
      <w:tr>
        <w:trPr>
          <w:trHeight w:val="172"/>
        </w:trPr>
        <w:tc>
          <w:tcPr>
            <w:tcW w:w="7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 issued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30,894,805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30,948,470</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30,951,106</w:t>
            </w:r>
          </w:p>
        </w:tc>
      </w:tr>
      <w:tr>
        <w:trPr>
          <w:trHeight w:val="172"/>
        </w:trPr>
        <w:tc>
          <w:tcPr>
            <w:tcW w:w="7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earnings per share (ZAR)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19.29</w:t>
            </w:r>
          </w:p>
        </w:tc>
      </w:tr>
      <w:tr>
        <w:trPr>
          <w:trHeight w:val="343"/>
        </w:trPr>
        <w:tc>
          <w:tcPr>
            <w:tcW w:w="7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Diluted earnings per share</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There are no dilutive instruments and therefore diluted earnings per share is the same as basic earnings per share.</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8"/>
        </w:trPr>
        <w:tc>
          <w:tcPr>
            <w:tcW w:w="736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4"/>
                <w:szCs w:val="14"/>
                <w:color w:val="auto"/>
              </w:rPr>
              <w:t>F-51</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color w:val="auto"/>
        </w:rPr>
        <w:t>33. FUNDING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 overdraft and overdraft facility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March 2020, Cartrack Proprietary Limited entered into an unsecured short-term overdraft and other facilities with Capitec Bank Limited, previously Mercantile Bank (“Capitec Bank”), pursuant to a Short-Term Facility Letter, as amended and supplemented from time to time (the “Overdraft Facility”). Pursuant to the most recent Addendum to the Short-Term Facility Letter, dated April 18, 2024, the Overdraft Facility was increased to ZAR 300.0 million. Amounts due under the Overdraft Facility bear interest at Capitec Bank’s prime lending rate, which as at the date of this annual report was 10.75%. Subject to completion of documentation, Capitec Bank has approved the extension of the expiry date to March 31,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2025, ZAR 205.3 million (2024: ZAR 23.4 million) of the facility had been utilized.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 facility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 February 2021, Cartrack Proprietary Limited entered into a funding facility (the “Loan”) of ZAR 925.0 million with The Standard Bank of South Africa Limited (“Standard Bank”). The Loan consisted of an uncommitted term facility of ZAR 850.0 million and a committed term facility of ZAR 75.0 million. The Loan was terminated on February 26,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34. COMMITMENTS</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Other than the lease commitments disclosed in Note 16, as at February 28, 2025, the Group has no outstanding commitments for capital expenditure. As at February 29, 2024, the Group had commitments for capital expenditure amounting to ZAR 151.7 million, relating to the redevelopment of its South Africa Central Office. The redevelopment was completed during the financial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35.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events subsequent to the end of the financial year that require disclosure or adjustment.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w:t>
      </w:r>
    </w:p>
    <w:p>
      <w:pPr>
        <w:spacing w:after="0" w:line="1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FACILITIES AGREEMENT</w:t>
      </w:r>
    </w:p>
    <w:p>
      <w:pPr>
        <w:spacing w:after="0" w:line="18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between</w:t>
      </w:r>
    </w:p>
    <w:p>
      <w:pPr>
        <w:spacing w:after="0" w:line="18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THE STANDARD BANK OF SOUTH AFRICA LIMITED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(ACTING THROUGH ITS CORPORATE AND INVESTMENT BANKING DIVISION)</w:t>
      </w:r>
    </w:p>
    <w:p>
      <w:pPr>
        <w:spacing w:after="0" w:line="16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(as Lender)</w:t>
      </w:r>
    </w:p>
    <w:p>
      <w:pPr>
        <w:spacing w:after="0" w:line="18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and</w:t>
      </w:r>
    </w:p>
    <w:p>
      <w:pPr>
        <w:spacing w:after="0" w:line="18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PURPLE RAIN PROPERTIES NO 444 PROPRIETARY LIMITED</w:t>
      </w:r>
    </w:p>
    <w:p>
      <w:pPr>
        <w:spacing w:after="0" w:line="18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358140</wp:posOffset>
            </wp:positionV>
            <wp:extent cx="7160260" cy="13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PARTIES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DEFINITIONS AND INTERPRETATION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 FACILITIES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PURPOSE</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CONDITIONS OF UTILISATION</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UTILISATION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PREPAYMENT AND CANCELLATION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PERIODS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GROSS UP AND INDEMNITIES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INCREASED COSTS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INDEMNITIES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COSTS AND EXPENSES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15</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REPRESENTATIONS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INFORMATION UNDERTAKINGS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FINANCIAL COVENANTS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18</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UNDERTAKINGS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19</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UNDERTAKINGS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20</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EVENTS OF DEFAULT</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21</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CESSION AND DELEGATION BY THE LENDER</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CESSION AND DELEGATION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23</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MECHANICS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SET-OFF</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25</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NOTICES AND DOMICILIA</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26</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CALCULATIONS AND CERTIFICATES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27</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PARTIAL INVALIDITY</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28</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REMEDIES AND WAIVERS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29</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AMENDMENTS AND WAIVERS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30</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CONFIDENTIAL INFORMATION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RENUNCIATION OF BENEFITS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COUNTERPARTS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WAIVER OF IMMUNITY</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SOLE AGREEMENT</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35</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IMPLIED TERMS</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36</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EXTENSIONS AND WAIVERS</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INDEPENDENT ADVICE</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38</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GOVERNING LAW</w:t>
            </w:r>
          </w:p>
        </w:tc>
        <w:tc>
          <w:tcPr>
            <w:tcW w:w="6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39</w:t>
            </w: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JURISDICTION</w:t>
            </w:r>
          </w:p>
        </w:tc>
        <w:tc>
          <w:tcPr>
            <w:tcW w:w="6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ANNEXURE A</w:t>
            </w: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ADVANCE CONDITIONS</w:t>
            </w: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1120" w:val="left"/>
        </w:tabs>
        <w:rPr>
          <w:sz w:val="20"/>
          <w:szCs w:val="20"/>
          <w:color w:val="auto"/>
        </w:rPr>
      </w:pPr>
      <w:r>
        <w:rPr>
          <w:rFonts w:ascii="Times New Roman" w:cs="Times New Roman" w:eastAsia="Times New Roman" w:hAnsi="Times New Roman"/>
          <w:sz w:val="14"/>
          <w:szCs w:val="14"/>
          <w:color w:val="auto"/>
        </w:rPr>
        <w:t>ANNEXURE B</w:t>
      </w:r>
      <w:r>
        <w:rPr>
          <w:sz w:val="20"/>
          <w:szCs w:val="20"/>
          <w:color w:val="auto"/>
        </w:rPr>
        <w:tab/>
      </w:r>
      <w:r>
        <w:rPr>
          <w:rFonts w:ascii="Times New Roman" w:cs="Times New Roman" w:eastAsia="Times New Roman" w:hAnsi="Times New Roman"/>
          <w:sz w:val="14"/>
          <w:szCs w:val="14"/>
          <w:color w:val="auto"/>
        </w:rPr>
        <w:t>FORM OF UTILISATION REQUEST</w:t>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color w:val="auto"/>
        </w:rPr>
        <w:t>ANNEXURE C</w:t>
      </w:r>
      <w:r>
        <w:rPr>
          <w:sz w:val="20"/>
          <w:szCs w:val="20"/>
          <w:color w:val="auto"/>
        </w:rPr>
        <w:tab/>
      </w:r>
      <w:r>
        <w:rPr>
          <w:rFonts w:ascii="Times New Roman" w:cs="Times New Roman" w:eastAsia="Times New Roman" w:hAnsi="Times New Roman"/>
          <w:sz w:val="14"/>
          <w:szCs w:val="14"/>
          <w:color w:val="auto"/>
        </w:rPr>
        <w:t>FORM OF GUARANTEE REQUEST/INDEMNITY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361950</wp:posOffset>
            </wp:positionV>
            <wp:extent cx="7160260" cy="133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4" w:name="page165"/>
    <w:bookmarkEnd w:id="164"/>
    <w:p>
      <w:pPr>
        <w:ind w:left="260" w:hanging="254"/>
        <w:spacing w:after="0"/>
        <w:tabs>
          <w:tab w:leader="none" w:pos="2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PARTIES</w:t>
      </w:r>
    </w:p>
    <w:p>
      <w:pPr>
        <w:spacing w:after="0" w:line="18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The Parties to this Agreement are:</w:t>
      </w:r>
    </w:p>
    <w:p>
      <w:pPr>
        <w:spacing w:after="0" w:line="181"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b w:val="1"/>
          <w:bCs w:val="1"/>
          <w:color w:val="auto"/>
        </w:rPr>
        <w:t>THE STANDARD BANK OF SOUTH AFRICA LIMITED (ACTING THROUGH ITS CORPORATE AND INVESTMENT BANKING DIVISION)</w:t>
      </w:r>
      <w:r>
        <w:rPr>
          <w:rFonts w:ascii="Times New Roman" w:cs="Times New Roman" w:eastAsia="Times New Roman" w:hAnsi="Times New Roman"/>
          <w:sz w:val="14"/>
          <w:szCs w:val="14"/>
          <w:color w:val="auto"/>
        </w:rPr>
        <w:t>, a public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registered bank incorporated under the laws of South Africa with registration number 1962/000738/06, as lender (as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and</w:t>
      </w:r>
    </w:p>
    <w:p>
      <w:pPr>
        <w:spacing w:after="0" w:line="120"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b w:val="1"/>
          <w:bCs w:val="1"/>
          <w:color w:val="auto"/>
        </w:rPr>
        <w:t>PURPLE RAIN PROPERTIES NO 444 PROPRIETARY LIMITED</w:t>
      </w:r>
      <w:r>
        <w:rPr>
          <w:rFonts w:ascii="Times New Roman" w:cs="Times New Roman" w:eastAsia="Times New Roman" w:hAnsi="Times New Roman"/>
          <w:sz w:val="14"/>
          <w:szCs w:val="14"/>
          <w:color w:val="auto"/>
        </w:rPr>
        <w:t>, a private company incorporated under the laws of South Africa with registration number 2003/026079/07,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borrower (as </w:t>
      </w:r>
      <w:r>
        <w:rPr>
          <w:rFonts w:ascii="Times New Roman" w:cs="Times New Roman" w:eastAsia="Times New Roman" w:hAnsi="Times New Roman"/>
          <w:sz w:val="14"/>
          <w:szCs w:val="14"/>
          <w:b w:val="1"/>
          <w:bCs w:val="1"/>
          <w:color w:val="auto"/>
        </w:rPr>
        <w:t>Borrowe</w:t>
      </w:r>
      <w:r>
        <w:rPr>
          <w:rFonts w:ascii="Times New Roman" w:cs="Times New Roman" w:eastAsia="Times New Roman" w:hAnsi="Times New Roman"/>
          <w:sz w:val="14"/>
          <w:szCs w:val="14"/>
          <w:color w:val="auto"/>
        </w:rPr>
        <w:t>r).</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The Parties agree as set out bellow:</w:t>
      </w:r>
    </w:p>
    <w:p>
      <w:pPr>
        <w:spacing w:after="0" w:line="181" w:lineRule="exact"/>
        <w:rPr>
          <w:sz w:val="20"/>
          <w:szCs w:val="20"/>
          <w:color w:val="auto"/>
        </w:rPr>
      </w:pPr>
    </w:p>
    <w:p>
      <w:pPr>
        <w:ind w:left="260" w:hanging="254"/>
        <w:spacing w:after="0"/>
        <w:tabs>
          <w:tab w:leader="none" w:pos="2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85" w:lineRule="exact"/>
        <w:rPr>
          <w:sz w:val="20"/>
          <w:szCs w:val="20"/>
          <w:color w:val="auto"/>
        </w:rPr>
      </w:pPr>
    </w:p>
    <w:p>
      <w:pPr>
        <w:ind w:left="520" w:hanging="514"/>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In this Agreement, unless the context indicates a contrary intention, the following words and expressions bear the meanings assigned to them and cognate expressions bear corresponding meanings: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Advance Conditions </w:t>
            </w:r>
            <w:r>
              <w:rPr>
                <w:rFonts w:ascii="Times New Roman" w:cs="Times New Roman" w:eastAsia="Times New Roman" w:hAnsi="Times New Roman"/>
                <w:sz w:val="14"/>
                <w:szCs w:val="14"/>
                <w:color w:val="auto"/>
              </w:rPr>
              <w:t>means:</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2.1.1.1</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conditions contained in Part I of Annexure A (</w:t>
            </w:r>
            <w:r>
              <w:rPr>
                <w:rFonts w:ascii="Times New Roman" w:cs="Times New Roman" w:eastAsia="Times New Roman" w:hAnsi="Times New Roman"/>
                <w:sz w:val="14"/>
                <w:szCs w:val="14"/>
                <w:i w:val="1"/>
                <w:iCs w:val="1"/>
                <w:color w:val="auto"/>
              </w:rPr>
              <w:t>Facility 1 Advance Conditions</w:t>
            </w:r>
            <w:r>
              <w:rPr>
                <w:rFonts w:ascii="Times New Roman" w:cs="Times New Roman" w:eastAsia="Times New Roman" w:hAnsi="Times New Roman"/>
                <w:sz w:val="14"/>
                <w:szCs w:val="14"/>
                <w:color w:val="auto"/>
              </w:rPr>
              <w:t>); and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2.1.1.2</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conditions contained in Part II of Annexure A (</w:t>
            </w:r>
            <w:r>
              <w:rPr>
                <w:rFonts w:ascii="Times New Roman" w:cs="Times New Roman" w:eastAsia="Times New Roman" w:hAnsi="Times New Roman"/>
                <w:sz w:val="14"/>
                <w:szCs w:val="14"/>
                <w:i w:val="1"/>
                <w:iCs w:val="1"/>
                <w:color w:val="auto"/>
              </w:rPr>
              <w:t>Facility 2 Advance Conditions</w:t>
            </w:r>
            <w:r>
              <w:rPr>
                <w:rFonts w:ascii="Times New Roman" w:cs="Times New Roman" w:eastAsia="Times New Roman" w:hAnsi="Times New Roman"/>
                <w:sz w:val="14"/>
                <w:szCs w:val="14"/>
                <w:color w:val="auto"/>
              </w:rPr>
              <w:t>);</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Affiliate </w:t>
            </w:r>
            <w:r>
              <w:rPr>
                <w:rFonts w:ascii="Times New Roman" w:cs="Times New Roman" w:eastAsia="Times New Roman" w:hAnsi="Times New Roman"/>
                <w:sz w:val="14"/>
                <w:szCs w:val="14"/>
                <w:color w:val="auto"/>
              </w:rPr>
              <w:t>means, in relation to any person or entity, a Subsidiary of that person or entity or a Holding Company of that person or entity or any other Subsidiary of that Holding</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Company;</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2.1.3</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Agreement </w:t>
            </w:r>
            <w:r>
              <w:rPr>
                <w:rFonts w:ascii="Times New Roman" w:cs="Times New Roman" w:eastAsia="Times New Roman" w:hAnsi="Times New Roman"/>
                <w:sz w:val="14"/>
                <w:szCs w:val="14"/>
                <w:color w:val="auto"/>
              </w:rPr>
              <w:t>means this facilities agreement and its Annexures;</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2.1.4</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Auditors </w:t>
            </w:r>
            <w:r>
              <w:rPr>
                <w:rFonts w:ascii="Times New Roman" w:cs="Times New Roman" w:eastAsia="Times New Roman" w:hAnsi="Times New Roman"/>
                <w:sz w:val="14"/>
                <w:szCs w:val="14"/>
                <w:color w:val="auto"/>
              </w:rPr>
              <w:t>means Ernst &amp; Young or any other firm approved in advance by the Lender in writing;</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2.1.5</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Authorisation </w:t>
            </w:r>
            <w:r>
              <w:rPr>
                <w:rFonts w:ascii="Times New Roman" w:cs="Times New Roman" w:eastAsia="Times New Roman" w:hAnsi="Times New Roman"/>
                <w:sz w:val="14"/>
                <w:szCs w:val="14"/>
                <w:color w:val="auto"/>
              </w:rPr>
              <w:t>means an authorisation, consent, approval, resolution, licence, permit, exemption, filing, notarisation, lodgement or registration;</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2.1.6</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Availability Period </w:t>
            </w:r>
            <w:r>
              <w:rPr>
                <w:rFonts w:ascii="Times New Roman" w:cs="Times New Roman" w:eastAsia="Times New Roman" w:hAnsi="Times New Roman"/>
                <w:sz w:val="14"/>
                <w:szCs w:val="14"/>
                <w:color w:val="auto"/>
              </w:rPr>
              <w:t>means:</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2.1.6.1</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 respect of Facility 1, a period of 30 (thirty) days calculated from the Initial Fulfilment Date;</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2.1.6.2</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 respect of Facility 2 Tranche 1, the Final Repayment Date of Facility 1; and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2.1.6.3</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 respect of Facility 2 Tranche 2, a period of 60 (sixty) days from the Final Repayment Date of Facility 1;</w:t>
            </w:r>
          </w:p>
        </w:tc>
      </w:tr>
      <w:tr>
        <w:trPr>
          <w:trHeight w:val="539"/>
        </w:trPr>
        <w:tc>
          <w:tcPr>
            <w:tcW w:w="580" w:type="dxa"/>
            <w:vAlign w:val="bottom"/>
            <w:tcBorders>
              <w:bottom w:val="single" w:sz="8" w:color="auto"/>
            </w:tcBorders>
          </w:tcPr>
          <w:p>
            <w:pPr>
              <w:spacing w:after="0"/>
              <w:rPr>
                <w:sz w:val="24"/>
                <w:szCs w:val="24"/>
                <w:color w:val="auto"/>
              </w:rPr>
            </w:pPr>
          </w:p>
        </w:tc>
        <w:tc>
          <w:tcPr>
            <w:tcW w:w="10700" w:type="dxa"/>
            <w:vAlign w:val="bottom"/>
            <w:tcBorders>
              <w:bottom w:val="single" w:sz="8" w:color="auto"/>
            </w:tcBorders>
          </w:tcPr>
          <w:p>
            <w:pPr>
              <w:ind w:left="5020"/>
              <w:spacing w:after="0"/>
              <w:rPr>
                <w:sz w:val="20"/>
                <w:szCs w:val="20"/>
                <w:color w:val="auto"/>
              </w:rPr>
            </w:pPr>
            <w:r>
              <w:rPr>
                <w:rFonts w:ascii="Times New Roman" w:cs="Times New Roman" w:eastAsia="Times New Roman" w:hAnsi="Times New Roman"/>
                <w:sz w:val="14"/>
                <w:szCs w:val="14"/>
                <w:color w:val="auto"/>
              </w:rPr>
              <w:t>1</w:t>
            </w:r>
          </w:p>
        </w:tc>
      </w:tr>
    </w:tbl>
    <w:p>
      <w:pPr>
        <w:sectPr>
          <w:pgSz w:w="11900" w:h="16838" w:orient="portrait"/>
          <w:cols w:equalWidth="0" w:num="1">
            <w:col w:w="11280"/>
          </w:cols>
          <w:pgMar w:left="300" w:top="295" w:right="31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2.1.7</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Available Commitment </w:t>
            </w:r>
            <w:r>
              <w:rPr>
                <w:rFonts w:ascii="Times New Roman" w:cs="Times New Roman" w:eastAsia="Times New Roman" w:hAnsi="Times New Roman"/>
                <w:sz w:val="14"/>
                <w:szCs w:val="14"/>
                <w:color w:val="auto"/>
              </w:rPr>
              <w:t>means the applicable Commitment minus:</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2.1.7.1</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amount of any Loans under each Facility; and</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2.1.7.2</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 relation to any proposed Utilisation, the amount of any Loans that are due to be made under that Facility on or before the proposed Utilisation Date;</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2.1.8</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Bank Guarantee </w:t>
            </w:r>
            <w:r>
              <w:rPr>
                <w:rFonts w:ascii="Times New Roman" w:cs="Times New Roman" w:eastAsia="Times New Roman" w:hAnsi="Times New Roman"/>
                <w:sz w:val="14"/>
                <w:szCs w:val="14"/>
                <w:color w:val="auto"/>
              </w:rPr>
              <w:t>means any payment guarantee issued by the Lender pursuant to the Lender’s receipt of a Guarantee Request/Indemnity in terms of clause 6.4 (</w:t>
            </w:r>
            <w:r>
              <w:rPr>
                <w:rFonts w:ascii="Times New Roman" w:cs="Times New Roman" w:eastAsia="Times New Roman" w:hAnsi="Times New Roman"/>
                <w:sz w:val="14"/>
                <w:szCs w:val="14"/>
                <w:i w:val="1"/>
                <w:iCs w:val="1"/>
                <w:color w:val="auto"/>
              </w:rPr>
              <w:t>Bank Guarantees</w:t>
            </w:r>
            <w:r>
              <w:rPr>
                <w:rFonts w:ascii="Times New Roman" w:cs="Times New Roman" w:eastAsia="Times New Roman" w:hAnsi="Times New Roman"/>
                <w:sz w:val="14"/>
                <w:szCs w:val="14"/>
                <w:color w:val="auto"/>
              </w:rPr>
              <w:t>);</w:t>
            </w:r>
          </w:p>
        </w:tc>
      </w:tr>
      <w:tr>
        <w:trPr>
          <w:trHeight w:val="32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2.1.9</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Bank Guarantee Request/Indemnity </w:t>
            </w:r>
            <w:r>
              <w:rPr>
                <w:rFonts w:ascii="Times New Roman" w:cs="Times New Roman" w:eastAsia="Times New Roman" w:hAnsi="Times New Roman"/>
                <w:sz w:val="14"/>
                <w:szCs w:val="14"/>
                <w:color w:val="auto"/>
              </w:rPr>
              <w:t>means the guarantee request and indemnity to be executed by an Obligor, requesting the issue of a Bank Guarantee by the Lender, substantially</w:t>
            </w:r>
          </w:p>
        </w:tc>
      </w:tr>
      <w:tr>
        <w:trPr>
          <w:trHeight w:val="188"/>
        </w:trPr>
        <w:tc>
          <w:tcPr>
            <w:tcW w:w="680" w:type="dxa"/>
            <w:vAlign w:val="bottom"/>
          </w:tcPr>
          <w:p>
            <w:pPr>
              <w:spacing w:after="0"/>
              <w:rPr>
                <w:sz w:val="16"/>
                <w:szCs w:val="16"/>
                <w:color w:val="auto"/>
              </w:rPr>
            </w:pP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 the form set out in Annexure C (</w:t>
            </w:r>
            <w:r>
              <w:rPr>
                <w:rFonts w:ascii="Times New Roman" w:cs="Times New Roman" w:eastAsia="Times New Roman" w:hAnsi="Times New Roman"/>
                <w:sz w:val="14"/>
                <w:szCs w:val="14"/>
                <w:i w:val="1"/>
                <w:iCs w:val="1"/>
                <w:color w:val="auto"/>
              </w:rPr>
              <w:t>Form of Guarantee Request/Indemnity</w:t>
            </w:r>
            <w:r>
              <w:rPr>
                <w:rFonts w:ascii="Times New Roman" w:cs="Times New Roman" w:eastAsia="Times New Roman" w:hAnsi="Times New Roman"/>
                <w:sz w:val="14"/>
                <w:szCs w:val="14"/>
                <w:color w:val="auto"/>
              </w:rPr>
              <w:t>);</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2.1.10</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Business Day </w:t>
            </w:r>
            <w:r>
              <w:rPr>
                <w:rFonts w:ascii="Times New Roman" w:cs="Times New Roman" w:eastAsia="Times New Roman" w:hAnsi="Times New Roman"/>
                <w:sz w:val="14"/>
                <w:szCs w:val="14"/>
                <w:color w:val="auto"/>
              </w:rPr>
              <w:t>means a day (other than a Saturday, a Sunday or official public holiday) on which banks are open for general business in Johannesburg;</w:t>
            </w:r>
          </w:p>
        </w:tc>
      </w:tr>
      <w:tr>
        <w:trPr>
          <w:trHeight w:val="32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2.1.11</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Cession in Security </w:t>
            </w:r>
            <w:r>
              <w:rPr>
                <w:rFonts w:ascii="Times New Roman" w:cs="Times New Roman" w:eastAsia="Times New Roman" w:hAnsi="Times New Roman"/>
                <w:sz w:val="14"/>
                <w:szCs w:val="14"/>
                <w:color w:val="auto"/>
              </w:rPr>
              <w:t>means the cession in security agreement to be entered into by the Borrower and Lender on or about the Initial Fulfilment Date in terms of which the Borrower</w:t>
            </w:r>
          </w:p>
        </w:tc>
      </w:tr>
      <w:tr>
        <w:trPr>
          <w:trHeight w:val="188"/>
        </w:trPr>
        <w:tc>
          <w:tcPr>
            <w:tcW w:w="680" w:type="dxa"/>
            <w:vAlign w:val="bottom"/>
          </w:tcPr>
          <w:p>
            <w:pPr>
              <w:spacing w:after="0"/>
              <w:rPr>
                <w:sz w:val="16"/>
                <w:szCs w:val="16"/>
                <w:color w:val="auto"/>
              </w:rPr>
            </w:pP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cedes all of its rights, title and interests in and to the ’</w:t>
            </w:r>
            <w:r>
              <w:rPr>
                <w:rFonts w:ascii="Times New Roman" w:cs="Times New Roman" w:eastAsia="Times New Roman" w:hAnsi="Times New Roman"/>
                <w:sz w:val="14"/>
                <w:szCs w:val="14"/>
                <w:i w:val="1"/>
                <w:iCs w:val="1"/>
                <w:color w:val="auto"/>
              </w:rPr>
              <w:t>Ceded Rights’</w:t>
            </w:r>
            <w:r>
              <w:rPr>
                <w:rFonts w:ascii="Times New Roman" w:cs="Times New Roman" w:eastAsia="Times New Roman" w:hAnsi="Times New Roman"/>
                <w:sz w:val="14"/>
                <w:szCs w:val="14"/>
                <w:color w:val="auto"/>
              </w:rPr>
              <w:t xml:space="preserve"> (as defined therein), as security For the Borrower’s obligations to the Lender from time to time;</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Change of Control </w:t>
            </w:r>
            <w:r>
              <w:rPr>
                <w:rFonts w:ascii="Times New Roman" w:cs="Times New Roman" w:eastAsia="Times New Roman" w:hAnsi="Times New Roman"/>
                <w:sz w:val="14"/>
                <w:szCs w:val="14"/>
                <w:color w:val="auto"/>
              </w:rPr>
              <w:t>means any person or group of persons acting in concert acquires or gains control of an Obligor.</w:t>
            </w:r>
          </w:p>
        </w:tc>
      </w:tr>
      <w:tr>
        <w:trPr>
          <w:trHeight w:val="344"/>
        </w:trPr>
        <w:tc>
          <w:tcPr>
            <w:tcW w:w="680" w:type="dxa"/>
            <w:vAlign w:val="bottom"/>
          </w:tcPr>
          <w:p>
            <w:pPr>
              <w:spacing w:after="0"/>
              <w:rPr>
                <w:sz w:val="24"/>
                <w:szCs w:val="24"/>
                <w:color w:val="auto"/>
              </w:rPr>
            </w:pP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 purposes of this definition:</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2.1.12.1</w:t>
            </w:r>
          </w:p>
        </w:tc>
        <w:tc>
          <w:tcPr>
            <w:tcW w:w="10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Control </w:t>
            </w:r>
            <w:r>
              <w:rPr>
                <w:rFonts w:ascii="Times New Roman" w:cs="Times New Roman" w:eastAsia="Times New Roman" w:hAnsi="Times New Roman"/>
                <w:sz w:val="14"/>
                <w:szCs w:val="14"/>
                <w:color w:val="auto"/>
              </w:rPr>
              <w:t>means:</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2.1.12.1.1</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power (whether by way of ownership of shares, proxy, contract, agency or otherwise) to:</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2.1.12.1.2</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cast, or control the casting of, more than 50% (fifty percent) of the maximum number of votes that might be cast at a general meeting of an Obligor;</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2.1.12.1.3</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appoint or remove all, or the majority, in terms of the voting power, of the directors or other equivalent officers of an Obligor; or</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2.1.12.1.4</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give directions with respect to the operating and financial policies of an Obligor with which the directors or other equivalent officers of an Obligor are obliged to comply; or</w:t>
            </w:r>
          </w:p>
        </w:tc>
      </w:tr>
      <w:tr>
        <w:trPr>
          <w:trHeight w:val="33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2.1.12.1.5</w:t>
            </w: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holding beneficially of not less than 50% (fifty percent) of the issued share capital of an Obligor (excluding any part of that issued share capital that carries no right to</w:t>
            </w:r>
          </w:p>
        </w:tc>
      </w:tr>
      <w:tr>
        <w:trPr>
          <w:trHeight w:val="186"/>
        </w:trPr>
        <w:tc>
          <w:tcPr>
            <w:tcW w:w="680" w:type="dxa"/>
            <w:vAlign w:val="bottom"/>
          </w:tcPr>
          <w:p>
            <w:pPr>
              <w:spacing w:after="0"/>
              <w:rPr>
                <w:sz w:val="16"/>
                <w:szCs w:val="16"/>
                <w:color w:val="auto"/>
              </w:rPr>
            </w:pPr>
          </w:p>
        </w:tc>
        <w:tc>
          <w:tcPr>
            <w:tcW w:w="10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participate beyond a specified amount in a distribution of either profits or capital); and</w:t>
            </w:r>
          </w:p>
        </w:tc>
      </w:tr>
      <w:tr>
        <w:trPr>
          <w:trHeight w:val="518"/>
        </w:trPr>
        <w:tc>
          <w:tcPr>
            <w:tcW w:w="68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ind w:left="492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316" w:right="31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2.1.12.2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acting in concert </w:t>
            </w:r>
            <w:r>
              <w:rPr>
                <w:rFonts w:ascii="Times New Roman" w:cs="Times New Roman" w:eastAsia="Times New Roman" w:hAnsi="Times New Roman"/>
                <w:sz w:val="14"/>
                <w:szCs w:val="14"/>
                <w:color w:val="auto"/>
              </w:rPr>
              <w:t>means, a group of persons, who pursuant to an agreement or understanding (whether formal or informal), actively co-operate, through the acquisition, directly</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 shares in an Obligor by any of them, either directly or indirectly, to obtain or to consolidate direct control of that Obligor;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Commitments </w:t>
            </w:r>
            <w:r>
              <w:rPr>
                <w:rFonts w:ascii="Times New Roman" w:cs="Times New Roman" w:eastAsia="Times New Roman" w:hAnsi="Times New Roman"/>
                <w:sz w:val="14"/>
                <w:szCs w:val="14"/>
                <w:color w:val="auto"/>
              </w:rPr>
              <w:t>means the Facility 1 Commitment or Facility 2 Commitment and</w:t>
            </w:r>
            <w:r>
              <w:rPr>
                <w:rFonts w:ascii="Times New Roman" w:cs="Times New Roman" w:eastAsia="Times New Roman" w:hAnsi="Times New Roman"/>
                <w:sz w:val="14"/>
                <w:szCs w:val="14"/>
                <w:b w:val="1"/>
                <w:bCs w:val="1"/>
                <w:color w:val="auto"/>
              </w:rPr>
              <w:t xml:space="preserve"> Commitment </w:t>
            </w:r>
            <w:r>
              <w:rPr>
                <w:rFonts w:ascii="Times New Roman" w:cs="Times New Roman" w:eastAsia="Times New Roman" w:hAnsi="Times New Roman"/>
                <w:sz w:val="14"/>
                <w:szCs w:val="14"/>
                <w:color w:val="auto"/>
              </w:rPr>
              <w:t>means any one of them;</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Companies Act </w:t>
            </w:r>
            <w:r>
              <w:rPr>
                <w:rFonts w:ascii="Times New Roman" w:cs="Times New Roman" w:eastAsia="Times New Roman" w:hAnsi="Times New Roman"/>
                <w:sz w:val="14"/>
                <w:szCs w:val="14"/>
                <w:color w:val="auto"/>
              </w:rPr>
              <w:t>means the Companies Act, No. 71 of 2008, as amended from time to time;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2.1.15</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Confidential Information </w:t>
            </w:r>
            <w:r>
              <w:rPr>
                <w:rFonts w:ascii="Times New Roman" w:cs="Times New Roman" w:eastAsia="Times New Roman" w:hAnsi="Times New Roman"/>
                <w:sz w:val="14"/>
                <w:szCs w:val="14"/>
                <w:color w:val="auto"/>
              </w:rPr>
              <w:t>means all information relating to the Obligors, the Finance Documents or each Facility of which the Lender becomes aware in its capacity as, or for the</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purpose of becoming, the Lender or which is received by the Lender in relation to, or for the purpose of becoming the Lender under, the Finance Documents or each Facility from an</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Obligor or any of its advisers in whatever form, and includes information given orally and any document, electronic file or any other way of representing or recording information</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contains or is derived or copied from such information but excludes information that: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2.1.15.1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 or becomes public information other than as a direct or indirect result of any breach by the Lender of clause 30 (</w:t>
            </w:r>
            <w:r>
              <w:rPr>
                <w:rFonts w:ascii="Times New Roman" w:cs="Times New Roman" w:eastAsia="Times New Roman" w:hAnsi="Times New Roman"/>
                <w:sz w:val="14"/>
                <w:szCs w:val="14"/>
                <w:i w:val="1"/>
                <w:iCs w:val="1"/>
                <w:color w:val="auto"/>
              </w:rPr>
              <w:t>Confidential Information</w:t>
            </w:r>
            <w:r>
              <w:rPr>
                <w:rFonts w:ascii="Times New Roman" w:cs="Times New Roman" w:eastAsia="Times New Roman" w:hAnsi="Times New Roman"/>
                <w:sz w:val="14"/>
                <w:szCs w:val="14"/>
                <w:color w:val="auto"/>
              </w:rPr>
              <w:t>);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2.1.15.2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 identified in writing at the time of delivery as non-confidential by that Obligor or any of its advisers; or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2.1.15.3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 known by the Lender before the date the information is disclosed to it in accordance with clauses 2.1.15.1 and 2.1.15.2 above or is lawfully obtained by the Lender after that</w:t>
            </w:r>
          </w:p>
        </w:tc>
      </w:tr>
      <w:tr>
        <w:trPr>
          <w:trHeight w:val="172"/>
        </w:trPr>
        <w:tc>
          <w:tcPr>
            <w:tcW w:w="620" w:type="dxa"/>
            <w:vAlign w:val="bottom"/>
          </w:tcPr>
          <w:p>
            <w:pPr>
              <w:spacing w:after="0"/>
              <w:rPr>
                <w:sz w:val="14"/>
                <w:szCs w:val="14"/>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date, from a source which is, as far as the Lender is aware, unconnected with an Obligor and which, as far as the Lender is aware, has not been obtained in breach of, and it not</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otherwise subject to, any obligations of confidentiality;</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2.1.16</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Default </w:t>
            </w:r>
            <w:r>
              <w:rPr>
                <w:rFonts w:ascii="Times New Roman" w:cs="Times New Roman" w:eastAsia="Times New Roman" w:hAnsi="Times New Roman"/>
                <w:sz w:val="14"/>
                <w:szCs w:val="14"/>
                <w:color w:val="auto"/>
              </w:rPr>
              <w:t>means an Event of Default or any event or circumstance specified in clause 20 (</w:t>
            </w:r>
            <w:r>
              <w:rPr>
                <w:rFonts w:ascii="Times New Roman" w:cs="Times New Roman" w:eastAsia="Times New Roman" w:hAnsi="Times New Roman"/>
                <w:sz w:val="14"/>
                <w:szCs w:val="14"/>
                <w:i w:val="1"/>
                <w:iCs w:val="1"/>
                <w:color w:val="auto"/>
              </w:rPr>
              <w:t>Events of Default</w:t>
            </w:r>
            <w:r>
              <w:rPr>
                <w:rFonts w:ascii="Times New Roman" w:cs="Times New Roman" w:eastAsia="Times New Roman" w:hAnsi="Times New Roman"/>
                <w:sz w:val="14"/>
                <w:szCs w:val="14"/>
                <w:color w:val="auto"/>
              </w:rPr>
              <w:t>) which would (with the expiry of any applicable grace period, the giving of</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 the making of any determination under the Finance Documents or any combination of any of the foregoing) be an Event of Default;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2.1.17</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Default Interest Rate </w:t>
            </w:r>
            <w:r>
              <w:rPr>
                <w:rFonts w:ascii="Times New Roman" w:cs="Times New Roman" w:eastAsia="Times New Roman" w:hAnsi="Times New Roman"/>
                <w:sz w:val="14"/>
                <w:szCs w:val="14"/>
                <w:color w:val="auto"/>
              </w:rPr>
              <w:t>means the Interest Rate plus 2% (two percent);</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8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1280"/>
          </w:cols>
          <w:pgMar w:left="300" w:top="295" w:right="31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2.1.18</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Disposal </w:t>
            </w:r>
            <w:r>
              <w:rPr>
                <w:rFonts w:ascii="Times New Roman" w:cs="Times New Roman" w:eastAsia="Times New Roman" w:hAnsi="Times New Roman"/>
                <w:sz w:val="14"/>
                <w:szCs w:val="14"/>
                <w:color w:val="auto"/>
              </w:rPr>
              <w:t>means a sale, lease, licence, transfer, loan or other disposal by a person of any asset, undertaking or business (whether by a voluntary or involuntary single transaction or</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series of transactions);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2.1.19</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Environment </w:t>
            </w:r>
            <w:r>
              <w:rPr>
                <w:rFonts w:ascii="Times New Roman" w:cs="Times New Roman" w:eastAsia="Times New Roman" w:hAnsi="Times New Roman"/>
                <w:sz w:val="14"/>
                <w:szCs w:val="14"/>
                <w:color w:val="auto"/>
              </w:rPr>
              <w:t>means humans, animals, plants and all other living organisms including the ecological systems of which they form part and the following media:</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2.1.19.1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air (including, without limitation, air within natural or man-made structures, whether above or below ground);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2.1.19.2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water (including, without limitation, territorial, coastal and inland waters, water under or within land and water in drains and sewers);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2.1.19.3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land (including, without limitation, land under water);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2.1.20</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Environmental Claim </w:t>
            </w:r>
            <w:r>
              <w:rPr>
                <w:rFonts w:ascii="Times New Roman" w:cs="Times New Roman" w:eastAsia="Times New Roman" w:hAnsi="Times New Roman"/>
                <w:sz w:val="14"/>
                <w:szCs w:val="14"/>
                <w:color w:val="auto"/>
              </w:rPr>
              <w:t>means any claim, proceeding, formal notice or investigation by any person in respect of any Environmental Law;</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2.1.21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Environmental Law </w:t>
            </w:r>
            <w:r>
              <w:rPr>
                <w:rFonts w:ascii="Times New Roman" w:cs="Times New Roman" w:eastAsia="Times New Roman" w:hAnsi="Times New Roman"/>
                <w:sz w:val="14"/>
                <w:szCs w:val="14"/>
                <w:color w:val="auto"/>
              </w:rPr>
              <w:t>means any applicable law or regulation which relates to:</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2.1.21.1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pollution or protection of the Environment;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2.1.21.2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harm to or the protection of human health;</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2.1.21.3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conditions of the workplace; or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2.1.21.4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generation, handling, storage, use, release or spillage of any substance which, alone or in combination with any other, is capable of causing harm to the Environment,</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including, without limitation,</w:t>
            </w:r>
          </w:p>
        </w:tc>
      </w:tr>
    </w:tbl>
    <w:p>
      <w:pPr>
        <w:spacing w:after="0" w:line="158" w:lineRule="exact"/>
        <w:rPr>
          <w:sz w:val="20"/>
          <w:szCs w:val="20"/>
          <w:color w:val="auto"/>
        </w:rPr>
      </w:pPr>
    </w:p>
    <w:p>
      <w:pPr>
        <w:jc w:val="both"/>
        <w:ind w:left="780"/>
        <w:spacing w:after="0" w:line="262" w:lineRule="auto"/>
        <w:rPr>
          <w:sz w:val="20"/>
          <w:szCs w:val="20"/>
          <w:color w:val="auto"/>
        </w:rPr>
      </w:pPr>
      <w:r>
        <w:rPr>
          <w:rFonts w:ascii="Times New Roman" w:cs="Times New Roman" w:eastAsia="Times New Roman" w:hAnsi="Times New Roman"/>
          <w:sz w:val="14"/>
          <w:szCs w:val="14"/>
          <w:color w:val="auto"/>
        </w:rPr>
        <w:t>any waste, and including the Constitutional right to an environment that is not harmful to health or well-being, the National Water Act, 1998, the National Environmental Management Act, 1998, the National Environmental Management: Waste Act, 2008, the National Environmental Management: Air Quality Act, 2004, the National Environmental Management: Biodiversity Act, 2004, National Environmental Management: Protected Areas Act, 2003, the Environment Conservation Act, 1989, the National Heritage Resources Act, 1999 and the World Heritage Convention Act, 1999, national or provincial statutory instruments, municipal government by-laws relating to the Environment; government notices with which the Obligors are required by law or regulation to comply, regulations, orders, or judgements of any court, administrative or regulatory authorities, central government, provincial government, municipal or any other body with responsibility for the protection of the Environment (and made or given in accordance with South African law or regulation and with which the Obligors are required by law or regulation to comply);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68" w:name="page169"/>
    <w:bookmarkEnd w:id="168"/>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2.1.22</w:t>
      </w:r>
      <w:r>
        <w:rPr>
          <w:sz w:val="20"/>
          <w:szCs w:val="20"/>
          <w:color w:val="auto"/>
        </w:rPr>
        <w:tab/>
      </w:r>
      <w:r>
        <w:rPr>
          <w:rFonts w:ascii="Times New Roman" w:cs="Times New Roman" w:eastAsia="Times New Roman" w:hAnsi="Times New Roman"/>
          <w:sz w:val="14"/>
          <w:szCs w:val="14"/>
          <w:b w:val="1"/>
          <w:bCs w:val="1"/>
          <w:color w:val="auto"/>
        </w:rPr>
        <w:t xml:space="preserve">Environmental Permits </w:t>
      </w:r>
      <w:r>
        <w:rPr>
          <w:rFonts w:ascii="Times New Roman" w:cs="Times New Roman" w:eastAsia="Times New Roman" w:hAnsi="Times New Roman"/>
          <w:sz w:val="14"/>
          <w:szCs w:val="14"/>
          <w:color w:val="auto"/>
        </w:rPr>
        <w:t>means any permit and other Authorisation and the filing of any notification, report or assessment required under any Environmental Law for the operation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business of the Obligors conducted on or from the properties owned or used by an Obligor, including the Property;</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2.1.23</w:t>
      </w:r>
      <w:r>
        <w:rPr>
          <w:sz w:val="20"/>
          <w:szCs w:val="20"/>
          <w:color w:val="auto"/>
        </w:rPr>
        <w:tab/>
      </w:r>
      <w:r>
        <w:rPr>
          <w:rFonts w:ascii="Times New Roman" w:cs="Times New Roman" w:eastAsia="Times New Roman" w:hAnsi="Times New Roman"/>
          <w:sz w:val="14"/>
          <w:szCs w:val="14"/>
          <w:b w:val="1"/>
          <w:bCs w:val="1"/>
          <w:color w:val="auto"/>
        </w:rPr>
        <w:t xml:space="preserve">Event of Default </w:t>
      </w:r>
      <w:r>
        <w:rPr>
          <w:rFonts w:ascii="Times New Roman" w:cs="Times New Roman" w:eastAsia="Times New Roman" w:hAnsi="Times New Roman"/>
          <w:sz w:val="14"/>
          <w:szCs w:val="14"/>
          <w:color w:val="auto"/>
        </w:rPr>
        <w:t>means any event or circumstance specified as such in clause 20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(Events of Default);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2.1.24</w:t>
      </w:r>
      <w:r>
        <w:rPr>
          <w:sz w:val="20"/>
          <w:szCs w:val="20"/>
          <w:color w:val="auto"/>
        </w:rPr>
        <w:tab/>
      </w:r>
      <w:r>
        <w:rPr>
          <w:rFonts w:ascii="Times New Roman" w:cs="Times New Roman" w:eastAsia="Times New Roman" w:hAnsi="Times New Roman"/>
          <w:sz w:val="14"/>
          <w:szCs w:val="14"/>
          <w:b w:val="1"/>
          <w:bCs w:val="1"/>
          <w:color w:val="auto"/>
        </w:rPr>
        <w:t xml:space="preserve">Facility </w:t>
      </w:r>
      <w:r>
        <w:rPr>
          <w:rFonts w:ascii="Times New Roman" w:cs="Times New Roman" w:eastAsia="Times New Roman" w:hAnsi="Times New Roman"/>
          <w:sz w:val="14"/>
          <w:szCs w:val="14"/>
          <w:color w:val="auto"/>
        </w:rPr>
        <w:t>means Facility 1 or Facility 2 made available by the Lender to the Borrower under this Agreement as described in clause 3 (</w:t>
      </w:r>
      <w:r>
        <w:rPr>
          <w:rFonts w:ascii="Times New Roman" w:cs="Times New Roman" w:eastAsia="Times New Roman" w:hAnsi="Times New Roman"/>
          <w:sz w:val="14"/>
          <w:szCs w:val="14"/>
          <w:i w:val="1"/>
          <w:iCs w:val="1"/>
          <w:color w:val="auto"/>
        </w:rPr>
        <w:t>The Facilities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2.1.25</w:t>
      </w:r>
      <w:r>
        <w:rPr>
          <w:sz w:val="20"/>
          <w:szCs w:val="20"/>
          <w:color w:val="auto"/>
        </w:rPr>
        <w:tab/>
      </w:r>
      <w:r>
        <w:rPr>
          <w:rFonts w:ascii="Times New Roman" w:cs="Times New Roman" w:eastAsia="Times New Roman" w:hAnsi="Times New Roman"/>
          <w:sz w:val="14"/>
          <w:szCs w:val="14"/>
          <w:b w:val="1"/>
          <w:bCs w:val="1"/>
          <w:color w:val="auto"/>
        </w:rPr>
        <w:t xml:space="preserve">Facility 1 </w:t>
      </w:r>
      <w:r>
        <w:rPr>
          <w:rFonts w:ascii="Times New Roman" w:cs="Times New Roman" w:eastAsia="Times New Roman" w:hAnsi="Times New Roman"/>
          <w:sz w:val="14"/>
          <w:szCs w:val="14"/>
          <w:color w:val="auto"/>
        </w:rPr>
        <w:t>means the term loan facility made available under this Agreement as described in Clause 3.1;</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2.1.26</w:t>
      </w:r>
      <w:r>
        <w:rPr>
          <w:sz w:val="20"/>
          <w:szCs w:val="20"/>
          <w:color w:val="auto"/>
        </w:rPr>
        <w:tab/>
      </w:r>
      <w:r>
        <w:rPr>
          <w:rFonts w:ascii="Times New Roman" w:cs="Times New Roman" w:eastAsia="Times New Roman" w:hAnsi="Times New Roman"/>
          <w:sz w:val="14"/>
          <w:szCs w:val="14"/>
          <w:b w:val="1"/>
          <w:bCs w:val="1"/>
          <w:color w:val="auto"/>
        </w:rPr>
        <w:t xml:space="preserve">Facility 1 Commitment </w:t>
      </w:r>
      <w:r>
        <w:rPr>
          <w:rFonts w:ascii="Times New Roman" w:cs="Times New Roman" w:eastAsia="Times New Roman" w:hAnsi="Times New Roman"/>
          <w:sz w:val="14"/>
          <w:szCs w:val="14"/>
          <w:color w:val="auto"/>
        </w:rPr>
        <w:t>means R250,000,000 (two hundred and fifty million Rand) to the extent not cancelled, reduced or transferred by it under this Agreement;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2.1.27</w:t>
      </w:r>
      <w:r>
        <w:rPr>
          <w:sz w:val="20"/>
          <w:szCs w:val="20"/>
          <w:color w:val="auto"/>
        </w:rPr>
        <w:tab/>
      </w:r>
      <w:r>
        <w:rPr>
          <w:rFonts w:ascii="Times New Roman" w:cs="Times New Roman" w:eastAsia="Times New Roman" w:hAnsi="Times New Roman"/>
          <w:sz w:val="14"/>
          <w:szCs w:val="14"/>
          <w:b w:val="1"/>
          <w:bCs w:val="1"/>
          <w:color w:val="auto"/>
        </w:rPr>
        <w:t xml:space="preserve">Facility 1 Final Repayment Date </w:t>
      </w:r>
      <w:r>
        <w:rPr>
          <w:rFonts w:ascii="Times New Roman" w:cs="Times New Roman" w:eastAsia="Times New Roman" w:hAnsi="Times New Roman"/>
          <w:sz w:val="14"/>
          <w:szCs w:val="14"/>
          <w:color w:val="auto"/>
        </w:rPr>
        <w:t>means in respect of Facility 1, the earlier of 18 (eighteen) months from the First Utilisation Date or Final Fulfilment Date;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2.1.28</w:t>
      </w:r>
      <w:r>
        <w:rPr>
          <w:sz w:val="20"/>
          <w:szCs w:val="20"/>
          <w:color w:val="auto"/>
        </w:rPr>
        <w:tab/>
      </w:r>
      <w:r>
        <w:rPr>
          <w:rFonts w:ascii="Times New Roman" w:cs="Times New Roman" w:eastAsia="Times New Roman" w:hAnsi="Times New Roman"/>
          <w:sz w:val="14"/>
          <w:szCs w:val="14"/>
          <w:b w:val="1"/>
          <w:bCs w:val="1"/>
          <w:color w:val="auto"/>
        </w:rPr>
        <w:t xml:space="preserve">Facility 2 </w:t>
      </w:r>
      <w:r>
        <w:rPr>
          <w:rFonts w:ascii="Times New Roman" w:cs="Times New Roman" w:eastAsia="Times New Roman" w:hAnsi="Times New Roman"/>
          <w:sz w:val="14"/>
          <w:szCs w:val="14"/>
          <w:color w:val="auto"/>
        </w:rPr>
        <w:t>means the term loan facility made available under this Agreement as described in Clause 3.2;</w:t>
      </w:r>
    </w:p>
    <w:p>
      <w:pPr>
        <w:spacing w:after="0" w:line="183"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2.1.29</w:t>
      </w:r>
      <w:r>
        <w:rPr>
          <w:sz w:val="20"/>
          <w:szCs w:val="20"/>
          <w:color w:val="auto"/>
        </w:rPr>
        <w:tab/>
      </w:r>
      <w:r>
        <w:rPr>
          <w:rFonts w:ascii="Times New Roman" w:cs="Times New Roman" w:eastAsia="Times New Roman" w:hAnsi="Times New Roman"/>
          <w:sz w:val="14"/>
          <w:szCs w:val="14"/>
          <w:b w:val="1"/>
          <w:bCs w:val="1"/>
          <w:color w:val="auto"/>
        </w:rPr>
        <w:t xml:space="preserve">Facility 2 Commitment </w:t>
      </w:r>
      <w:r>
        <w:rPr>
          <w:rFonts w:ascii="Times New Roman" w:cs="Times New Roman" w:eastAsia="Times New Roman" w:hAnsi="Times New Roman"/>
          <w:sz w:val="14"/>
          <w:szCs w:val="14"/>
          <w:color w:val="auto"/>
        </w:rPr>
        <w:t>means an aggregate of Facility 2 Tranche 1 and Facility 2 Tranche 2, being a maximum of R310,000,000 (three hundred and ten million Rand), to the extent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cancelled, reduced or transferred by it under this Agreement;</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2.1.30</w:t>
      </w:r>
      <w:r>
        <w:rPr>
          <w:sz w:val="20"/>
          <w:szCs w:val="20"/>
          <w:color w:val="auto"/>
        </w:rPr>
        <w:tab/>
      </w:r>
      <w:r>
        <w:rPr>
          <w:rFonts w:ascii="Times New Roman" w:cs="Times New Roman" w:eastAsia="Times New Roman" w:hAnsi="Times New Roman"/>
          <w:sz w:val="14"/>
          <w:szCs w:val="14"/>
          <w:b w:val="1"/>
          <w:bCs w:val="1"/>
          <w:color w:val="auto"/>
        </w:rPr>
        <w:t xml:space="preserve">Facility 2 Final Repayment Date </w:t>
      </w:r>
      <w:r>
        <w:rPr>
          <w:rFonts w:ascii="Times New Roman" w:cs="Times New Roman" w:eastAsia="Times New Roman" w:hAnsi="Times New Roman"/>
          <w:sz w:val="14"/>
          <w:szCs w:val="14"/>
          <w:color w:val="auto"/>
        </w:rPr>
        <w:t>means in respect of Facility 2, the date which is 60 (sixty) months calculated from the Facility 1 Final Repayment Date;</w:t>
      </w:r>
    </w:p>
    <w:p>
      <w:pPr>
        <w:spacing w:after="0" w:line="183"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2.1.31</w:t>
      </w:r>
      <w:r>
        <w:rPr>
          <w:sz w:val="20"/>
          <w:szCs w:val="20"/>
          <w:color w:val="auto"/>
        </w:rPr>
        <w:tab/>
      </w:r>
      <w:r>
        <w:rPr>
          <w:rFonts w:ascii="Times New Roman" w:cs="Times New Roman" w:eastAsia="Times New Roman" w:hAnsi="Times New Roman"/>
          <w:sz w:val="14"/>
          <w:szCs w:val="14"/>
          <w:b w:val="1"/>
          <w:bCs w:val="1"/>
          <w:color w:val="auto"/>
        </w:rPr>
        <w:t xml:space="preserve">Facility 2 Tranche 1 </w:t>
      </w:r>
      <w:r>
        <w:rPr>
          <w:rFonts w:ascii="Times New Roman" w:cs="Times New Roman" w:eastAsia="Times New Roman" w:hAnsi="Times New Roman"/>
          <w:sz w:val="14"/>
          <w:szCs w:val="14"/>
          <w:color w:val="auto"/>
        </w:rPr>
        <w:t>means that portion of Facility 2 which is equal to the outstanding balance of Facility 1 on the Facility 1 Repayment Date being a maximum R250,000,000 (two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hundred and fifty million Rand);</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2.1.32</w:t>
      </w:r>
      <w:r>
        <w:rPr>
          <w:sz w:val="20"/>
          <w:szCs w:val="20"/>
          <w:color w:val="auto"/>
        </w:rPr>
        <w:tab/>
      </w:r>
      <w:r>
        <w:rPr>
          <w:rFonts w:ascii="Times New Roman" w:cs="Times New Roman" w:eastAsia="Times New Roman" w:hAnsi="Times New Roman"/>
          <w:sz w:val="14"/>
          <w:szCs w:val="14"/>
          <w:b w:val="1"/>
          <w:bCs w:val="1"/>
          <w:color w:val="auto"/>
        </w:rPr>
        <w:t xml:space="preserve">Facility 2 Tranche 2 </w:t>
      </w:r>
      <w:r>
        <w:rPr>
          <w:rFonts w:ascii="Times New Roman" w:cs="Times New Roman" w:eastAsia="Times New Roman" w:hAnsi="Times New Roman"/>
          <w:sz w:val="14"/>
          <w:szCs w:val="14"/>
          <w:color w:val="auto"/>
        </w:rPr>
        <w:t>means that portion of Facility 2 equal to R60,000,000 (sixty million Rand);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2.1.33</w:t>
      </w:r>
      <w:r>
        <w:rPr>
          <w:sz w:val="20"/>
          <w:szCs w:val="20"/>
          <w:color w:val="auto"/>
        </w:rPr>
        <w:tab/>
      </w:r>
      <w:r>
        <w:rPr>
          <w:rFonts w:ascii="Times New Roman" w:cs="Times New Roman" w:eastAsia="Times New Roman" w:hAnsi="Times New Roman"/>
          <w:sz w:val="14"/>
          <w:szCs w:val="14"/>
          <w:b w:val="1"/>
          <w:bCs w:val="1"/>
          <w:color w:val="auto"/>
        </w:rPr>
        <w:t xml:space="preserve">Final Repayment Date </w:t>
      </w:r>
      <w:r>
        <w:rPr>
          <w:rFonts w:ascii="Times New Roman" w:cs="Times New Roman" w:eastAsia="Times New Roman" w:hAnsi="Times New Roman"/>
          <w:sz w:val="14"/>
          <w:szCs w:val="14"/>
          <w:color w:val="auto"/>
        </w:rPr>
        <w:t>means Facility 1 Final Repayment Date or Facility 2 Final Repayment Date;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2.1.34</w:t>
      </w:r>
      <w:r>
        <w:rPr>
          <w:sz w:val="20"/>
          <w:szCs w:val="20"/>
          <w:color w:val="auto"/>
        </w:rPr>
        <w:tab/>
      </w:r>
      <w:r>
        <w:rPr>
          <w:rFonts w:ascii="Times New Roman" w:cs="Times New Roman" w:eastAsia="Times New Roman" w:hAnsi="Times New Roman"/>
          <w:sz w:val="14"/>
          <w:szCs w:val="14"/>
          <w:b w:val="1"/>
          <w:bCs w:val="1"/>
          <w:color w:val="auto"/>
        </w:rPr>
        <w:t xml:space="preserve">Final Fulfilment Date </w:t>
      </w:r>
      <w:r>
        <w:rPr>
          <w:rFonts w:ascii="Times New Roman" w:cs="Times New Roman" w:eastAsia="Times New Roman" w:hAnsi="Times New Roman"/>
          <w:sz w:val="14"/>
          <w:szCs w:val="14"/>
          <w:color w:val="auto"/>
        </w:rPr>
        <w:t>means the date of fulfilment of the Advance Conditions set out in Part II of Annexure A (</w:t>
      </w:r>
      <w:r>
        <w:rPr>
          <w:rFonts w:ascii="Times New Roman" w:cs="Times New Roman" w:eastAsia="Times New Roman" w:hAnsi="Times New Roman"/>
          <w:sz w:val="14"/>
          <w:szCs w:val="14"/>
          <w:i w:val="1"/>
          <w:iCs w:val="1"/>
          <w:color w:val="auto"/>
        </w:rPr>
        <w:t>Facility 2 Advance Conditions</w:t>
      </w:r>
      <w:r>
        <w:rPr>
          <w:rFonts w:ascii="Times New Roman" w:cs="Times New Roman" w:eastAsia="Times New Roman" w:hAnsi="Times New Roman"/>
          <w:sz w:val="14"/>
          <w:szCs w:val="14"/>
          <w:color w:val="auto"/>
        </w:rPr>
        <w:t>) to the satisfaction of the Lender;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2.1.35</w:t>
      </w:r>
      <w:r>
        <w:rPr>
          <w:sz w:val="20"/>
          <w:szCs w:val="20"/>
          <w:color w:val="auto"/>
        </w:rPr>
        <w:tab/>
      </w:r>
      <w:r>
        <w:rPr>
          <w:rFonts w:ascii="Times New Roman" w:cs="Times New Roman" w:eastAsia="Times New Roman" w:hAnsi="Times New Roman"/>
          <w:sz w:val="14"/>
          <w:szCs w:val="14"/>
          <w:b w:val="1"/>
          <w:bCs w:val="1"/>
          <w:color w:val="auto"/>
        </w:rPr>
        <w:t xml:space="preserve">Finance Documents </w:t>
      </w:r>
      <w:r>
        <w:rPr>
          <w:rFonts w:ascii="Times New Roman" w:cs="Times New Roman" w:eastAsia="Times New Roman" w:hAnsi="Times New Roman"/>
          <w:sz w:val="14"/>
          <w:szCs w:val="14"/>
          <w:color w:val="auto"/>
        </w:rPr>
        <w:t>means: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this Agreement;</w:t>
            </w:r>
          </w:p>
        </w:tc>
      </w:tr>
      <w:tr>
        <w:trPr>
          <w:trHeight w:val="36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Guarantee;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each Security Document;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each Utilisation Request;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all Bank Guarantee/s and all Bank Guarantee Request/Indemnities;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2.1.35.6</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document amending any Finance Document referred to in paragraphs 2.1.35.1 to 2.1.35.5 above;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2.1.35.7</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other document designated as such by written agreement between the Lender and the Borrower,</w:t>
            </w:r>
          </w:p>
        </w:tc>
      </w:tr>
      <w:tr>
        <w:trPr>
          <w:trHeight w:val="344"/>
        </w:trPr>
        <w:tc>
          <w:tcPr>
            <w:tcW w:w="620" w:type="dxa"/>
            <w:vAlign w:val="bottom"/>
          </w:tcPr>
          <w:p>
            <w:pPr>
              <w:spacing w:after="0"/>
              <w:rPr>
                <w:sz w:val="24"/>
                <w:szCs w:val="2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b w:val="1"/>
                <w:bCs w:val="1"/>
                <w:color w:val="auto"/>
              </w:rPr>
              <w:t>Finance Document</w:t>
            </w:r>
            <w:r>
              <w:rPr>
                <w:rFonts w:ascii="Times New Roman" w:cs="Times New Roman" w:eastAsia="Times New Roman" w:hAnsi="Times New Roman"/>
                <w:sz w:val="14"/>
                <w:szCs w:val="14"/>
                <w:color w:val="auto"/>
              </w:rPr>
              <w:t xml:space="preserve"> means any one of them;</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2.1.36</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Financial Covenants </w:t>
            </w:r>
            <w:r>
              <w:rPr>
                <w:rFonts w:ascii="Times New Roman" w:cs="Times New Roman" w:eastAsia="Times New Roman" w:hAnsi="Times New Roman"/>
                <w:sz w:val="14"/>
                <w:szCs w:val="14"/>
                <w:color w:val="auto"/>
              </w:rPr>
              <w:t>means the financial covenants set out in clause 17 (</w:t>
            </w:r>
            <w:r>
              <w:rPr>
                <w:rFonts w:ascii="Times New Roman" w:cs="Times New Roman" w:eastAsia="Times New Roman" w:hAnsi="Times New Roman"/>
                <w:sz w:val="14"/>
                <w:szCs w:val="14"/>
                <w:i w:val="1"/>
                <w:iCs w:val="1"/>
                <w:color w:val="auto"/>
              </w:rPr>
              <w:t>Financial Covenants</w:t>
            </w:r>
            <w:r>
              <w:rPr>
                <w:rFonts w:ascii="Times New Roman" w:cs="Times New Roman" w:eastAsia="Times New Roman" w:hAnsi="Times New Roman"/>
                <w:sz w:val="14"/>
                <w:szCs w:val="14"/>
                <w:color w:val="auto"/>
              </w:rPr>
              <w: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Financial Indebtedness </w:t>
            </w:r>
            <w:r>
              <w:rPr>
                <w:rFonts w:ascii="Times New Roman" w:cs="Times New Roman" w:eastAsia="Times New Roman" w:hAnsi="Times New Roman"/>
                <w:sz w:val="14"/>
                <w:szCs w:val="14"/>
                <w:color w:val="auto"/>
              </w:rPr>
              <w:t>means any indebtedness for or in respect of:</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moneys borrowed;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amount raised by acceptance under any bank acceptance credit facility or dematerialised equivalent or bill discounting facility;</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amount raised pursuant to any note purchase facility or the issue of bonds, notes, debentures, loan stock or any similar instrument;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amount of any liabilities in respect of any lease or hire purchase contract that would, in accordance with IFRS, be treated as a balance sheet liability;</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receivables sold or discounted (other than any receivables to the extent they are sold on a non-recourse basis);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2.1.37.6</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amount raised under any other transaction (including any forward sale or purchase agreement) having the commercial effect of a borrowing;</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2.1.37.7</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derivative transaction entered into in connection with protection against or benefit from fluctuation in any rate or price (and, when calculating the value of that derivative</w:t>
            </w:r>
          </w:p>
        </w:tc>
      </w:tr>
      <w:tr>
        <w:trPr>
          <w:trHeight w:val="172"/>
        </w:trPr>
        <w:tc>
          <w:tcPr>
            <w:tcW w:w="620" w:type="dxa"/>
            <w:vAlign w:val="bottom"/>
          </w:tcPr>
          <w:p>
            <w:pPr>
              <w:spacing w:after="0"/>
              <w:rPr>
                <w:sz w:val="14"/>
                <w:szCs w:val="14"/>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transaction, only the marked to market value (or, if any actual amount is due as a result of the termination or close-out of that derivative transaction, that amount) shall be taken</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into account);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2.1.37.8</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amount raised by the issue of shares (i) which are redeemable or (ii) which in accordance with IFRS is deemed to be a borrowing;</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80"/>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1280"/>
          </w:cols>
          <w:pgMar w:left="300" w:top="297" w:right="31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2.1.37.9</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counter-indemnity obligation in respect of a guarantee, indemnity, bond, standby or documentary letter of credit or any other instrument issued by a bank or financial</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institution; and</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2.1.37.10</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amount of any liability in respect of any guarantee or indemnity for any of the items referred to in clauses 2.1.37.1 to 2.1.37.9 above;</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2.1.38</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Financial Year End </w:t>
            </w:r>
            <w:r>
              <w:rPr>
                <w:rFonts w:ascii="Times New Roman" w:cs="Times New Roman" w:eastAsia="Times New Roman" w:hAnsi="Times New Roman"/>
                <w:sz w:val="14"/>
                <w:szCs w:val="14"/>
                <w:color w:val="auto"/>
              </w:rPr>
              <w:t>means the last day of February in each year;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2.1.39</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First Utilisation Date </w:t>
            </w:r>
            <w:r>
              <w:rPr>
                <w:rFonts w:ascii="Times New Roman" w:cs="Times New Roman" w:eastAsia="Times New Roman" w:hAnsi="Times New Roman"/>
                <w:sz w:val="14"/>
                <w:szCs w:val="14"/>
                <w:color w:val="auto"/>
              </w:rPr>
              <w:t>means the date after the Initial Fulfilment Date and during the applicable Availability Period where the Borrower first utilities a Facility;</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2.1.40</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Formal Valuation </w:t>
            </w:r>
            <w:r>
              <w:rPr>
                <w:rFonts w:ascii="Times New Roman" w:cs="Times New Roman" w:eastAsia="Times New Roman" w:hAnsi="Times New Roman"/>
                <w:sz w:val="14"/>
                <w:szCs w:val="14"/>
                <w:color w:val="auto"/>
              </w:rPr>
              <w:t>means a valuation report of the Property by the Valuer, addressed to the Lender and prepared on the basis of a scope acceptable to the Lender;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2.1.41</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Fulfilment Date </w:t>
            </w:r>
            <w:r>
              <w:rPr>
                <w:rFonts w:ascii="Times New Roman" w:cs="Times New Roman" w:eastAsia="Times New Roman" w:hAnsi="Times New Roman"/>
                <w:sz w:val="14"/>
                <w:szCs w:val="14"/>
                <w:color w:val="auto"/>
              </w:rPr>
              <w:t>means the Initial Fulfilment Date or the Final Fulfilment Date;</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2.1.42</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Group </w:t>
            </w:r>
            <w:r>
              <w:rPr>
                <w:rFonts w:ascii="Times New Roman" w:cs="Times New Roman" w:eastAsia="Times New Roman" w:hAnsi="Times New Roman"/>
                <w:sz w:val="14"/>
                <w:szCs w:val="14"/>
                <w:color w:val="auto"/>
              </w:rPr>
              <w:t>means the Borrower and its subsidiaries;</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2.1.43</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Guarantor </w:t>
            </w:r>
            <w:r>
              <w:rPr>
                <w:rFonts w:ascii="Times New Roman" w:cs="Times New Roman" w:eastAsia="Times New Roman" w:hAnsi="Times New Roman"/>
                <w:sz w:val="14"/>
                <w:szCs w:val="14"/>
                <w:color w:val="auto"/>
              </w:rPr>
              <w:t>means CarTrack Proprietary Limited, a private company incorporated under the laws of South Africa with registration number 2001/006063/07;</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2.1.44</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Guarantee </w:t>
            </w:r>
            <w:r>
              <w:rPr>
                <w:rFonts w:ascii="Times New Roman" w:cs="Times New Roman" w:eastAsia="Times New Roman" w:hAnsi="Times New Roman"/>
                <w:sz w:val="14"/>
                <w:szCs w:val="14"/>
                <w:color w:val="auto"/>
              </w:rPr>
              <w:t>means the agreement titled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“Guarantee”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be entered into between the Guarantor and the Lender on or about the Signature Date in terms of which the Guarantor</w:t>
            </w:r>
          </w:p>
        </w:tc>
      </w:tr>
      <w:tr>
        <w:trPr>
          <w:trHeight w:val="186"/>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guarantees to the Lender the due and punctual performance by the Borrower of the ‘Guaranteed Obligations’ (as defined therein);</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2.1.45</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Holding Company </w:t>
            </w:r>
            <w:r>
              <w:rPr>
                <w:rFonts w:ascii="Times New Roman" w:cs="Times New Roman" w:eastAsia="Times New Roman" w:hAnsi="Times New Roman"/>
                <w:sz w:val="14"/>
                <w:szCs w:val="14"/>
                <w:color w:val="auto"/>
              </w:rPr>
              <w:t>means, in relation to a company or corporation, any other company or corporation in respect of which it is a Subsidiary;</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2.1.46</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Initial Fulfilment Date </w:t>
            </w:r>
            <w:r>
              <w:rPr>
                <w:rFonts w:ascii="Times New Roman" w:cs="Times New Roman" w:eastAsia="Times New Roman" w:hAnsi="Times New Roman"/>
                <w:sz w:val="14"/>
                <w:szCs w:val="14"/>
                <w:color w:val="auto"/>
              </w:rPr>
              <w:t>means the date of fulfilment of the Advance Conditions set out in Part I of Annexure A (</w:t>
            </w:r>
            <w:r>
              <w:rPr>
                <w:rFonts w:ascii="Times New Roman" w:cs="Times New Roman" w:eastAsia="Times New Roman" w:hAnsi="Times New Roman"/>
                <w:sz w:val="14"/>
                <w:szCs w:val="14"/>
                <w:i w:val="1"/>
                <w:iCs w:val="1"/>
                <w:color w:val="auto"/>
              </w:rPr>
              <w:t>Facility 1 Advance Conditions</w:t>
            </w:r>
            <w:r>
              <w:rPr>
                <w:rFonts w:ascii="Times New Roman" w:cs="Times New Roman" w:eastAsia="Times New Roman" w:hAnsi="Times New Roman"/>
                <w:sz w:val="14"/>
                <w:szCs w:val="14"/>
                <w:color w:val="auto"/>
              </w:rPr>
              <w:t>) to the satisfaction of the Lender;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2.1.47</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IFRS </w:t>
            </w:r>
            <w:r>
              <w:rPr>
                <w:rFonts w:ascii="Times New Roman" w:cs="Times New Roman" w:eastAsia="Times New Roman" w:hAnsi="Times New Roman"/>
                <w:sz w:val="14"/>
                <w:szCs w:val="14"/>
                <w:color w:val="auto"/>
              </w:rPr>
              <w:t>means international accounting standards within the meaning of the IAS Regulation 1606/2002 to the extent applicable to the relevant financial statements;</w:t>
            </w: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2.1.48</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Insurance Policies </w:t>
            </w:r>
            <w:r>
              <w:rPr>
                <w:rFonts w:ascii="Times New Roman" w:cs="Times New Roman" w:eastAsia="Times New Roman" w:hAnsi="Times New Roman"/>
                <w:sz w:val="14"/>
                <w:szCs w:val="14"/>
                <w:color w:val="auto"/>
              </w:rPr>
              <w:t>means all contracts and policies of insurance and re-insurance of any kind which are effected and maintained by or on behalf of the Borrower and/or the Guarantor</w:t>
            </w:r>
          </w:p>
        </w:tc>
      </w:tr>
      <w:tr>
        <w:trPr>
          <w:trHeight w:val="188"/>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required under clause 19.1 (</w:t>
            </w:r>
            <w:r>
              <w:rPr>
                <w:rFonts w:ascii="Times New Roman" w:cs="Times New Roman" w:eastAsia="Times New Roman" w:hAnsi="Times New Roman"/>
                <w:sz w:val="14"/>
                <w:szCs w:val="14"/>
                <w:i w:val="1"/>
                <w:iCs w:val="1"/>
                <w:color w:val="auto"/>
              </w:rPr>
              <w:t>Insurances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Insurance Policy</w:t>
            </w:r>
            <w:r>
              <w:rPr>
                <w:rFonts w:ascii="Times New Roman" w:cs="Times New Roman" w:eastAsia="Times New Roman" w:hAnsi="Times New Roman"/>
                <w:sz w:val="14"/>
                <w:szCs w:val="14"/>
                <w:color w:val="auto"/>
              </w:rPr>
              <w:t xml:space="preserve"> means any one of them;</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2.1.49</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Insurances </w:t>
            </w:r>
            <w:r>
              <w:rPr>
                <w:rFonts w:ascii="Times New Roman" w:cs="Times New Roman" w:eastAsia="Times New Roman" w:hAnsi="Times New Roman"/>
                <w:sz w:val="14"/>
                <w:szCs w:val="14"/>
                <w:color w:val="auto"/>
              </w:rPr>
              <w:t>means the insurance required to be maintained in respect of the Property under clause 19.1 (</w:t>
            </w:r>
            <w:r>
              <w:rPr>
                <w:rFonts w:ascii="Times New Roman" w:cs="Times New Roman" w:eastAsia="Times New Roman" w:hAnsi="Times New Roman"/>
                <w:sz w:val="14"/>
                <w:szCs w:val="14"/>
                <w:i w:val="1"/>
                <w:iCs w:val="1"/>
                <w:color w:val="auto"/>
              </w:rPr>
              <w:t>Insurances</w:t>
            </w:r>
            <w:r>
              <w:rPr>
                <w:rFonts w:ascii="Times New Roman" w:cs="Times New Roman" w:eastAsia="Times New Roman" w:hAnsi="Times New Roman"/>
                <w:sz w:val="14"/>
                <w:szCs w:val="14"/>
                <w:color w:val="auto"/>
              </w:rPr>
              <w:t>);</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2.1.50</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Interest Payment Date </w:t>
            </w:r>
            <w:r>
              <w:rPr>
                <w:rFonts w:ascii="Times New Roman" w:cs="Times New Roman" w:eastAsia="Times New Roman" w:hAnsi="Times New Roman"/>
                <w:sz w:val="14"/>
                <w:szCs w:val="14"/>
                <w:color w:val="auto"/>
              </w:rPr>
              <w:t>means, in relation to each Loan, the last Business Day of each Interest Period and the relevant Final Repayment Date;</w:t>
            </w:r>
          </w:p>
        </w:tc>
      </w:tr>
      <w:tr>
        <w:trPr>
          <w:trHeight w:val="539"/>
        </w:trPr>
        <w:tc>
          <w:tcPr>
            <w:tcW w:w="66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ind w:left="4940"/>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11280"/>
          </w:cols>
          <w:pgMar w:left="300" w:top="318" w:right="31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Interest Period </w:t>
            </w:r>
            <w:r>
              <w:rPr>
                <w:rFonts w:ascii="Times New Roman" w:cs="Times New Roman" w:eastAsia="Times New Roman" w:hAnsi="Times New Roman"/>
                <w:sz w:val="14"/>
                <w:szCs w:val="14"/>
                <w:color w:val="auto"/>
              </w:rPr>
              <w:t>means, in relation to each Loan each period determined in accordance with clause 10 (</w:t>
            </w:r>
            <w:r>
              <w:rPr>
                <w:rFonts w:ascii="Times New Roman" w:cs="Times New Roman" w:eastAsia="Times New Roman" w:hAnsi="Times New Roman"/>
                <w:sz w:val="14"/>
                <w:szCs w:val="14"/>
                <w:i w:val="1"/>
                <w:iCs w:val="1"/>
                <w:color w:val="auto"/>
              </w:rPr>
              <w:t>Interest Periods</w:t>
            </w:r>
            <w:r>
              <w:rPr>
                <w:rFonts w:ascii="Times New Roman" w:cs="Times New Roman" w:eastAsia="Times New Roman" w:hAnsi="Times New Roman"/>
                <w:sz w:val="14"/>
                <w:szCs w:val="14"/>
                <w:color w:val="auto"/>
              </w:rPr>
              <w:t>) and in relation to an Unpaid Sum, each period determined in</w:t>
            </w:r>
          </w:p>
        </w:tc>
      </w:tr>
      <w:tr>
        <w:trPr>
          <w:trHeight w:val="188"/>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accordance with clause 9.4 (</w:t>
            </w:r>
            <w:r>
              <w:rPr>
                <w:rFonts w:ascii="Times New Roman" w:cs="Times New Roman" w:eastAsia="Times New Roman" w:hAnsi="Times New Roman"/>
                <w:sz w:val="14"/>
                <w:szCs w:val="14"/>
                <w:i w:val="1"/>
                <w:iCs w:val="1"/>
                <w:color w:val="auto"/>
              </w:rPr>
              <w:t>Default Interest</w:t>
            </w:r>
            <w:r>
              <w:rPr>
                <w:rFonts w:ascii="Times New Roman" w:cs="Times New Roman" w:eastAsia="Times New Roman" w:hAnsi="Times New Roman"/>
                <w:sz w:val="14"/>
                <w:szCs w:val="14"/>
                <w:color w:val="auto"/>
              </w:rPr>
              <w: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4"/>
                <w:szCs w:val="14"/>
                <w:color w:val="auto"/>
              </w:rPr>
              <w:t>means in respect of each Facility, Prime Rate less the Margin;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Lease Agreement/s </w:t>
            </w:r>
            <w:r>
              <w:rPr>
                <w:rFonts w:ascii="Times New Roman" w:cs="Times New Roman" w:eastAsia="Times New Roman" w:hAnsi="Times New Roman"/>
                <w:sz w:val="14"/>
                <w:szCs w:val="14"/>
                <w:color w:val="auto"/>
              </w:rPr>
              <w:t>means, in respect of the Property, the written and signed lease agreement/s entered into between the Lessor and the Lessee;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Lease Payment/s </w:t>
            </w:r>
            <w:r>
              <w:rPr>
                <w:rFonts w:ascii="Times New Roman" w:cs="Times New Roman" w:eastAsia="Times New Roman" w:hAnsi="Times New Roman"/>
                <w:sz w:val="14"/>
                <w:szCs w:val="14"/>
                <w:color w:val="auto"/>
              </w:rPr>
              <w:t>means the periodic and other payments payable to or for the account of the Borrower under the Lease Agreement/s or any other arrangements, including, without</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limitation, rentals, insurance premiums and operating expenses in respect of the Lease Agreement/s;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2.1.55</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Lessees </w:t>
            </w:r>
            <w:r>
              <w:rPr>
                <w:rFonts w:ascii="Times New Roman" w:cs="Times New Roman" w:eastAsia="Times New Roman" w:hAnsi="Times New Roman"/>
                <w:sz w:val="14"/>
                <w:szCs w:val="14"/>
                <w:color w:val="auto"/>
              </w:rPr>
              <w:t>means the lessees and/or sub-lessees, as the case may be, under and in terms of the Lease Agreement/s and</w:t>
            </w:r>
            <w:r>
              <w:rPr>
                <w:rFonts w:ascii="Times New Roman" w:cs="Times New Roman" w:eastAsia="Times New Roman" w:hAnsi="Times New Roman"/>
                <w:sz w:val="14"/>
                <w:szCs w:val="14"/>
                <w:b w:val="1"/>
                <w:bCs w:val="1"/>
                <w:color w:val="auto"/>
              </w:rPr>
              <w:t xml:space="preserve"> Lessee </w:t>
            </w:r>
            <w:r>
              <w:rPr>
                <w:rFonts w:ascii="Times New Roman" w:cs="Times New Roman" w:eastAsia="Times New Roman" w:hAnsi="Times New Roman"/>
                <w:sz w:val="14"/>
                <w:szCs w:val="14"/>
                <w:color w:val="auto"/>
              </w:rPr>
              <w:t>means, as the context requires, any one of them;</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2.1.56</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Lessor </w:t>
            </w:r>
            <w:r>
              <w:rPr>
                <w:rFonts w:ascii="Times New Roman" w:cs="Times New Roman" w:eastAsia="Times New Roman" w:hAnsi="Times New Roman"/>
                <w:sz w:val="14"/>
                <w:szCs w:val="14"/>
                <w:color w:val="auto"/>
              </w:rPr>
              <w:t>means the Borrower or any other owner of the Property, in its capacity as lessor under and in terms of the Lease Agreement/s;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2.1.57</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Loans </w:t>
            </w:r>
            <w:r>
              <w:rPr>
                <w:rFonts w:ascii="Times New Roman" w:cs="Times New Roman" w:eastAsia="Times New Roman" w:hAnsi="Times New Roman"/>
                <w:sz w:val="14"/>
                <w:szCs w:val="14"/>
                <w:color w:val="auto"/>
              </w:rPr>
              <w:t>means, collectively, all Utilisations made in respect of that Facility which are outstanding for the time being and</w:t>
            </w:r>
            <w:r>
              <w:rPr>
                <w:rFonts w:ascii="Times New Roman" w:cs="Times New Roman" w:eastAsia="Times New Roman" w:hAnsi="Times New Roman"/>
                <w:sz w:val="14"/>
                <w:szCs w:val="14"/>
                <w:b w:val="1"/>
                <w:bCs w:val="1"/>
                <w:color w:val="auto"/>
              </w:rPr>
              <w:t xml:space="preserve"> Loan </w:t>
            </w:r>
            <w:r>
              <w:rPr>
                <w:rFonts w:ascii="Times New Roman" w:cs="Times New Roman" w:eastAsia="Times New Roman" w:hAnsi="Times New Roman"/>
                <w:sz w:val="14"/>
                <w:szCs w:val="14"/>
                <w:color w:val="auto"/>
              </w:rPr>
              <w:t>means any one of them;</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2.1.58</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Loan Outstandings </w:t>
            </w:r>
            <w:r>
              <w:rPr>
                <w:rFonts w:ascii="Times New Roman" w:cs="Times New Roman" w:eastAsia="Times New Roman" w:hAnsi="Times New Roman"/>
                <w:sz w:val="14"/>
                <w:szCs w:val="14"/>
                <w:color w:val="auto"/>
              </w:rPr>
              <w:t>means, at any time, the aggregate of all amounts of principal, accrued and unpaid interest and all and any other amounts due and payable to the Lender under this</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Agreement including, without limitation, any claim for damages or restitution and any claim as a result of any recovery by the Borrower of a payment or discharge on the grounds of</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preference, and any amounts which would be included in any of the above but for any discharge, non-provability or unenforceability of those amounts in any insolvency or other</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proceedings;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2.1.59</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Margin </w:t>
            </w:r>
            <w:r>
              <w:rPr>
                <w:rFonts w:ascii="Times New Roman" w:cs="Times New Roman" w:eastAsia="Times New Roman" w:hAnsi="Times New Roman"/>
                <w:sz w:val="14"/>
                <w:szCs w:val="14"/>
                <w:color w:val="auto"/>
              </w:rPr>
              <w:t>means a margin of 1.5% (one point five percent) per annum;</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2.1.60</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Material Adverse Effect </w:t>
            </w:r>
            <w:r>
              <w:rPr>
                <w:rFonts w:ascii="Times New Roman" w:cs="Times New Roman" w:eastAsia="Times New Roman" w:hAnsi="Times New Roman"/>
                <w:sz w:val="14"/>
                <w:szCs w:val="14"/>
                <w:color w:val="auto"/>
              </w:rPr>
              <w:t>means, in the opinion of the Lender, a material adverse effect on: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2.1.60.1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business, operations, property, conditions (financial or otherwise) or prospects of an Obligor;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2.1.60.2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ability of to perform any of its obligations under the Finance Documents;</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2.1.60.3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validity or enforceability of any of the Finance Documents or the validity or enforceability of, or the effectiveness or ranking of any Security granted or purported to be</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granted pursuant to any of the Finance Documents; or</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80"/>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11280"/>
          </w:cols>
          <w:pgMar w:left="300" w:top="316" w:right="31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2.1.60.4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rights or remedies of the Lender under any of the Finance Documents;</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Mortgage Bond </w:t>
            </w:r>
            <w:r>
              <w:rPr>
                <w:rFonts w:ascii="Times New Roman" w:cs="Times New Roman" w:eastAsia="Times New Roman" w:hAnsi="Times New Roman"/>
                <w:sz w:val="14"/>
                <w:szCs w:val="14"/>
                <w:color w:val="auto"/>
              </w:rPr>
              <w:t>means the continuing covering mortgage bond to be passed by the Borrower in favour of the Lender over the Property in an amount of R350,000,000 (three hundred</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fifty million Rand) security for all the obligations and indebtedness owed by the Borrower to the Lender from time to time, arising from any cause whatsoever;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Obligors </w:t>
            </w:r>
            <w:r>
              <w:rPr>
                <w:rFonts w:ascii="Times New Roman" w:cs="Times New Roman" w:eastAsia="Times New Roman" w:hAnsi="Times New Roman"/>
                <w:sz w:val="14"/>
                <w:szCs w:val="14"/>
                <w:color w:val="auto"/>
              </w:rPr>
              <w:t>means the Borrower and the Guarantor and</w:t>
            </w:r>
            <w:r>
              <w:rPr>
                <w:rFonts w:ascii="Times New Roman" w:cs="Times New Roman" w:eastAsia="Times New Roman" w:hAnsi="Times New Roman"/>
                <w:sz w:val="14"/>
                <w:szCs w:val="14"/>
                <w:b w:val="1"/>
                <w:bCs w:val="1"/>
                <w:color w:val="auto"/>
              </w:rPr>
              <w:t xml:space="preserve"> Obligor </w:t>
            </w:r>
            <w:r>
              <w:rPr>
                <w:rFonts w:ascii="Times New Roman" w:cs="Times New Roman" w:eastAsia="Times New Roman" w:hAnsi="Times New Roman"/>
                <w:sz w:val="14"/>
                <w:szCs w:val="14"/>
                <w:color w:val="auto"/>
              </w:rPr>
              <w:t>means each one of them as the context requires;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Party </w:t>
            </w:r>
            <w:r>
              <w:rPr>
                <w:rFonts w:ascii="Times New Roman" w:cs="Times New Roman" w:eastAsia="Times New Roman" w:hAnsi="Times New Roman"/>
                <w:sz w:val="14"/>
                <w:szCs w:val="14"/>
                <w:color w:val="auto"/>
              </w:rPr>
              <w:t>means a party to this Agreement;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Prepayment Penalty </w:t>
            </w:r>
            <w:r>
              <w:rPr>
                <w:rFonts w:ascii="Times New Roman" w:cs="Times New Roman" w:eastAsia="Times New Roman" w:hAnsi="Times New Roman"/>
                <w:sz w:val="14"/>
                <w:szCs w:val="14"/>
                <w:color w:val="auto"/>
              </w:rPr>
              <w:t>means: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2.1.64.1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0.75% (zero point seven five percent) calculated on that portion of the Commitments which is repaid prior to the first anniversary of the Initial Fulfillment Date;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2.1.64.2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0.60% (zero point six zero percent) calculated on that portion of the Commitments which is repaid after the first anniversary of the Initial Fulfillment Date but prior to the second</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anniversary of the Initial Fulfillment Date;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2.1.64.3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0.50% (zero point five zero percent) calculated on that portion of the Commitments which is repaid after the second anniversary of the Initial Fulfillment Date but prior to the</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third anniversary of the Initial Fulfillment Date;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2.1.64.4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0.40% (zero point four zero percent) calculated on that portion of the Commitments which is repaid after the third anniversary of the Initial Fulfillment Date but prior to the fourth</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anniversary of the Initial Fulfillment Date;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2.1.64.5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0.20% (zero point two zero percent) calculated on that portion of the Commitments which is repaid after fourth anniversary of the Initial Fulfillment Date but before the Facility 2</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Final Repayment Date;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2.1.65</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Prime Rate </w:t>
            </w:r>
            <w:r>
              <w:rPr>
                <w:rFonts w:ascii="Times New Roman" w:cs="Times New Roman" w:eastAsia="Times New Roman" w:hAnsi="Times New Roman"/>
                <w:sz w:val="14"/>
                <w:szCs w:val="14"/>
                <w:color w:val="auto"/>
              </w:rPr>
              <w:t>means the publicly quoted prime overdraft rate of the Lender at that time, being the nominal rate of interest per annum at which the Lender lends money on unsecured</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overdraft to corporate borrowers, expressed as a nominal annual rate compounded monthly in arrears as certified by any manager of the Lender, whose appointment or authority need</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 be proved;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2.1.66</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Property </w:t>
            </w:r>
            <w:r>
              <w:rPr>
                <w:rFonts w:ascii="Times New Roman" w:cs="Times New Roman" w:eastAsia="Times New Roman" w:hAnsi="Times New Roman"/>
                <w:sz w:val="14"/>
                <w:szCs w:val="14"/>
                <w:color w:val="auto"/>
              </w:rPr>
              <w:t>means Erf 161 Portion 6 Rosebank;</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2.1.67</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Reference Banks </w:t>
            </w:r>
            <w:r>
              <w:rPr>
                <w:rFonts w:ascii="Times New Roman" w:cs="Times New Roman" w:eastAsia="Times New Roman" w:hAnsi="Times New Roman"/>
                <w:sz w:val="14"/>
                <w:szCs w:val="14"/>
                <w:color w:val="auto"/>
              </w:rPr>
              <w:t>means the principal Johannesburg offices of Absa Bank Limited, FirstRand Bank Limited, Investec Bank Limited, Nedbank Limited and The Standard Bank of</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South Africa Limited, or such other banks as may be appointed by the Lender in consultation with the Borrower;</w:t>
            </w:r>
          </w:p>
        </w:tc>
      </w:tr>
      <w:tr>
        <w:trPr>
          <w:trHeight w:val="518"/>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80"/>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11280"/>
          </w:cols>
          <w:pgMar w:left="300" w:top="318" w:right="31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2.1.68</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Repeating Representations </w:t>
            </w:r>
            <w:r>
              <w:rPr>
                <w:rFonts w:ascii="Times New Roman" w:cs="Times New Roman" w:eastAsia="Times New Roman" w:hAnsi="Times New Roman"/>
                <w:sz w:val="14"/>
                <w:szCs w:val="14"/>
                <w:color w:val="auto"/>
              </w:rPr>
              <w:t>means each of the representations set out in clause 15.1 (</w:t>
            </w:r>
            <w:r>
              <w:rPr>
                <w:rFonts w:ascii="Times New Roman" w:cs="Times New Roman" w:eastAsia="Times New Roman" w:hAnsi="Times New Roman"/>
                <w:sz w:val="14"/>
                <w:szCs w:val="14"/>
                <w:i w:val="1"/>
                <w:iCs w:val="1"/>
                <w:color w:val="auto"/>
              </w:rPr>
              <w:t>Status</w:t>
            </w:r>
            <w:r>
              <w:rPr>
                <w:rFonts w:ascii="Times New Roman" w:cs="Times New Roman" w:eastAsia="Times New Roman" w:hAnsi="Times New Roman"/>
                <w:sz w:val="14"/>
                <w:szCs w:val="14"/>
                <w:color w:val="auto"/>
              </w:rPr>
              <w:t>) to clause 15.5 (</w:t>
            </w:r>
            <w:r>
              <w:rPr>
                <w:rFonts w:ascii="Times New Roman" w:cs="Times New Roman" w:eastAsia="Times New Roman" w:hAnsi="Times New Roman"/>
                <w:sz w:val="14"/>
                <w:szCs w:val="14"/>
                <w:i w:val="1"/>
                <w:iCs w:val="1"/>
                <w:color w:val="auto"/>
              </w:rPr>
              <w:t>Validity and Admissibility in Evidence</w:t>
            </w:r>
            <w:r>
              <w:rPr>
                <w:rFonts w:ascii="Times New Roman" w:cs="Times New Roman" w:eastAsia="Times New Roman" w:hAnsi="Times New Roman"/>
                <w:sz w:val="14"/>
                <w:szCs w:val="14"/>
                <w:color w:val="auto"/>
              </w:rPr>
              <w:t>), clause 15.7 (</w:t>
            </w:r>
            <w:r>
              <w:rPr>
                <w:rFonts w:ascii="Times New Roman" w:cs="Times New Roman" w:eastAsia="Times New Roman" w:hAnsi="Times New Roman"/>
                <w:sz w:val="14"/>
                <w:szCs w:val="14"/>
                <w:i w:val="1"/>
                <w:iCs w:val="1"/>
                <w:color w:val="auto"/>
              </w:rPr>
              <w:t>No default</w:t>
            </w:r>
            <w:r>
              <w:rPr>
                <w:rFonts w:ascii="Times New Roman" w:cs="Times New Roman" w:eastAsia="Times New Roman" w:hAnsi="Times New Roman"/>
                <w:sz w:val="14"/>
                <w:szCs w:val="14"/>
                <w:color w:val="auto"/>
              </w:rPr>
              <w:t>), clause</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15.9 (</w:t>
            </w:r>
            <w:r>
              <w:rPr>
                <w:rFonts w:ascii="Times New Roman" w:cs="Times New Roman" w:eastAsia="Times New Roman" w:hAnsi="Times New Roman"/>
                <w:sz w:val="14"/>
                <w:szCs w:val="14"/>
                <w:i w:val="1"/>
                <w:iCs w:val="1"/>
                <w:color w:val="auto"/>
              </w:rPr>
              <w:t>No misleading information</w:t>
            </w:r>
            <w:r>
              <w:rPr>
                <w:rFonts w:ascii="Times New Roman" w:cs="Times New Roman" w:eastAsia="Times New Roman" w:hAnsi="Times New Roman"/>
                <w:sz w:val="14"/>
                <w:szCs w:val="14"/>
                <w:color w:val="auto"/>
              </w:rPr>
              <w:t>), clause 15.14 (</w:t>
            </w:r>
            <w:r>
              <w:rPr>
                <w:rFonts w:ascii="Times New Roman" w:cs="Times New Roman" w:eastAsia="Times New Roman" w:hAnsi="Times New Roman"/>
                <w:sz w:val="14"/>
                <w:szCs w:val="14"/>
                <w:i w:val="1"/>
                <w:iCs w:val="1"/>
                <w:color w:val="auto"/>
              </w:rPr>
              <w:t>Pari passu ranking</w:t>
            </w:r>
            <w:r>
              <w:rPr>
                <w:rFonts w:ascii="Times New Roman" w:cs="Times New Roman" w:eastAsia="Times New Roman" w:hAnsi="Times New Roman"/>
                <w:sz w:val="14"/>
                <w:szCs w:val="14"/>
                <w:color w:val="auto"/>
              </w:rPr>
              <w:t>), clause 15.24 (</w:t>
            </w:r>
            <w:r>
              <w:rPr>
                <w:rFonts w:ascii="Times New Roman" w:cs="Times New Roman" w:eastAsia="Times New Roman" w:hAnsi="Times New Roman"/>
                <w:sz w:val="14"/>
                <w:szCs w:val="14"/>
                <w:i w:val="1"/>
                <w:iCs w:val="1"/>
                <w:color w:val="auto"/>
              </w:rPr>
              <w:t>Authorised Signatures</w:t>
            </w:r>
            <w:r>
              <w:rPr>
                <w:rFonts w:ascii="Times New Roman" w:cs="Times New Roman" w:eastAsia="Times New Roman" w:hAnsi="Times New Roman"/>
                <w:sz w:val="14"/>
                <w:szCs w:val="14"/>
                <w:color w:val="auto"/>
              </w:rPr>
              <w:t>), clause 15.26 (</w:t>
            </w:r>
            <w:r>
              <w:rPr>
                <w:rFonts w:ascii="Times New Roman" w:cs="Times New Roman" w:eastAsia="Times New Roman" w:hAnsi="Times New Roman"/>
                <w:sz w:val="14"/>
                <w:szCs w:val="14"/>
                <w:i w:val="1"/>
                <w:iCs w:val="1"/>
                <w:color w:val="auto"/>
              </w:rPr>
              <w:t>No immunity</w:t>
            </w:r>
            <w:r>
              <w:rPr>
                <w:rFonts w:ascii="Times New Roman" w:cs="Times New Roman" w:eastAsia="Times New Roman" w:hAnsi="Times New Roman"/>
                <w:sz w:val="14"/>
                <w:szCs w:val="14"/>
                <w:color w:val="auto"/>
              </w:rPr>
              <w:t>), clause 15.22 (</w:t>
            </w:r>
            <w:r>
              <w:rPr>
                <w:rFonts w:ascii="Times New Roman" w:cs="Times New Roman" w:eastAsia="Times New Roman" w:hAnsi="Times New Roman"/>
                <w:sz w:val="14"/>
                <w:szCs w:val="14"/>
                <w:i w:val="1"/>
                <w:iCs w:val="1"/>
                <w:color w:val="auto"/>
              </w:rPr>
              <w:t>Title to Property</w:t>
            </w:r>
            <w:r>
              <w:rPr>
                <w:rFonts w:ascii="Times New Roman" w:cs="Times New Roman" w:eastAsia="Times New Roman" w:hAnsi="Times New Roman"/>
                <w:sz w:val="14"/>
                <w:szCs w:val="14"/>
                <w:color w:val="auto"/>
              </w:rPr>
              <w:t>), clause 15.9</w:t>
            </w:r>
          </w:p>
        </w:tc>
      </w:tr>
      <w:tr>
        <w:trPr>
          <w:trHeight w:val="188"/>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 Borrowings</w:t>
            </w:r>
            <w:r>
              <w:rPr>
                <w:rFonts w:ascii="Times New Roman" w:cs="Times New Roman" w:eastAsia="Times New Roman" w:hAnsi="Times New Roman"/>
                <w:sz w:val="14"/>
                <w:szCs w:val="14"/>
                <w:color w:val="auto"/>
              </w:rPr>
              <w:t>), clause 15.12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and clause 15.13 (</w:t>
            </w:r>
            <w:r>
              <w:rPr>
                <w:rFonts w:ascii="Times New Roman" w:cs="Times New Roman" w:eastAsia="Times New Roman" w:hAnsi="Times New Roman"/>
                <w:sz w:val="14"/>
                <w:szCs w:val="14"/>
                <w:i w:val="1"/>
                <w:iCs w:val="1"/>
                <w:color w:val="auto"/>
              </w:rPr>
              <w:t>Security Interest</w:t>
            </w:r>
            <w:r>
              <w:rPr>
                <w:rFonts w:ascii="Times New Roman" w:cs="Times New Roman" w:eastAsia="Times New Roman" w:hAnsi="Times New Roman"/>
                <w:sz w:val="14"/>
                <w:szCs w:val="14"/>
                <w:color w:val="auto"/>
              </w:rPr>
              <w: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2.1.69</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Representative </w:t>
            </w:r>
            <w:r>
              <w:rPr>
                <w:rFonts w:ascii="Times New Roman" w:cs="Times New Roman" w:eastAsia="Times New Roman" w:hAnsi="Times New Roman"/>
                <w:sz w:val="14"/>
                <w:szCs w:val="14"/>
                <w:color w:val="auto"/>
              </w:rPr>
              <w:t>means any representative, delegate, agent, manager, administrator, nominee, attorney, trustee or custodian;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2.1.70</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Sanctioned Entity </w:t>
            </w:r>
            <w:r>
              <w:rPr>
                <w:rFonts w:ascii="Times New Roman" w:cs="Times New Roman" w:eastAsia="Times New Roman" w:hAnsi="Times New Roman"/>
                <w:sz w:val="14"/>
                <w:szCs w:val="14"/>
                <w:color w:val="auto"/>
              </w:rPr>
              <w:t>means: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2.1.70.1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person, country or territory which is listed on a Sanctions List or is subject to Sanctions;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2.1.70.2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person which is ordinarily resident in a country or territory which is listed on a Sanctions List or is subject to Sanctions;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2.1.70.3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person in respect of which 50% (fifty percent) share, or more, of its securities are owned or beneficially held by a person listed on any Sanctions List;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2.1.70.4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any person otherwise a target of Sanctions (being any person with whom a US person or other national of a Sanctions Authority would be prohibited or restricted by law from</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engaging in trade, business or other activities);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Sanctioned Transaction </w:t>
            </w:r>
            <w:r>
              <w:rPr>
                <w:rFonts w:ascii="Times New Roman" w:cs="Times New Roman" w:eastAsia="Times New Roman" w:hAnsi="Times New Roman"/>
                <w:sz w:val="14"/>
                <w:szCs w:val="14"/>
                <w:color w:val="auto"/>
              </w:rPr>
              <w:t>means the use of any proceeds of a Facility for the purpose of financing or providing any credit, directly or indirectly, to:</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Sanctioned Entity;</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other person or entity, if any member of the Group has actual knowledge that the person or entity proposes to use the proceeds of the financing or credit for the purpose of</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financing or providing any credit, directly or indirectly, to a Sanctioned Entity,</w:t>
            </w:r>
          </w:p>
        </w:tc>
      </w:tr>
      <w:tr>
        <w:trPr>
          <w:trHeight w:val="344"/>
        </w:trPr>
        <w:tc>
          <w:tcPr>
            <w:tcW w:w="620" w:type="dxa"/>
            <w:vAlign w:val="bottom"/>
          </w:tcPr>
          <w:p>
            <w:pPr>
              <w:spacing w:after="0"/>
              <w:rPr>
                <w:sz w:val="24"/>
                <w:szCs w:val="2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 each case to the extent that to do so is prohibited by, or would cause any breach of, Sanctions;</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Sanctions </w:t>
            </w:r>
            <w:r>
              <w:rPr>
                <w:rFonts w:ascii="Times New Roman" w:cs="Times New Roman" w:eastAsia="Times New Roman" w:hAnsi="Times New Roman"/>
                <w:sz w:val="14"/>
                <w:szCs w:val="14"/>
                <w:color w:val="auto"/>
              </w:rPr>
              <w:t>means trade, economic or financial sanctions, laws, regulations, trade embargoes or restrictive measures imposed, administered or enforced from time to time by a</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Sanctions Authority;</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Sanctions Authority </w:t>
            </w:r>
            <w:r>
              <w:rPr>
                <w:rFonts w:ascii="Times New Roman" w:cs="Times New Roman" w:eastAsia="Times New Roman" w:hAnsi="Times New Roman"/>
                <w:sz w:val="14"/>
                <w:szCs w:val="14"/>
                <w:color w:val="auto"/>
              </w:rPr>
              <w:t>means each of:</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US Government;</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10</w:t>
            </w:r>
          </w:p>
        </w:tc>
      </w:tr>
    </w:tbl>
    <w:p>
      <w:pPr>
        <w:sectPr>
          <w:pgSz w:w="11900" w:h="16838" w:orient="portrait"/>
          <w:cols w:equalWidth="0" w:num="1">
            <w:col w:w="11280"/>
          </w:cols>
          <w:pgMar w:left="300" w:top="295" w:right="31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United Nations;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European Union;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UK government;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government of the Republic of France;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2.1.73.6</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Council of Europe (founded under the Treaty of London, 1946);</w:t>
            </w:r>
          </w:p>
        </w:tc>
      </w:tr>
      <w:tr>
        <w:trPr>
          <w:trHeight w:val="32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2.1.73.7</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respective governmental institutions and agencies of any of the aforegoing, including, without limitation, the Office of Foreign Assets Control of the Department of Treasury</w:t>
            </w:r>
          </w:p>
        </w:tc>
      </w:tr>
      <w:tr>
        <w:trPr>
          <w:trHeight w:val="172"/>
        </w:trPr>
        <w:tc>
          <w:tcPr>
            <w:tcW w:w="620" w:type="dxa"/>
            <w:vAlign w:val="bottom"/>
          </w:tcPr>
          <w:p>
            <w:pPr>
              <w:spacing w:after="0"/>
              <w:rPr>
                <w:sz w:val="14"/>
                <w:szCs w:val="14"/>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 the United States of America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the US State Department, the US Department of Commerce, the US Department of Treasury, French Ministry of Finance (</w:t>
            </w:r>
            <w:r>
              <w:rPr>
                <w:rFonts w:ascii="Times New Roman" w:cs="Times New Roman" w:eastAsia="Times New Roman" w:hAnsi="Times New Roman"/>
                <w:sz w:val="14"/>
                <w:szCs w:val="14"/>
                <w:b w:val="1"/>
                <w:bCs w:val="1"/>
                <w:color w:val="auto"/>
              </w:rPr>
              <w:t>MINEFI)</w:t>
            </w:r>
          </w:p>
        </w:tc>
      </w:tr>
      <w:tr>
        <w:trPr>
          <w:trHeight w:val="188"/>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Her Majesty’s Treasury (</w:t>
            </w:r>
            <w:r>
              <w:rPr>
                <w:rFonts w:ascii="Times New Roman" w:cs="Times New Roman" w:eastAsia="Times New Roman" w:hAnsi="Times New Roman"/>
                <w:sz w:val="14"/>
                <w:szCs w:val="14"/>
                <w:b w:val="1"/>
                <w:bCs w:val="1"/>
                <w:color w:val="auto"/>
              </w:rPr>
              <w:t>HMT</w:t>
            </w:r>
            <w:r>
              <w:rPr>
                <w:rFonts w:ascii="Times New Roman" w:cs="Times New Roman" w:eastAsia="Times New Roman" w:hAnsi="Times New Roman"/>
                <w:sz w:val="14"/>
                <w:szCs w:val="14"/>
                <w:color w:val="auto"/>
              </w:rPr>
              <w: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Sanctions List </w:t>
            </w:r>
            <w:r>
              <w:rPr>
                <w:rFonts w:ascii="Times New Roman" w:cs="Times New Roman" w:eastAsia="Times New Roman" w:hAnsi="Times New Roman"/>
                <w:sz w:val="14"/>
                <w:szCs w:val="14"/>
                <w:color w:val="auto"/>
              </w:rPr>
              <w:t>means any of the lists of specifically designated nationals or designated persons or entities (or equivalent) held and published by:</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US government and administered by OFAC (including the “Specially Designated Nationals and Blocked Persons” list maintained by OFAC), the US State Department, the</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US Department of Commerce or the US Department of the Treasury;</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United Nations Security Council;</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European Union;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government of the Republic of France or MINEFI; or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HMT (including the Consolidated List of Financial Sanctions Targets and Investment Bank List maintained by HMT), each as amended, supplemented or substituted from time to</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time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2.1.74.6</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SDN List;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2.1.75</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Screen Rate </w:t>
            </w:r>
            <w:r>
              <w:rPr>
                <w:rFonts w:ascii="Times New Roman" w:cs="Times New Roman" w:eastAsia="Times New Roman" w:hAnsi="Times New Roman"/>
                <w:sz w:val="14"/>
                <w:szCs w:val="14"/>
                <w:color w:val="auto"/>
              </w:rPr>
              <w:t>means the mid-market rate for deposits in ZAR for the relevant period which appears on the Reuters Screen SAFEY Page alongside the caption “</w:t>
            </w:r>
            <w:r>
              <w:rPr>
                <w:rFonts w:ascii="Times New Roman" w:cs="Times New Roman" w:eastAsia="Times New Roman" w:hAnsi="Times New Roman"/>
                <w:sz w:val="14"/>
                <w:szCs w:val="14"/>
                <w:b w:val="1"/>
                <w:bCs w:val="1"/>
                <w:color w:val="auto"/>
              </w:rPr>
              <w:t>YLD</w:t>
            </w:r>
            <w:r>
              <w:rPr>
                <w:rFonts w:ascii="Times New Roman" w:cs="Times New Roman" w:eastAsia="Times New Roman" w:hAnsi="Times New Roman"/>
                <w:sz w:val="14"/>
                <w:szCs w:val="14"/>
                <w:color w:val="auto"/>
              </w:rPr>
              <w:t>” at the applicable</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time. If such page is replaced or service ceases to be available, the Lender may specify another page or service displaying the appropriate rate after consultation with the Borrower;</w:t>
            </w:r>
          </w:p>
        </w:tc>
      </w:tr>
      <w:tr>
        <w:trPr>
          <w:trHeight w:val="32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2.1.76</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SDN List </w:t>
            </w:r>
            <w:r>
              <w:rPr>
                <w:rFonts w:ascii="Times New Roman" w:cs="Times New Roman" w:eastAsia="Times New Roman" w:hAnsi="Times New Roman"/>
                <w:sz w:val="14"/>
                <w:szCs w:val="14"/>
                <w:color w:val="auto"/>
              </w:rPr>
              <w:t>means the Specially Designated Nationals and Blocked Persons List, as published by the United States Department of the Treasury Office of Foreign Asset Control from</w:t>
            </w:r>
          </w:p>
        </w:tc>
      </w:tr>
      <w:tr>
        <w:trPr>
          <w:trHeight w:val="172"/>
        </w:trPr>
        <w:tc>
          <w:tcPr>
            <w:tcW w:w="620" w:type="dxa"/>
            <w:vAlign w:val="bottom"/>
          </w:tcPr>
          <w:p>
            <w:pPr>
              <w:spacing w:after="0"/>
              <w:rPr>
                <w:sz w:val="14"/>
                <w:szCs w:val="1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time to time, and available on the world-wide internet at the following website - </w:t>
            </w:r>
            <w:r>
              <w:rPr>
                <w:rFonts w:ascii="Times New Roman" w:cs="Times New Roman" w:eastAsia="Times New Roman" w:hAnsi="Times New Roman"/>
                <w:sz w:val="14"/>
                <w:szCs w:val="14"/>
                <w:b w:val="1"/>
                <w:bCs w:val="1"/>
                <w:color w:val="auto"/>
              </w:rPr>
              <w:t>https://home.treasury.gov/policy-issues/financial-sanctions/specially-designated-nationals-and-</w:t>
            </w:r>
          </w:p>
        </w:tc>
      </w:tr>
      <w:tr>
        <w:trPr>
          <w:trHeight w:val="174"/>
        </w:trPr>
        <w:tc>
          <w:tcPr>
            <w:tcW w:w="620" w:type="dxa"/>
            <w:vAlign w:val="bottom"/>
          </w:tcPr>
          <w:p>
            <w:pPr>
              <w:spacing w:after="0"/>
              <w:rPr>
                <w:sz w:val="15"/>
                <w:szCs w:val="15"/>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blocked-persons-list-sdn-human-readable-lists </w:t>
            </w:r>
            <w:r>
              <w:rPr>
                <w:rFonts w:ascii="Times New Roman" w:cs="Times New Roman" w:eastAsia="Times New Roman" w:hAnsi="Times New Roman"/>
                <w:sz w:val="14"/>
                <w:szCs w:val="14"/>
                <w:color w:val="auto"/>
              </w:rPr>
              <w:t>or any official successor website, which identifies terrorist organisations, individual terrorists and states which sponsor terrorism that</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are, in each instance, restricted from doing business with the United States of America and/or American companies and/or Americans.</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11280"/>
          </w:cols>
          <w:pgMar w:left="300" w:top="318" w:right="31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2.1.77</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Security </w:t>
            </w:r>
            <w:r>
              <w:rPr>
                <w:rFonts w:ascii="Times New Roman" w:cs="Times New Roman" w:eastAsia="Times New Roman" w:hAnsi="Times New Roman"/>
                <w:sz w:val="14"/>
                <w:szCs w:val="14"/>
                <w:color w:val="auto"/>
              </w:rPr>
              <w:t>means:</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2.1.77.1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mortgage bond, notarial bond, cession in security, charge, pledge, hypothec, lien or other security interest securing any obligation of any person or any other agreement or</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arrangement having a similar effect;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2.1.77.2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arrangement under which money or claims to, or for the benefit of, a bank or other account may be applied, set off or made subject to a combination of accounts so as to effect</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discharge of any sum owed or payable to any person;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2.1.77.3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other type of preferential agreement or arrangement (including any title transfer and retention arrangement), the effect of which is the creation of a security interest;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2.1.78</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Security Documents </w:t>
            </w:r>
            <w:r>
              <w:rPr>
                <w:rFonts w:ascii="Times New Roman" w:cs="Times New Roman" w:eastAsia="Times New Roman" w:hAnsi="Times New Roman"/>
                <w:sz w:val="14"/>
                <w:szCs w:val="14"/>
                <w:color w:val="auto"/>
              </w:rPr>
              <w:t>means: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2.1.78.1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Mortgage Bonds and any other mortgage bonds registered by the Borrower in favour of the Lender;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2.1.78.2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Cession in Security;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2.1.78.3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 xml:space="preserve">any other document designated as </w:t>
            </w:r>
            <w:r>
              <w:rPr>
                <w:rFonts w:ascii="Times New Roman" w:cs="Times New Roman" w:eastAsia="Times New Roman" w:hAnsi="Times New Roman"/>
                <w:sz w:val="14"/>
                <w:szCs w:val="14"/>
                <w:i w:val="1"/>
                <w:iCs w:val="1"/>
                <w:color w:val="auto"/>
              </w:rPr>
              <w:t>“Security Document”</w:t>
            </w:r>
            <w:r>
              <w:rPr>
                <w:rFonts w:ascii="Times New Roman" w:cs="Times New Roman" w:eastAsia="Times New Roman" w:hAnsi="Times New Roman"/>
                <w:sz w:val="14"/>
                <w:szCs w:val="14"/>
                <w:color w:val="auto"/>
              </w:rPr>
              <w:t xml:space="preserve"> by agreement by the Lender and the Borrower,</w:t>
            </w:r>
          </w:p>
        </w:tc>
      </w:tr>
      <w:tr>
        <w:trPr>
          <w:trHeight w:val="344"/>
        </w:trPr>
        <w:tc>
          <w:tcPr>
            <w:tcW w:w="620" w:type="dxa"/>
            <w:vAlign w:val="bottom"/>
          </w:tcPr>
          <w:p>
            <w:pPr>
              <w:spacing w:after="0"/>
              <w:rPr>
                <w:sz w:val="24"/>
                <w:szCs w:val="2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b w:val="1"/>
                <w:bCs w:val="1"/>
                <w:color w:val="auto"/>
              </w:rPr>
              <w:t>Security Document</w:t>
            </w:r>
            <w:r>
              <w:rPr>
                <w:rFonts w:ascii="Times New Roman" w:cs="Times New Roman" w:eastAsia="Times New Roman" w:hAnsi="Times New Roman"/>
                <w:sz w:val="14"/>
                <w:szCs w:val="14"/>
                <w:color w:val="auto"/>
              </w:rPr>
              <w:t xml:space="preserve"> means any one of them;</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2.1.79</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Signature Date </w:t>
            </w:r>
            <w:r>
              <w:rPr>
                <w:rFonts w:ascii="Times New Roman" w:cs="Times New Roman" w:eastAsia="Times New Roman" w:hAnsi="Times New Roman"/>
                <w:sz w:val="14"/>
                <w:szCs w:val="14"/>
                <w:color w:val="auto"/>
              </w:rPr>
              <w:t>means the date of the signature of the Party last signing this Agreement in time;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2.1.80</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South Africa </w:t>
            </w:r>
            <w:r>
              <w:rPr>
                <w:rFonts w:ascii="Times New Roman" w:cs="Times New Roman" w:eastAsia="Times New Roman" w:hAnsi="Times New Roman"/>
                <w:sz w:val="14"/>
                <w:szCs w:val="14"/>
                <w:color w:val="auto"/>
              </w:rPr>
              <w:t>means the Republic of South Africa;</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2.1.81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Structuring Fee </w:t>
            </w:r>
            <w:r>
              <w:rPr>
                <w:rFonts w:ascii="Times New Roman" w:cs="Times New Roman" w:eastAsia="Times New Roman" w:hAnsi="Times New Roman"/>
                <w:sz w:val="14"/>
                <w:szCs w:val="14"/>
                <w:color w:val="auto"/>
              </w:rPr>
              <w:t>means the transaction structuring fees payable by the Borrower in respect of the Facilities in an amount of R500,000 (five hundred thousand Rand) exclusive of VAT;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2.1.82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Subsidiary </w:t>
            </w:r>
            <w:r>
              <w:rPr>
                <w:rFonts w:ascii="Times New Roman" w:cs="Times New Roman" w:eastAsia="Times New Roman" w:hAnsi="Times New Roman"/>
                <w:sz w:val="14"/>
                <w:szCs w:val="14"/>
                <w:color w:val="auto"/>
              </w:rPr>
              <w:t>means a “subsidiary” as defined in the Companies Act and shall include any person who would, but for not being a “company” under the Companies Act, qualify as a</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“subsidiary” as defined in the Companies Act;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2.1.83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Tax </w:t>
            </w:r>
            <w:r>
              <w:rPr>
                <w:rFonts w:ascii="Times New Roman" w:cs="Times New Roman" w:eastAsia="Times New Roman" w:hAnsi="Times New Roman"/>
                <w:sz w:val="14"/>
                <w:szCs w:val="14"/>
                <w:color w:val="auto"/>
              </w:rPr>
              <w:t>means any tax, levy, impost, duty or other charge or withholding of a similar nature (including any penalty or interest payable in connection with any failure to pay or any delay in</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paying any of the same);</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12</w:t>
            </w:r>
          </w:p>
        </w:tc>
      </w:tr>
    </w:tbl>
    <w:p>
      <w:pPr>
        <w:sectPr>
          <w:pgSz w:w="11900" w:h="16838" w:orient="portrait"/>
          <w:cols w:equalWidth="0" w:num="1">
            <w:col w:w="11280"/>
          </w:cols>
          <w:pgMar w:left="300" w:top="295" w:right="319"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2.1.84</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Transaction Documents </w:t>
            </w:r>
            <w:r>
              <w:rPr>
                <w:rFonts w:ascii="Times New Roman" w:cs="Times New Roman" w:eastAsia="Times New Roman" w:hAnsi="Times New Roman"/>
                <w:sz w:val="14"/>
                <w:szCs w:val="14"/>
                <w:color w:val="auto"/>
              </w:rPr>
              <w:t>means:</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2.1.84.1</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the Finance Documents;</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2.1.84.2</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any Lease Agreements;</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2.1.84.3</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the Insurance Policies; and</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2.1.84.4</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any other document designated as such by the Obligors and the Lender;</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2.1.85</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Transaction Security </w:t>
            </w:r>
            <w:r>
              <w:rPr>
                <w:rFonts w:ascii="Times New Roman" w:cs="Times New Roman" w:eastAsia="Times New Roman" w:hAnsi="Times New Roman"/>
                <w:sz w:val="14"/>
                <w:szCs w:val="14"/>
                <w:color w:val="auto"/>
              </w:rPr>
              <w:t>means the Security created or expressed to be created in favour of the Lender pursuant to the Security Documents or any other Finance Document;</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2.1.86</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Unpaid Sum </w:t>
            </w:r>
            <w:r>
              <w:rPr>
                <w:rFonts w:ascii="Times New Roman" w:cs="Times New Roman" w:eastAsia="Times New Roman" w:hAnsi="Times New Roman"/>
                <w:sz w:val="14"/>
                <w:szCs w:val="14"/>
                <w:color w:val="auto"/>
              </w:rPr>
              <w:t>means any sum due and payable but unpaid by the Borrower under this Agreement</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2.1.87</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Utilisation </w:t>
            </w:r>
            <w:r>
              <w:rPr>
                <w:rFonts w:ascii="Times New Roman" w:cs="Times New Roman" w:eastAsia="Times New Roman" w:hAnsi="Times New Roman"/>
                <w:sz w:val="14"/>
                <w:szCs w:val="14"/>
                <w:color w:val="auto"/>
              </w:rPr>
              <w:t>means a utilisation of a Facility;</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2.1.88</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Utilisation Date </w:t>
            </w:r>
            <w:r>
              <w:rPr>
                <w:rFonts w:ascii="Times New Roman" w:cs="Times New Roman" w:eastAsia="Times New Roman" w:hAnsi="Times New Roman"/>
                <w:sz w:val="14"/>
                <w:szCs w:val="14"/>
                <w:color w:val="auto"/>
              </w:rPr>
              <w:t>means the date of a Utilisation, being the date on which the Loan is made;</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2.1.89</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Utilisation Request </w:t>
            </w:r>
            <w:r>
              <w:rPr>
                <w:rFonts w:ascii="Times New Roman" w:cs="Times New Roman" w:eastAsia="Times New Roman" w:hAnsi="Times New Roman"/>
                <w:sz w:val="14"/>
                <w:szCs w:val="14"/>
                <w:color w:val="auto"/>
              </w:rPr>
              <w:t>means a notice substantially in the form set out in Annexure B (</w:t>
            </w:r>
            <w:r>
              <w:rPr>
                <w:rFonts w:ascii="Times New Roman" w:cs="Times New Roman" w:eastAsia="Times New Roman" w:hAnsi="Times New Roman"/>
                <w:sz w:val="14"/>
                <w:szCs w:val="14"/>
                <w:i w:val="1"/>
                <w:iCs w:val="1"/>
                <w:color w:val="auto"/>
              </w:rPr>
              <w:t>Form of Utilisation Request</w:t>
            </w:r>
            <w:r>
              <w:rPr>
                <w:rFonts w:ascii="Times New Roman" w:cs="Times New Roman" w:eastAsia="Times New Roman" w:hAnsi="Times New Roman"/>
                <w:sz w:val="14"/>
                <w:szCs w:val="14"/>
                <w:color w:val="auto"/>
              </w:rPr>
              <w:t>);</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2.1.90</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Valuation </w:t>
            </w:r>
            <w:r>
              <w:rPr>
                <w:rFonts w:ascii="Times New Roman" w:cs="Times New Roman" w:eastAsia="Times New Roman" w:hAnsi="Times New Roman"/>
                <w:sz w:val="14"/>
                <w:szCs w:val="14"/>
                <w:color w:val="auto"/>
              </w:rPr>
              <w:t>means, as the context may require:</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2.1.90.1</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each Formal Valuation; and/or</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2.1.90.2</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each annual desktop valuation report of the Property, prepared by or for and on behalf of the Lender;</w:t>
            </w:r>
          </w:p>
        </w:tc>
      </w:tr>
      <w:tr>
        <w:trPr>
          <w:trHeight w:val="330"/>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2.1.91</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Valuer </w:t>
            </w:r>
            <w:r>
              <w:rPr>
                <w:rFonts w:ascii="Times New Roman" w:cs="Times New Roman" w:eastAsia="Times New Roman" w:hAnsi="Times New Roman"/>
                <w:sz w:val="14"/>
                <w:szCs w:val="14"/>
                <w:color w:val="auto"/>
              </w:rPr>
              <w:t>means an independent immovable property valuer appointed by the Borrower, provided that the Valuer and its relevant representative must be registered with the South African</w:t>
            </w:r>
          </w:p>
        </w:tc>
      </w:tr>
      <w:tr>
        <w:trPr>
          <w:trHeight w:val="186"/>
        </w:trPr>
        <w:tc>
          <w:tcPr>
            <w:tcW w:w="500" w:type="dxa"/>
            <w:vAlign w:val="bottom"/>
          </w:tcPr>
          <w:p>
            <w:pPr>
              <w:spacing w:after="0"/>
              <w:rPr>
                <w:sz w:val="16"/>
                <w:szCs w:val="16"/>
                <w:color w:val="auto"/>
              </w:rPr>
            </w:pP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Council for the Property Valuers Profession;</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2.1.92</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VAT </w:t>
            </w:r>
            <w:r>
              <w:rPr>
                <w:rFonts w:ascii="Times New Roman" w:cs="Times New Roman" w:eastAsia="Times New Roman" w:hAnsi="Times New Roman"/>
                <w:sz w:val="14"/>
                <w:szCs w:val="14"/>
                <w:color w:val="auto"/>
              </w:rPr>
              <w:t>means (i) any value added tax as provided for in the Value Added Tax Act, 1991, (ii) any general service tax and (iii) any other tax of a similar nature; and</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2.1.93</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ZAR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Rand </w:t>
            </w:r>
            <w:r>
              <w:rPr>
                <w:rFonts w:ascii="Times New Roman" w:cs="Times New Roman" w:eastAsia="Times New Roman" w:hAnsi="Times New Roman"/>
                <w:sz w:val="14"/>
                <w:szCs w:val="14"/>
                <w:color w:val="auto"/>
              </w:rPr>
              <w:t>means South African Rand, the lawful currency of South Africa.</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10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2.2.1</w:t>
            </w:r>
          </w:p>
        </w:tc>
        <w:tc>
          <w:tcPr>
            <w:tcW w:w="10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Unless a contrary indication appears, any reference in this Agreement to:</w:t>
            </w: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2.2.1.1</w:t>
            </w:r>
          </w:p>
        </w:tc>
        <w:tc>
          <w:tcPr>
            <w:tcW w:w="10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xml:space="preserve">, any </w:t>
            </w:r>
            <w:r>
              <w:rPr>
                <w:rFonts w:ascii="Times New Roman" w:cs="Times New Roman" w:eastAsia="Times New Roman" w:hAnsi="Times New Roman"/>
                <w:sz w:val="14"/>
                <w:szCs w:val="14"/>
                <w:b w:val="1"/>
                <w:bCs w:val="1"/>
                <w:color w:val="auto"/>
              </w:rPr>
              <w:t>Obligor</w:t>
            </w:r>
            <w:r>
              <w:rPr>
                <w:rFonts w:ascii="Times New Roman" w:cs="Times New Roman" w:eastAsia="Times New Roman" w:hAnsi="Times New Roman"/>
                <w:sz w:val="14"/>
                <w:szCs w:val="14"/>
                <w:color w:val="auto"/>
              </w:rPr>
              <w:t xml:space="preserve"> or any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xml:space="preserve"> shall be construed so as to include its successors in title, permitted cessionaries and permitted transferees;</w:t>
            </w:r>
          </w:p>
        </w:tc>
      </w:tr>
      <w:tr>
        <w:trPr>
          <w:trHeight w:val="539"/>
        </w:trPr>
        <w:tc>
          <w:tcPr>
            <w:tcW w:w="50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tcPr>
          <w:p>
            <w:pPr>
              <w:ind w:left="5080"/>
              <w:spacing w:after="0"/>
              <w:rPr>
                <w:sz w:val="20"/>
                <w:szCs w:val="20"/>
                <w:color w:val="auto"/>
              </w:rPr>
            </w:pPr>
            <w:r>
              <w:rPr>
                <w:rFonts w:ascii="Times New Roman" w:cs="Times New Roman" w:eastAsia="Times New Roman" w:hAnsi="Times New Roman"/>
                <w:sz w:val="14"/>
                <w:szCs w:val="14"/>
                <w:color w:val="auto"/>
              </w:rPr>
              <w:t>13</w:t>
            </w:r>
          </w:p>
        </w:tc>
      </w:tr>
    </w:tbl>
    <w:p>
      <w:pPr>
        <w:sectPr>
          <w:pgSz w:w="11900" w:h="16838" w:orient="portrait"/>
          <w:cols w:equalWidth="0" w:num="1">
            <w:col w:w="11280"/>
          </w:cols>
          <w:pgMar w:left="300" w:top="316" w:right="31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2.2.1.2</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4"/>
                <w:szCs w:val="14"/>
                <w:color w:val="auto"/>
              </w:rPr>
              <w:t>includes present and future properties, revenues and rights of every description;</w:t>
            </w:r>
          </w:p>
        </w:tc>
      </w:tr>
      <w:tr>
        <w:trPr>
          <w:trHeight w:val="3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2.2.1.3</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includes any court or any governmental, intergovernmental or supranational body, agency, department or any regulatory, self-regulatory or other authority;</w:t>
            </w:r>
          </w:p>
        </w:tc>
      </w:tr>
      <w:tr>
        <w:trPr>
          <w:trHeight w:val="33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2.2.1.4</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Finance Document</w:t>
            </w:r>
            <w:r>
              <w:rPr>
                <w:rFonts w:ascii="Times New Roman" w:cs="Times New Roman" w:eastAsia="Times New Roman" w:hAnsi="Times New Roman"/>
                <w:sz w:val="14"/>
                <w:szCs w:val="14"/>
                <w:color w:val="auto"/>
              </w:rPr>
              <w:t xml:space="preserve"> any other agreement or instrument includes (without prejudice to any prohibition on amendments) all amendments (however fundamental) to, or novations</w:t>
            </w:r>
          </w:p>
        </w:tc>
      </w:tr>
      <w:tr>
        <w:trPr>
          <w:trHeight w:val="172"/>
        </w:trPr>
        <w:tc>
          <w:tcPr>
            <w:tcW w:w="760" w:type="dxa"/>
            <w:vAlign w:val="bottom"/>
          </w:tcPr>
          <w:p>
            <w:pPr>
              <w:spacing w:after="0"/>
              <w:rPr>
                <w:sz w:val="14"/>
                <w:szCs w:val="14"/>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that Finance Document or other agreement or instrument, including any amendment or novation providing for any increase in the amount of a facility or any additional facility</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or replacement facility;</w:t>
            </w:r>
          </w:p>
        </w:tc>
      </w:tr>
      <w:tr>
        <w:trPr>
          <w:trHeight w:val="33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2.2.1.5</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the use of the word </w:t>
            </w:r>
            <w:r>
              <w:rPr>
                <w:rFonts w:ascii="Times New Roman" w:cs="Times New Roman" w:eastAsia="Times New Roman" w:hAnsi="Times New Roman"/>
                <w:sz w:val="14"/>
                <w:szCs w:val="14"/>
                <w:b w:val="1"/>
                <w:bCs w:val="1"/>
                <w:color w:val="auto"/>
              </w:rPr>
              <w:t>including</w:t>
            </w:r>
            <w:r>
              <w:rPr>
                <w:rFonts w:ascii="Times New Roman" w:cs="Times New Roman" w:eastAsia="Times New Roman" w:hAnsi="Times New Roman"/>
                <w:sz w:val="14"/>
                <w:szCs w:val="14"/>
                <w:color w:val="auto"/>
              </w:rPr>
              <w:t xml:space="preserve"> followed by specific examples will not be construed as limiting the meaning of the general wording preceding it, and the </w:t>
            </w:r>
            <w:r>
              <w:rPr>
                <w:rFonts w:ascii="Times New Roman" w:cs="Times New Roman" w:eastAsia="Times New Roman" w:hAnsi="Times New Roman"/>
                <w:sz w:val="14"/>
                <w:szCs w:val="14"/>
                <w:i w:val="1"/>
                <w:iCs w:val="1"/>
                <w:color w:val="auto"/>
              </w:rPr>
              <w:t>eiusdem generis</w:t>
            </w:r>
            <w:r>
              <w:rPr>
                <w:rFonts w:ascii="Times New Roman" w:cs="Times New Roman" w:eastAsia="Times New Roman" w:hAnsi="Times New Roman"/>
                <w:sz w:val="14"/>
                <w:szCs w:val="14"/>
                <w:color w:val="auto"/>
              </w:rPr>
              <w:t xml:space="preserve"> rule must</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 be applied in the interpretation of such general wording or such specific examples;</w:t>
            </w:r>
          </w:p>
        </w:tc>
      </w:tr>
      <w:tr>
        <w:trPr>
          <w:trHeight w:val="3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2.2.1.6</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indebtedness </w:t>
            </w:r>
            <w:r>
              <w:rPr>
                <w:rFonts w:ascii="Times New Roman" w:cs="Times New Roman" w:eastAsia="Times New Roman" w:hAnsi="Times New Roman"/>
                <w:sz w:val="14"/>
                <w:szCs w:val="14"/>
                <w:color w:val="auto"/>
              </w:rPr>
              <w:t>includes any obligation (whether incurred as principal or as surety) for the payment or repayment of money, whether present or future, actual or contingent;</w:t>
            </w:r>
          </w:p>
        </w:tc>
      </w:tr>
      <w:tr>
        <w:trPr>
          <w:trHeight w:val="33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2.2.1.7</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month </w:t>
            </w:r>
            <w:r>
              <w:rPr>
                <w:rFonts w:ascii="Times New Roman" w:cs="Times New Roman" w:eastAsia="Times New Roman" w:hAnsi="Times New Roman"/>
                <w:sz w:val="14"/>
                <w:szCs w:val="14"/>
                <w:color w:val="auto"/>
              </w:rPr>
              <w:t>means unless the context otherwise requires, a period starting on one day in a calendar month and ending on the numerically corresponding day in the next succeeding</w:t>
            </w:r>
          </w:p>
        </w:tc>
      </w:tr>
      <w:tr>
        <w:trPr>
          <w:trHeight w:val="172"/>
        </w:trPr>
        <w:tc>
          <w:tcPr>
            <w:tcW w:w="760" w:type="dxa"/>
            <w:vAlign w:val="bottom"/>
          </w:tcPr>
          <w:p>
            <w:pPr>
              <w:spacing w:after="0"/>
              <w:rPr>
                <w:sz w:val="14"/>
                <w:szCs w:val="14"/>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calendar month except that, where any such period would otherwise end on a day which is not a Business Day it shall end on the immediately preceding Business Day; provided</w:t>
            </w:r>
          </w:p>
        </w:tc>
      </w:tr>
      <w:tr>
        <w:trPr>
          <w:trHeight w:val="170"/>
        </w:trPr>
        <w:tc>
          <w:tcPr>
            <w:tcW w:w="760" w:type="dxa"/>
            <w:vAlign w:val="bottom"/>
          </w:tcPr>
          <w:p>
            <w:pPr>
              <w:spacing w:after="0"/>
              <w:rPr>
                <w:sz w:val="14"/>
                <w:szCs w:val="14"/>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that if a period starts on the last Business Day of a calendar month or if there is no numerically corresponding day in the month in which that period ends, that period shall end on</w:t>
            </w:r>
          </w:p>
        </w:tc>
      </w:tr>
      <w:tr>
        <w:trPr>
          <w:trHeight w:val="188"/>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the last Business Day in that later month (and references to </w:t>
            </w:r>
            <w:r>
              <w:rPr>
                <w:rFonts w:ascii="Times New Roman" w:cs="Times New Roman" w:eastAsia="Times New Roman" w:hAnsi="Times New Roman"/>
                <w:sz w:val="14"/>
                <w:szCs w:val="14"/>
                <w:b w:val="1"/>
                <w:bCs w:val="1"/>
                <w:color w:val="auto"/>
              </w:rPr>
              <w:t>months</w:t>
            </w:r>
            <w:r>
              <w:rPr>
                <w:rFonts w:ascii="Times New Roman" w:cs="Times New Roman" w:eastAsia="Times New Roman" w:hAnsi="Times New Roman"/>
                <w:sz w:val="14"/>
                <w:szCs w:val="14"/>
                <w:color w:val="auto"/>
              </w:rPr>
              <w:t xml:space="preserve"> shall be construed accordingly);</w:t>
            </w:r>
          </w:p>
        </w:tc>
      </w:tr>
      <w:tr>
        <w:trPr>
          <w:trHeight w:val="33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2.2.1.8</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xml:space="preserve"> includes any individual, firm, company, corporation, government, state or agency of a state or any association, trust, joint venture, consortium or partnership (whether or</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 having separate legal personality);</w:t>
            </w:r>
          </w:p>
        </w:tc>
      </w:tr>
      <w:tr>
        <w:trPr>
          <w:trHeight w:val="33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2.2.1.9</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regulation</w:t>
            </w:r>
            <w:r>
              <w:rPr>
                <w:rFonts w:ascii="Times New Roman" w:cs="Times New Roman" w:eastAsia="Times New Roman" w:hAnsi="Times New Roman"/>
                <w:sz w:val="14"/>
                <w:szCs w:val="14"/>
                <w:color w:val="auto"/>
              </w:rPr>
              <w:t xml:space="preserve"> includes any regulation, rule, official directive, request or guideline (whether or not having the force of law but, if not having the force of law, being of a type with</w:t>
            </w:r>
          </w:p>
        </w:tc>
      </w:tr>
      <w:tr>
        <w:trPr>
          <w:trHeight w:val="172"/>
        </w:trPr>
        <w:tc>
          <w:tcPr>
            <w:tcW w:w="760" w:type="dxa"/>
            <w:vAlign w:val="bottom"/>
          </w:tcPr>
          <w:p>
            <w:pPr>
              <w:spacing w:after="0"/>
              <w:rPr>
                <w:sz w:val="14"/>
                <w:szCs w:val="14"/>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which any person to which it applies is accustomed to comply) of any governmental, intergovernmental or supranational body, agency, department or of any regulatory, self-</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regulatory or other authority or organisation;</w:t>
            </w:r>
          </w:p>
        </w:tc>
      </w:tr>
      <w:tr>
        <w:trPr>
          <w:trHeight w:val="3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2.2.1.10</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 provision of law is a reference to that provision as amended or re-enacted; and</w:t>
            </w:r>
          </w:p>
        </w:tc>
      </w:tr>
      <w:tr>
        <w:trPr>
          <w:trHeight w:val="3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2.2.1.11</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 time of day is a reference to Johannesburg time.</w:t>
            </w:r>
          </w:p>
        </w:tc>
      </w:tr>
      <w:tr>
        <w:trPr>
          <w:trHeight w:val="539"/>
        </w:trPr>
        <w:tc>
          <w:tcPr>
            <w:tcW w:w="76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820"/>
              <w:spacing w:after="0"/>
              <w:rPr>
                <w:sz w:val="20"/>
                <w:szCs w:val="20"/>
                <w:color w:val="auto"/>
              </w:rPr>
            </w:pPr>
            <w:r>
              <w:rPr>
                <w:rFonts w:ascii="Times New Roman" w:cs="Times New Roman" w:eastAsia="Times New Roman" w:hAnsi="Times New Roman"/>
                <w:sz w:val="14"/>
                <w:szCs w:val="14"/>
                <w:color w:val="auto"/>
              </w:rPr>
              <w:t>14</w:t>
            </w:r>
          </w:p>
        </w:tc>
      </w:tr>
    </w:tbl>
    <w:p>
      <w:pPr>
        <w:sectPr>
          <w:pgSz w:w="11900" w:h="16838" w:orient="portrait"/>
          <w:cols w:equalWidth="0" w:num="1">
            <w:col w:w="11280"/>
          </w:cols>
          <w:pgMar w:left="300" w:top="316" w:right="31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clause and Annexure headings are for ease of reference only.</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2.2.3</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A Default (other than an Event of Default) is </w:t>
            </w:r>
            <w:r>
              <w:rPr>
                <w:rFonts w:ascii="Times New Roman" w:cs="Times New Roman" w:eastAsia="Times New Roman" w:hAnsi="Times New Roman"/>
                <w:sz w:val="14"/>
                <w:szCs w:val="14"/>
                <w:b w:val="1"/>
                <w:bCs w:val="1"/>
                <w:color w:val="auto"/>
              </w:rPr>
              <w:t>continuing</w:t>
            </w:r>
            <w:r>
              <w:rPr>
                <w:rFonts w:ascii="Times New Roman" w:cs="Times New Roman" w:eastAsia="Times New Roman" w:hAnsi="Times New Roman"/>
                <w:sz w:val="14"/>
                <w:szCs w:val="14"/>
                <w:color w:val="auto"/>
              </w:rPr>
              <w:t xml:space="preserve"> if it has not been waived or remedied and an Event of Default is </w:t>
            </w:r>
            <w:r>
              <w:rPr>
                <w:rFonts w:ascii="Times New Roman" w:cs="Times New Roman" w:eastAsia="Times New Roman" w:hAnsi="Times New Roman"/>
                <w:sz w:val="14"/>
                <w:szCs w:val="14"/>
                <w:b w:val="1"/>
                <w:bCs w:val="1"/>
                <w:color w:val="auto"/>
              </w:rPr>
              <w:t>continuing</w:t>
            </w:r>
            <w:r>
              <w:rPr>
                <w:rFonts w:ascii="Times New Roman" w:cs="Times New Roman" w:eastAsia="Times New Roman" w:hAnsi="Times New Roman"/>
                <w:sz w:val="14"/>
                <w:szCs w:val="14"/>
                <w:color w:val="auto"/>
              </w:rPr>
              <w:t xml:space="preserve"> if it has not been waived in each case, any</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waiver shall not take effect unless any conditions of such waiver have been fulfilled to the satisfaction of the Lender.</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2.2.4</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If any provision in a definition is a substantive provision conferring rights or imposing obligations on any Party, notwithstanding that it appears only in an interpretation clause, effect</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shall be given to it as if it were a substantive provision of the relevant Finance Document.</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2.2.5</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Unless inconsistent with the context, an expression which denotes the singular includes the plural and </w:t>
            </w:r>
            <w:r>
              <w:rPr>
                <w:rFonts w:ascii="Times New Roman" w:cs="Times New Roman" w:eastAsia="Times New Roman" w:hAnsi="Times New Roman"/>
                <w:sz w:val="14"/>
                <w:szCs w:val="14"/>
                <w:i w:val="1"/>
                <w:iCs w:val="1"/>
                <w:color w:val="auto"/>
              </w:rPr>
              <w:t>vice versa</w:t>
            </w:r>
            <w:r>
              <w:rPr>
                <w:rFonts w:ascii="Times New Roman" w:cs="Times New Roman" w:eastAsia="Times New Roman" w:hAnsi="Times New Roman"/>
                <w:sz w:val="14"/>
                <w:szCs w:val="14"/>
                <w:color w:val="auto"/>
              </w:rPr>
              <w:t>.</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2.2.6</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The Annexures form an integral part of this Agreement and a reference to a </w:t>
            </w:r>
            <w:r>
              <w:rPr>
                <w:rFonts w:ascii="Times New Roman" w:cs="Times New Roman" w:eastAsia="Times New Roman" w:hAnsi="Times New Roman"/>
                <w:sz w:val="14"/>
                <w:szCs w:val="14"/>
                <w:b w:val="1"/>
                <w:bCs w:val="1"/>
                <w:color w:val="auto"/>
              </w:rPr>
              <w:t>clause</w:t>
            </w:r>
            <w:r>
              <w:rPr>
                <w:rFonts w:ascii="Times New Roman" w:cs="Times New Roman" w:eastAsia="Times New Roman" w:hAnsi="Times New Roman"/>
                <w:sz w:val="14"/>
                <w:szCs w:val="14"/>
                <w:color w:val="auto"/>
              </w:rPr>
              <w:t xml:space="preserve"> or an </w:t>
            </w:r>
            <w:r>
              <w:rPr>
                <w:rFonts w:ascii="Times New Roman" w:cs="Times New Roman" w:eastAsia="Times New Roman" w:hAnsi="Times New Roman"/>
                <w:sz w:val="14"/>
                <w:szCs w:val="14"/>
                <w:b w:val="1"/>
                <w:bCs w:val="1"/>
                <w:color w:val="auto"/>
              </w:rPr>
              <w:t>Annexure</w:t>
            </w:r>
            <w:r>
              <w:rPr>
                <w:rFonts w:ascii="Times New Roman" w:cs="Times New Roman" w:eastAsia="Times New Roman" w:hAnsi="Times New Roman"/>
                <w:sz w:val="14"/>
                <w:szCs w:val="14"/>
                <w:color w:val="auto"/>
              </w:rPr>
              <w:t xml:space="preserve"> is a reference to a clause of, or an annexure to, this Agreement.</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2.2.7</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rule of construction that, in the event of ambiguity, a contract shall be interpreted against the party responsible for the drafting thereof, shall not apply in the interpretation of this</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Agreement.</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2.2.8</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expiry or termination of this Agreement shall not affect those provisions of this Agreement that expressly provide that they will operate after any such expiry or termination or</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which of necessity must continue to have effect after such expiry or termination, notwithstanding that the clauses themselves do not expressly provide for this.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2.2.9</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Finance Documents shall to the extent permitted by applicable law be binding on and enforceable by the administrators, trustees, permitted cessionaries or liquidators of the</w:t>
            </w:r>
          </w:p>
        </w:tc>
      </w:tr>
      <w:tr>
        <w:trPr>
          <w:trHeight w:val="172"/>
        </w:trPr>
        <w:tc>
          <w:tcPr>
            <w:tcW w:w="580" w:type="dxa"/>
            <w:vAlign w:val="bottom"/>
          </w:tcPr>
          <w:p>
            <w:pPr>
              <w:spacing w:after="0"/>
              <w:rPr>
                <w:sz w:val="14"/>
                <w:szCs w:val="14"/>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Parties as fully and effectually as if they had signed this Agreement in the first Instance and reference to any Party shall be deemed to include such Party’s administrators, trustees,</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permitted cessionaries or liquidators, as the case may be.</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2.2.10</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Unless a contrary indication appears, where any number of days is to be calculated from a particular day, such number shall be calculated as including that particular day and</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excluding the last day of such period.</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2.2.11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Except as expressly provided for in this Agreement or any other Finance Document, no provision of any Finance Document constitutes a stipulation for the benefit of any person who</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 not a Party to that Finance Document.</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2.2.12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Notwithstanding any term of any Finance Document, the consent of any person who is not a Party to that Finance Document is not required to rescind or vary any other Finance</w:t>
            </w:r>
          </w:p>
        </w:tc>
      </w:tr>
      <w:tr>
        <w:trPr>
          <w:trHeight w:val="172"/>
        </w:trPr>
        <w:tc>
          <w:tcPr>
            <w:tcW w:w="580" w:type="dxa"/>
            <w:vAlign w:val="bottom"/>
          </w:tcPr>
          <w:p>
            <w:pPr>
              <w:spacing w:after="0"/>
              <w:rPr>
                <w:sz w:val="14"/>
                <w:szCs w:val="14"/>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Document at any time except to the extent that the relevant variation or rescission (as the case may be) relates directly to the right conferred upon any applicable third party under a</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stipulation for the benefit of that party that has been accepted by that third party.</w:t>
            </w:r>
          </w:p>
        </w:tc>
      </w:tr>
      <w:tr>
        <w:trPr>
          <w:trHeight w:val="539"/>
        </w:trPr>
        <w:tc>
          <w:tcPr>
            <w:tcW w:w="580" w:type="dxa"/>
            <w:vAlign w:val="bottom"/>
            <w:tcBorders>
              <w:bottom w:val="single" w:sz="8" w:color="auto"/>
            </w:tcBorders>
          </w:tcPr>
          <w:p>
            <w:pPr>
              <w:spacing w:after="0"/>
              <w:rPr>
                <w:sz w:val="24"/>
                <w:szCs w:val="24"/>
                <w:color w:val="auto"/>
              </w:rPr>
            </w:pPr>
          </w:p>
        </w:tc>
        <w:tc>
          <w:tcPr>
            <w:tcW w:w="10700" w:type="dxa"/>
            <w:vAlign w:val="bottom"/>
            <w:tcBorders>
              <w:bottom w:val="single" w:sz="8" w:color="auto"/>
            </w:tcBorders>
          </w:tcPr>
          <w:p>
            <w:pPr>
              <w:ind w:left="5000"/>
              <w:spacing w:after="0"/>
              <w:rPr>
                <w:sz w:val="20"/>
                <w:szCs w:val="20"/>
                <w:color w:val="auto"/>
              </w:rPr>
            </w:pPr>
            <w:r>
              <w:rPr>
                <w:rFonts w:ascii="Times New Roman" w:cs="Times New Roman" w:eastAsia="Times New Roman" w:hAnsi="Times New Roman"/>
                <w:sz w:val="14"/>
                <w:szCs w:val="14"/>
                <w:color w:val="auto"/>
              </w:rPr>
              <w:t>15</w:t>
            </w:r>
          </w:p>
        </w:tc>
      </w:tr>
    </w:tbl>
    <w:p>
      <w:pPr>
        <w:sectPr>
          <w:pgSz w:w="11900" w:h="16838" w:orient="portrait"/>
          <w:cols w:equalWidth="0" w:num="1">
            <w:col w:w="11280"/>
          </w:cols>
          <w:pgMar w:left="300" w:top="318" w:right="319" w:bottom="1440" w:gutter="0" w:footer="0" w:header="0"/>
        </w:sectPr>
      </w:pPr>
    </w:p>
    <w:bookmarkStart w:id="179" w:name="page180"/>
    <w:bookmarkEnd w:id="179"/>
    <w:p>
      <w:pPr>
        <w:ind w:left="260" w:hanging="254"/>
        <w:spacing w:after="0"/>
        <w:tabs>
          <w:tab w:leader="none" w:pos="2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FACILITIES</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this Agreement, the Lender makes facilities available to the Borrower:</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Facility 1, being a ZAR term loan facility in an aggregate amount equal to the Facility 1 Commitment; and</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Facility 2, being a ZAR term loan facility in an aggregate amount equal to the Facility 2 Commitment.</w:t>
      </w:r>
    </w:p>
    <w:p>
      <w:pPr>
        <w:spacing w:after="0" w:line="181" w:lineRule="exact"/>
        <w:rPr>
          <w:sz w:val="20"/>
          <w:szCs w:val="20"/>
          <w:color w:val="auto"/>
        </w:rPr>
      </w:pPr>
    </w:p>
    <w:p>
      <w:pPr>
        <w:ind w:left="260" w:hanging="254"/>
        <w:spacing w:after="0"/>
        <w:tabs>
          <w:tab w:leader="none" w:pos="2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PURPOSE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Borrower shall apply all amounts borrowed by it as follows:</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4.1.1</w:t>
            </w:r>
          </w:p>
        </w:tc>
        <w:tc>
          <w:tcPr>
            <w:tcW w:w="6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 relation to Facility 1, towards financing the corporate general purposes;</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4.1.2</w:t>
            </w:r>
          </w:p>
        </w:tc>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 relation to Facility 2</w:t>
            </w: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Tranche 1, towards repayment of Facility 1 loan outstandings; and</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4.1.3</w:t>
            </w:r>
          </w:p>
        </w:tc>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 relation to Facility 2</w:t>
            </w: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Tranche 2, towards financing the corporate general purposes.</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Lender is not bound to monitor or verify the application of any amount borrowed pursuant to this Agreement.</w:t>
            </w:r>
          </w:p>
        </w:tc>
      </w:tr>
    </w:tbl>
    <w:p>
      <w:pPr>
        <w:spacing w:after="0" w:line="156" w:lineRule="exact"/>
        <w:rPr>
          <w:sz w:val="20"/>
          <w:szCs w:val="20"/>
          <w:color w:val="auto"/>
        </w:rPr>
      </w:pPr>
    </w:p>
    <w:p>
      <w:pPr>
        <w:ind w:left="260" w:hanging="254"/>
        <w:spacing w:after="0"/>
        <w:tabs>
          <w:tab w:leader="none" w:pos="2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CONDITIONS OF UTILISATION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Advance Conditions</w:t>
            </w:r>
          </w:p>
        </w:tc>
      </w:tr>
      <w:tr>
        <w:trPr>
          <w:trHeight w:val="344"/>
        </w:trPr>
        <w:tc>
          <w:tcPr>
            <w:tcW w:w="400" w:type="dxa"/>
            <w:vAlign w:val="bottom"/>
          </w:tcPr>
          <w:p>
            <w:pPr>
              <w:spacing w:after="0"/>
              <w:rPr>
                <w:sz w:val="24"/>
                <w:szCs w:val="24"/>
                <w:color w:val="auto"/>
              </w:rPr>
            </w:pP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Lender will only be obliged to make a Loan or issue a Bank Guarantee under a Facility if on the proposed Utilisation Date:</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5.1.1</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relevant Advance Conditions have been fulfilled to the satisfaction of the Lender or waived or deferred in accordance with clause 5.2 (</w:t>
            </w:r>
            <w:r>
              <w:rPr>
                <w:rFonts w:ascii="Times New Roman" w:cs="Times New Roman" w:eastAsia="Times New Roman" w:hAnsi="Times New Roman"/>
                <w:sz w:val="14"/>
                <w:szCs w:val="14"/>
                <w:i w:val="1"/>
                <w:iCs w:val="1"/>
                <w:color w:val="auto"/>
              </w:rPr>
              <w:t>Waiver or Deferral of Advance Conditions</w:t>
            </w:r>
            <w:r>
              <w:rPr>
                <w:rFonts w:ascii="Times New Roman" w:cs="Times New Roman" w:eastAsia="Times New Roman" w:hAnsi="Times New Roman"/>
                <w:sz w:val="14"/>
                <w:szCs w:val="14"/>
                <w:color w:val="auto"/>
              </w:rPr>
              <w:t>);</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5.1.2</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Default is continuing or would result from the proposed Loan; and</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5.1.3</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 of the representations and warranties to be made by the Borrower are true, accurate and complete in all material respects as of such date.</w:t>
            </w:r>
          </w:p>
        </w:tc>
      </w:tr>
      <w:tr>
        <w:trPr>
          <w:trHeight w:val="539"/>
        </w:trPr>
        <w:tc>
          <w:tcPr>
            <w:tcW w:w="400" w:type="dxa"/>
            <w:vAlign w:val="bottom"/>
            <w:tcBorders>
              <w:bottom w:val="single" w:sz="8" w:color="auto"/>
            </w:tcBorders>
          </w:tcPr>
          <w:p>
            <w:pPr>
              <w:spacing w:after="0"/>
              <w:rPr>
                <w:sz w:val="24"/>
                <w:szCs w:val="24"/>
                <w:color w:val="auto"/>
              </w:rPr>
            </w:pPr>
          </w:p>
        </w:tc>
        <w:tc>
          <w:tcPr>
            <w:tcW w:w="10880" w:type="dxa"/>
            <w:vAlign w:val="bottom"/>
            <w:tcBorders>
              <w:bottom w:val="single" w:sz="8" w:color="auto"/>
            </w:tcBorders>
          </w:tcPr>
          <w:p>
            <w:pPr>
              <w:ind w:left="5180"/>
              <w:spacing w:after="0"/>
              <w:rPr>
                <w:sz w:val="20"/>
                <w:szCs w:val="20"/>
                <w:color w:val="auto"/>
              </w:rPr>
            </w:pPr>
            <w:r>
              <w:rPr>
                <w:rFonts w:ascii="Times New Roman" w:cs="Times New Roman" w:eastAsia="Times New Roman" w:hAnsi="Times New Roman"/>
                <w:sz w:val="14"/>
                <w:szCs w:val="14"/>
                <w:color w:val="auto"/>
              </w:rPr>
              <w:t>16</w:t>
            </w:r>
          </w:p>
        </w:tc>
      </w:tr>
    </w:tbl>
    <w:p>
      <w:pPr>
        <w:sectPr>
          <w:pgSz w:w="11900" w:h="16838" w:orient="portrait"/>
          <w:cols w:equalWidth="0" w:num="1">
            <w:col w:w="11280"/>
          </w:cols>
          <w:pgMar w:left="300" w:top="295" w:right="31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Waiver or Deferral of Advance Conditions</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5.2.1</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Each of the conditions set out in Annexure A (</w:t>
            </w:r>
            <w:r>
              <w:rPr>
                <w:rFonts w:ascii="Times New Roman" w:cs="Times New Roman" w:eastAsia="Times New Roman" w:hAnsi="Times New Roman"/>
                <w:sz w:val="14"/>
                <w:szCs w:val="14"/>
                <w:i w:val="1"/>
                <w:iCs w:val="1"/>
                <w:color w:val="auto"/>
              </w:rPr>
              <w:t>Advance Conditions</w:t>
            </w:r>
            <w:r>
              <w:rPr>
                <w:rFonts w:ascii="Times New Roman" w:cs="Times New Roman" w:eastAsia="Times New Roman" w:hAnsi="Times New Roman"/>
                <w:sz w:val="14"/>
                <w:szCs w:val="14"/>
                <w:color w:val="auto"/>
              </w:rPr>
              <w:t>) are stipulated for the benefit of the Lender and accordingly any such condition may, at the request of the Borrower,</w:t>
            </w:r>
          </w:p>
        </w:tc>
      </w:tr>
      <w:tr>
        <w:trPr>
          <w:trHeight w:val="186"/>
        </w:trPr>
        <w:tc>
          <w:tcPr>
            <w:tcW w:w="400" w:type="dxa"/>
            <w:vAlign w:val="bottom"/>
          </w:tcPr>
          <w:p>
            <w:pPr>
              <w:spacing w:after="0"/>
              <w:rPr>
                <w:sz w:val="16"/>
                <w:szCs w:val="16"/>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 waived or deferred by the Lender by notice to the Borrower.</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5.2.2</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waiver or deferral by the Lender pursuant to clause 5.2.1 shall not prejudice the right of the Lender to require subsequent fulfilment of the relevant condition and, unless</w:t>
            </w:r>
          </w:p>
        </w:tc>
      </w:tr>
      <w:tr>
        <w:trPr>
          <w:trHeight w:val="172"/>
        </w:trPr>
        <w:tc>
          <w:tcPr>
            <w:tcW w:w="400" w:type="dxa"/>
            <w:vAlign w:val="bottom"/>
          </w:tcPr>
          <w:p>
            <w:pPr>
              <w:spacing w:after="0"/>
              <w:rPr>
                <w:sz w:val="14"/>
                <w:szCs w:val="14"/>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otherwise specified in any notice waiving or deferring fulfilment of such condition, such condition shall be fulfilled by the Borrower within 5 (five) Business Days after the date of</w:t>
            </w:r>
          </w:p>
        </w:tc>
      </w:tr>
      <w:tr>
        <w:trPr>
          <w:trHeight w:val="186"/>
        </w:trPr>
        <w:tc>
          <w:tcPr>
            <w:tcW w:w="400" w:type="dxa"/>
            <w:vAlign w:val="bottom"/>
          </w:tcPr>
          <w:p>
            <w:pPr>
              <w:spacing w:after="0"/>
              <w:rPr>
                <w:sz w:val="16"/>
                <w:szCs w:val="16"/>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delivery such notice to the Borrower.</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5.2.3</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If any monies are drawn down or advanced by the Lender to the Borrower in respect of a Facility in the mistaken belief that all the Advance Conditions have been fulfilled or waived</w:t>
            </w:r>
          </w:p>
        </w:tc>
      </w:tr>
      <w:tr>
        <w:trPr>
          <w:trHeight w:val="172"/>
        </w:trPr>
        <w:tc>
          <w:tcPr>
            <w:tcW w:w="400" w:type="dxa"/>
            <w:vAlign w:val="bottom"/>
          </w:tcPr>
          <w:p>
            <w:pPr>
              <w:spacing w:after="0"/>
              <w:rPr>
                <w:sz w:val="14"/>
                <w:szCs w:val="14"/>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 accordance with this Agreement and it is subsequently discovered that not all the conditions have been fulfilled or waived, then this Agreement shall be valid and enforceable in</w:t>
            </w:r>
          </w:p>
        </w:tc>
      </w:tr>
      <w:tr>
        <w:trPr>
          <w:trHeight w:val="172"/>
        </w:trPr>
        <w:tc>
          <w:tcPr>
            <w:tcW w:w="400" w:type="dxa"/>
            <w:vAlign w:val="bottom"/>
          </w:tcPr>
          <w:p>
            <w:pPr>
              <w:spacing w:after="0"/>
              <w:rPr>
                <w:sz w:val="14"/>
                <w:szCs w:val="14"/>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respect of the monies drawn down or advanced by the Lender under such mistaken belief and the Borrower shall be obliged to fulfil such conditions or deliver such documents</w:t>
            </w:r>
          </w:p>
        </w:tc>
      </w:tr>
      <w:tr>
        <w:trPr>
          <w:trHeight w:val="186"/>
        </w:trPr>
        <w:tc>
          <w:tcPr>
            <w:tcW w:w="400" w:type="dxa"/>
            <w:vAlign w:val="bottom"/>
          </w:tcPr>
          <w:p>
            <w:pPr>
              <w:spacing w:after="0"/>
              <w:rPr>
                <w:sz w:val="16"/>
                <w:szCs w:val="16"/>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required to fulfil such conditions to the Lender within 5 (five) Business Days of notice from the Lender to do so.</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5.3</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Termination</w:t>
            </w:r>
          </w:p>
        </w:tc>
      </w:tr>
      <w:tr>
        <w:trPr>
          <w:trHeight w:val="328"/>
        </w:trPr>
        <w:tc>
          <w:tcPr>
            <w:tcW w:w="400" w:type="dxa"/>
            <w:vAlign w:val="bottom"/>
          </w:tcPr>
          <w:p>
            <w:pPr>
              <w:spacing w:after="0"/>
              <w:rPr>
                <w:sz w:val="24"/>
                <w:szCs w:val="24"/>
                <w:color w:val="auto"/>
              </w:rPr>
            </w:pP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If First Utilisation Date has not occurred within 60 (sixty) days after the Signature Date, then the Lender shall be entitled to terminate this Agreement. Such termination shall be without</w:t>
            </w:r>
          </w:p>
        </w:tc>
      </w:tr>
      <w:tr>
        <w:trPr>
          <w:trHeight w:val="172"/>
        </w:trPr>
        <w:tc>
          <w:tcPr>
            <w:tcW w:w="400" w:type="dxa"/>
            <w:vAlign w:val="bottom"/>
          </w:tcPr>
          <w:p>
            <w:pPr>
              <w:spacing w:after="0"/>
              <w:rPr>
                <w:sz w:val="14"/>
                <w:szCs w:val="14"/>
                <w:color w:val="auto"/>
              </w:rPr>
            </w:pP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prejudice to obligations of the Borrower under clause 14 (</w:t>
            </w:r>
            <w:r>
              <w:rPr>
                <w:rFonts w:ascii="Times New Roman" w:cs="Times New Roman" w:eastAsia="Times New Roman" w:hAnsi="Times New Roman"/>
                <w:sz w:val="14"/>
                <w:szCs w:val="14"/>
                <w:i w:val="1"/>
                <w:iCs w:val="1"/>
                <w:color w:val="auto"/>
              </w:rPr>
              <w:t>Costs and Expenses</w:t>
            </w:r>
            <w:r>
              <w:rPr>
                <w:rFonts w:ascii="Times New Roman" w:cs="Times New Roman" w:eastAsia="Times New Roman" w:hAnsi="Times New Roman"/>
                <w:sz w:val="14"/>
                <w:szCs w:val="14"/>
                <w:color w:val="auto"/>
              </w:rPr>
              <w:t>) to pay any costs, fees, expenses or taxes then due and payable provided for therein and the provision of</w:t>
            </w:r>
          </w:p>
        </w:tc>
      </w:tr>
      <w:tr>
        <w:trPr>
          <w:trHeight w:val="188"/>
        </w:trPr>
        <w:tc>
          <w:tcPr>
            <w:tcW w:w="400" w:type="dxa"/>
            <w:vAlign w:val="bottom"/>
          </w:tcPr>
          <w:p>
            <w:pPr>
              <w:spacing w:after="0"/>
              <w:rPr>
                <w:sz w:val="16"/>
                <w:szCs w:val="16"/>
                <w:color w:val="auto"/>
              </w:rPr>
            </w:pP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clause 23 (</w:t>
            </w:r>
            <w:r>
              <w:rPr>
                <w:rFonts w:ascii="Times New Roman" w:cs="Times New Roman" w:eastAsia="Times New Roman" w:hAnsi="Times New Roman"/>
                <w:sz w:val="14"/>
                <w:szCs w:val="14"/>
                <w:i w:val="1"/>
                <w:iCs w:val="1"/>
                <w:color w:val="auto"/>
              </w:rPr>
              <w:t>Payment Mechanics</w:t>
            </w:r>
            <w:r>
              <w:rPr>
                <w:rFonts w:ascii="Times New Roman" w:cs="Times New Roman" w:eastAsia="Times New Roman" w:hAnsi="Times New Roman"/>
                <w:sz w:val="14"/>
                <w:szCs w:val="14"/>
                <w:color w:val="auto"/>
              </w:rPr>
              <w:t>) to clause 12.2 (</w:t>
            </w:r>
            <w:r>
              <w:rPr>
                <w:rFonts w:ascii="Times New Roman" w:cs="Times New Roman" w:eastAsia="Times New Roman" w:hAnsi="Times New Roman"/>
                <w:sz w:val="14"/>
                <w:szCs w:val="14"/>
                <w:i w:val="1"/>
                <w:iCs w:val="1"/>
                <w:color w:val="auto"/>
              </w:rPr>
              <w:t>Certificates</w:t>
            </w:r>
            <w:r>
              <w:rPr>
                <w:rFonts w:ascii="Times New Roman" w:cs="Times New Roman" w:eastAsia="Times New Roman" w:hAnsi="Times New Roman"/>
                <w:sz w:val="14"/>
                <w:szCs w:val="14"/>
                <w:color w:val="auto"/>
              </w:rPr>
              <w:t>) (inclusive), and clause 27 (</w:t>
            </w:r>
            <w:r>
              <w:rPr>
                <w:rFonts w:ascii="Times New Roman" w:cs="Times New Roman" w:eastAsia="Times New Roman" w:hAnsi="Times New Roman"/>
                <w:sz w:val="14"/>
                <w:szCs w:val="14"/>
                <w:i w:val="1"/>
                <w:iCs w:val="1"/>
                <w:color w:val="auto"/>
              </w:rPr>
              <w:t>Partial Invalidity</w:t>
            </w:r>
            <w:r>
              <w:rPr>
                <w:rFonts w:ascii="Times New Roman" w:cs="Times New Roman" w:eastAsia="Times New Roman" w:hAnsi="Times New Roman"/>
                <w:sz w:val="14"/>
                <w:szCs w:val="14"/>
                <w:color w:val="auto"/>
              </w:rPr>
              <w:t>) to clause 39 (</w:t>
            </w:r>
            <w:r>
              <w:rPr>
                <w:rFonts w:ascii="Times New Roman" w:cs="Times New Roman" w:eastAsia="Times New Roman" w:hAnsi="Times New Roman"/>
                <w:sz w:val="14"/>
                <w:szCs w:val="14"/>
                <w:i w:val="1"/>
                <w:iCs w:val="1"/>
                <w:color w:val="auto"/>
              </w:rPr>
              <w:t>Jurisdiction</w:t>
            </w:r>
            <w:r>
              <w:rPr>
                <w:rFonts w:ascii="Times New Roman" w:cs="Times New Roman" w:eastAsia="Times New Roman" w:hAnsi="Times New Roman"/>
                <w:sz w:val="14"/>
                <w:szCs w:val="14"/>
                <w:color w:val="auto"/>
              </w:rPr>
              <w:t>) (inclusive) shall remain in force for such purpose.</w:t>
            </w:r>
          </w:p>
        </w:tc>
      </w:tr>
    </w:tbl>
    <w:p>
      <w:pPr>
        <w:spacing w:after="0" w:line="156" w:lineRule="exact"/>
        <w:rPr>
          <w:sz w:val="20"/>
          <w:szCs w:val="20"/>
          <w:color w:val="auto"/>
        </w:rPr>
      </w:pPr>
    </w:p>
    <w:p>
      <w:pPr>
        <w:ind w:left="260" w:hanging="254"/>
        <w:spacing w:after="0"/>
        <w:tabs>
          <w:tab w:leader="none" w:pos="2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UTILISATION</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b w:val="1"/>
          <w:bCs w:val="1"/>
          <w:color w:val="auto"/>
        </w:rPr>
        <w:t>Delivery of a Utilisation Request</w:t>
      </w:r>
    </w:p>
    <w:p>
      <w:pPr>
        <w:spacing w:after="0" w:line="183" w:lineRule="exact"/>
        <w:rPr>
          <w:sz w:val="20"/>
          <w:szCs w:val="20"/>
          <w:color w:val="auto"/>
        </w:rPr>
      </w:pPr>
    </w:p>
    <w:p>
      <w:pPr>
        <w:jc w:val="both"/>
        <w:ind w:left="520"/>
        <w:spacing w:after="0" w:line="275" w:lineRule="auto"/>
        <w:rPr>
          <w:sz w:val="20"/>
          <w:szCs w:val="20"/>
          <w:color w:val="auto"/>
        </w:rPr>
      </w:pPr>
      <w:r>
        <w:rPr>
          <w:rFonts w:ascii="Times New Roman" w:cs="Times New Roman" w:eastAsia="Times New Roman" w:hAnsi="Times New Roman"/>
          <w:sz w:val="14"/>
          <w:szCs w:val="14"/>
          <w:color w:val="auto"/>
        </w:rPr>
        <w:t>Subject to the provisions of clause 5 (</w:t>
      </w:r>
      <w:r>
        <w:rPr>
          <w:rFonts w:ascii="Times New Roman" w:cs="Times New Roman" w:eastAsia="Times New Roman" w:hAnsi="Times New Roman"/>
          <w:sz w:val="14"/>
          <w:szCs w:val="14"/>
          <w:i w:val="1"/>
          <w:iCs w:val="1"/>
          <w:color w:val="auto"/>
        </w:rPr>
        <w:t>Conditions of Utilisation</w:t>
      </w:r>
      <w:r>
        <w:rPr>
          <w:rFonts w:ascii="Times New Roman" w:cs="Times New Roman" w:eastAsia="Times New Roman" w:hAnsi="Times New Roman"/>
          <w:sz w:val="14"/>
          <w:szCs w:val="14"/>
          <w:color w:val="auto"/>
        </w:rPr>
        <w:t>) above, the Borrower may, at any time following the Fulfilment Date of each Facility, utilise a Facility by delivery to the Lender of a duly completed Utilisation Request (which shall be irrevocable) not later than 11h00 (Johannesburg time) on a date which falls 2 (two) Business Days before the applicable Utilisation Date.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6.2</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Deemed Utilisation</w:t>
            </w:r>
          </w:p>
        </w:tc>
      </w:tr>
      <w:tr>
        <w:trPr>
          <w:trHeight w:val="344"/>
        </w:trPr>
        <w:tc>
          <w:tcPr>
            <w:tcW w:w="460" w:type="dxa"/>
            <w:vAlign w:val="bottom"/>
          </w:tcPr>
          <w:p>
            <w:pPr>
              <w:spacing w:after="0"/>
              <w:rPr>
                <w:sz w:val="24"/>
                <w:szCs w:val="24"/>
                <w:color w:val="auto"/>
              </w:rPr>
            </w:pP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the Facility 1 Repayment Date:</w:t>
            </w:r>
          </w:p>
        </w:tc>
      </w:tr>
      <w:tr>
        <w:trPr>
          <w:trHeight w:val="33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6.2.1</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 amount equal to the Facility 1 Commitment shall be applied by the Lender towards the settlement of the obligations of the Borrower in respect of Facility 1, it being recorded that</w:t>
            </w:r>
          </w:p>
        </w:tc>
      </w:tr>
      <w:tr>
        <w:trPr>
          <w:trHeight w:val="186"/>
        </w:trPr>
        <w:tc>
          <w:tcPr>
            <w:tcW w:w="460" w:type="dxa"/>
            <w:vAlign w:val="bottom"/>
          </w:tcPr>
          <w:p>
            <w:pPr>
              <w:spacing w:after="0"/>
              <w:rPr>
                <w:sz w:val="16"/>
                <w:szCs w:val="16"/>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aforementioned payment shall constitute a deemed Utilisation by the Borrower of the Facility 2 Tranche 1 under this Agreement; and</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6.2.2</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 accordance with Clause 6.2.1 above, the Borrower shall not be obliged to issue a Utilisation Request in respect of Facility 2 Tranche 1 to the Lender under this Agreement.</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6.3</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Completion of a Utilisation Request</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6.3.1</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Each Utilisation Request is irrevocable and will not be regarded as having been duly completed unless:</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6.3.1.1</w:t>
            </w:r>
          </w:p>
        </w:tc>
        <w:tc>
          <w:tcPr>
            <w:tcW w:w="10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proposed Utilisation Date is a Business Day within the applicable Availability Period; and</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6.3.1.2</w:t>
            </w:r>
          </w:p>
        </w:tc>
        <w:tc>
          <w:tcPr>
            <w:tcW w:w="10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currency and amount of the Utilisation complies with clause 6.4 (</w:t>
            </w:r>
            <w:r>
              <w:rPr>
                <w:rFonts w:ascii="Times New Roman" w:cs="Times New Roman" w:eastAsia="Times New Roman" w:hAnsi="Times New Roman"/>
                <w:sz w:val="14"/>
                <w:szCs w:val="14"/>
                <w:i w:val="1"/>
                <w:iCs w:val="1"/>
                <w:color w:val="auto"/>
              </w:rPr>
              <w:t>Currency and Amount</w:t>
            </w:r>
            <w:r>
              <w:rPr>
                <w:rFonts w:ascii="Times New Roman" w:cs="Times New Roman" w:eastAsia="Times New Roman" w:hAnsi="Times New Roman"/>
                <w:sz w:val="14"/>
                <w:szCs w:val="14"/>
                <w:color w:val="auto"/>
              </w:rPr>
              <w:t>) below.</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6.3.2</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Only one Loan may be requested in each Utilisation Request.</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6.4</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Limitation in Utilisation</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6.4.1</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Each Facility may only be utilised during the applicable Availability Period.</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6.4.2</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Only one Utilisation may be made in respect of Facility 1 and Facility 2 Tranche 2.</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6.5</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Currency and Amount</w:t>
            </w:r>
          </w:p>
        </w:tc>
      </w:tr>
      <w:tr>
        <w:trPr>
          <w:trHeight w:val="344"/>
        </w:trPr>
        <w:tc>
          <w:tcPr>
            <w:tcW w:w="460" w:type="dxa"/>
            <w:vAlign w:val="bottom"/>
          </w:tcPr>
          <w:p>
            <w:pPr>
              <w:spacing w:after="0"/>
              <w:rPr>
                <w:sz w:val="24"/>
                <w:szCs w:val="24"/>
                <w:color w:val="auto"/>
              </w:rPr>
            </w:pP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amount of the proposed Loan must not exceed the Available Commitment and the currency specified must be ZAR.</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6.6</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Cancellation of Commitment</w:t>
            </w:r>
          </w:p>
        </w:tc>
      </w:tr>
      <w:tr>
        <w:trPr>
          <w:trHeight w:val="344"/>
        </w:trPr>
        <w:tc>
          <w:tcPr>
            <w:tcW w:w="460" w:type="dxa"/>
            <w:vAlign w:val="bottom"/>
          </w:tcPr>
          <w:p>
            <w:pPr>
              <w:spacing w:after="0"/>
              <w:rPr>
                <w:sz w:val="24"/>
                <w:szCs w:val="24"/>
                <w:color w:val="auto"/>
              </w:rPr>
            </w:pP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Lender will not be obliged or required to advance a Loan or issue a Bank Guarantee at, or from, the end of that Availability Period.</w:t>
            </w:r>
          </w:p>
        </w:tc>
      </w:tr>
      <w:tr>
        <w:trPr>
          <w:trHeight w:val="518"/>
        </w:trPr>
        <w:tc>
          <w:tcPr>
            <w:tcW w:w="46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ind w:left="5120"/>
              <w:spacing w:after="0"/>
              <w:rPr>
                <w:sz w:val="20"/>
                <w:szCs w:val="20"/>
                <w:color w:val="auto"/>
              </w:rPr>
            </w:pPr>
            <w:r>
              <w:rPr>
                <w:rFonts w:ascii="Times New Roman" w:cs="Times New Roman" w:eastAsia="Times New Roman" w:hAnsi="Times New Roman"/>
                <w:sz w:val="14"/>
                <w:szCs w:val="14"/>
                <w:color w:val="auto"/>
              </w:rPr>
              <w:t>18</w:t>
            </w:r>
          </w:p>
        </w:tc>
      </w:tr>
    </w:tbl>
    <w:p>
      <w:pPr>
        <w:sectPr>
          <w:pgSz w:w="11900" w:h="16838" w:orient="portrait"/>
          <w:cols w:equalWidth="0" w:num="1">
            <w:col w:w="11280"/>
          </w:cols>
          <w:pgMar w:left="300" w:top="295" w:right="319" w:bottom="1440" w:gutter="0" w:footer="0" w:header="0"/>
        </w:sectPr>
      </w:pPr>
    </w:p>
    <w:bookmarkStart w:id="182" w:name="page183"/>
    <w:bookmarkEnd w:id="182"/>
    <w:p>
      <w:pPr>
        <w:spacing w:after="0"/>
        <w:tabs>
          <w:tab w:leader="none" w:pos="500" w:val="left"/>
        </w:tabs>
        <w:rPr>
          <w:sz w:val="20"/>
          <w:szCs w:val="20"/>
          <w:color w:val="auto"/>
        </w:rPr>
      </w:pPr>
      <w:r>
        <w:rPr>
          <w:rFonts w:ascii="Times New Roman" w:cs="Times New Roman" w:eastAsia="Times New Roman" w:hAnsi="Times New Roman"/>
          <w:sz w:val="14"/>
          <w:szCs w:val="14"/>
          <w:color w:val="auto"/>
        </w:rPr>
        <w:t>6.7</w:t>
      </w:r>
      <w:r>
        <w:rPr>
          <w:sz w:val="20"/>
          <w:szCs w:val="20"/>
          <w:color w:val="auto"/>
        </w:rPr>
        <w:tab/>
      </w:r>
      <w:r>
        <w:rPr>
          <w:rFonts w:ascii="Times New Roman" w:cs="Times New Roman" w:eastAsia="Times New Roman" w:hAnsi="Times New Roman"/>
          <w:sz w:val="14"/>
          <w:szCs w:val="14"/>
          <w:b w:val="1"/>
          <w:bCs w:val="1"/>
          <w:color w:val="auto"/>
        </w:rPr>
        <w:t>Bank Guarantees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Lender shall procure that any payment due under a Bank Guarantee will be paid in accordance with the terms of such Bank Guarantee and the amount paid under and in terms of</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Bank Guarantee shall constitute a Loan advanced under this Agreement, which Loan shall not be more than the Available Commitment;</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Bank Guarantee shall be issued on receipt by the Lender of:</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6.7.2.1</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 guarantee request and indemnity, in the Lender’s format, duly signed on behalf of the Borrower; and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6.7.2.2</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 of the guarantee fee (if applicable).</w:t>
            </w:r>
          </w:p>
        </w:tc>
      </w:tr>
      <w:tr>
        <w:trPr>
          <w:trHeight w:val="32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6.7.3</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Borrower irrevocably and unconditionally authorises the Lender to pay any claim made or purported to be made under a Bank Guarantee and which appears on the face of it to be</w:t>
            </w:r>
          </w:p>
        </w:tc>
      </w:tr>
      <w:tr>
        <w:trPr>
          <w:trHeight w:val="188"/>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in order (a </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6.7.4</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issuing of a Bank Guarantee shall reduce the Available Commitment by the amount of the Bank Guarantee. The payment by the Lender of any claims under a Bank Guarantee</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shall be deemed a Utilisation under a Facility and the terms and conditions of this Agreement shall accordingly apply to such Utilisation.</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6.7.5</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issuing of a Bank Guarantee by the Lender prior to the fulfilment of all or any of the Advance Conditions shall not constitute a waiver of any such conditions.</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6.7.6</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Borrower acknowledges that the Lender:</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6.7.6.1</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 not obliged to carry out an investigation or seek confirmation from any person before paying a claim; and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6.7.6.2</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deals in documents only and will not be concerned with the legality of a claim or any underlying transaction or any available set-off, counterclaim or other defence of any person.</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6.7.7</w:t>
            </w:r>
          </w:p>
        </w:tc>
        <w:tc>
          <w:tcPr>
            <w:tcW w:w="10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obligations of the Borrower under this clause 6.7 will not be affected by:</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6.7.7.1</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sufficiency, accuracy or genuineness of any claim or any other document; or</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6.7.7.2</w:t>
            </w:r>
          </w:p>
        </w:tc>
        <w:tc>
          <w:tcPr>
            <w:tcW w:w="10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incapacity of, or limitation on the power of, any person signing a claim or other document.</w:t>
            </w:r>
          </w:p>
        </w:tc>
      </w:tr>
      <w:tr>
        <w:trPr>
          <w:trHeight w:val="539"/>
        </w:trPr>
        <w:tc>
          <w:tcPr>
            <w:tcW w:w="580" w:type="dxa"/>
            <w:vAlign w:val="bottom"/>
            <w:tcBorders>
              <w:bottom w:val="single" w:sz="8" w:color="auto"/>
            </w:tcBorders>
          </w:tcPr>
          <w:p>
            <w:pPr>
              <w:spacing w:after="0"/>
              <w:rPr>
                <w:sz w:val="24"/>
                <w:szCs w:val="24"/>
                <w:color w:val="auto"/>
              </w:rPr>
            </w:pPr>
          </w:p>
        </w:tc>
        <w:tc>
          <w:tcPr>
            <w:tcW w:w="10700" w:type="dxa"/>
            <w:vAlign w:val="bottom"/>
            <w:tcBorders>
              <w:bottom w:val="single" w:sz="8" w:color="auto"/>
            </w:tcBorders>
          </w:tcPr>
          <w:p>
            <w:pPr>
              <w:ind w:left="5000"/>
              <w:spacing w:after="0"/>
              <w:rPr>
                <w:sz w:val="20"/>
                <w:szCs w:val="20"/>
                <w:color w:val="auto"/>
              </w:rPr>
            </w:pPr>
            <w:r>
              <w:rPr>
                <w:rFonts w:ascii="Times New Roman" w:cs="Times New Roman" w:eastAsia="Times New Roman" w:hAnsi="Times New Roman"/>
                <w:sz w:val="14"/>
                <w:szCs w:val="14"/>
                <w:color w:val="auto"/>
              </w:rPr>
              <w:t>19</w:t>
            </w:r>
          </w:p>
        </w:tc>
      </w:tr>
    </w:tbl>
    <w:p>
      <w:pPr>
        <w:sectPr>
          <w:pgSz w:w="11900" w:h="16838" w:orient="portrait"/>
          <w:cols w:equalWidth="0" w:num="1">
            <w:col w:w="11280"/>
          </w:cols>
          <w:pgMar w:left="300" w:top="295" w:right="319" w:bottom="1440" w:gutter="0" w:footer="0" w:header="0"/>
        </w:sectPr>
      </w:pPr>
    </w:p>
    <w:bookmarkStart w:id="183" w:name="page184"/>
    <w:bookmarkEnd w:id="183"/>
    <w:p>
      <w:pPr>
        <w:ind w:left="260" w:hanging="254"/>
        <w:spacing w:after="0"/>
        <w:tabs>
          <w:tab w:leader="none" w:pos="2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REPAYMENT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Borrower shall:</w:t>
            </w:r>
          </w:p>
        </w:tc>
        <w:tc>
          <w:tcPr>
            <w:tcW w:w="8080" w:type="dxa"/>
            <w:vAlign w:val="bottom"/>
          </w:tcPr>
          <w:p>
            <w:pPr>
              <w:spacing w:after="0"/>
              <w:rPr>
                <w:sz w:val="16"/>
                <w:szCs w:val="16"/>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7.1.1</w:t>
            </w:r>
          </w:p>
        </w:tc>
        <w:tc>
          <w:tcPr>
            <w:tcW w:w="99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 respect of Facility 1, repay the Loan Outstandings in monthly instalments of capital of R2,084,000 (two million eighty four thousand Rand) ,;</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7.1.2</w:t>
            </w:r>
          </w:p>
        </w:tc>
        <w:tc>
          <w:tcPr>
            <w:tcW w:w="1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 respect of the Facility 2</w:t>
            </w:r>
          </w:p>
        </w:tc>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Tranche 1, repay the Loan Outstandings in monthly instalments of capital of R2,084,000 (two million eighty four thousand Rand);</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7.1.3</w:t>
            </w:r>
          </w:p>
        </w:tc>
        <w:tc>
          <w:tcPr>
            <w:tcW w:w="1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 respect of the Facility 2</w:t>
            </w:r>
          </w:p>
        </w:tc>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Tranche 2, repay the Loan Outstandings in monthly instalments of capital R2,584,000 (two million five hundred eighty four thousand Rand);</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7.1.4</w:t>
            </w:r>
          </w:p>
        </w:tc>
        <w:tc>
          <w:tcPr>
            <w:tcW w:w="99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repay all and any Loan Outstandings subsequent to the repayments set out in:</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7.1.4.1</w:t>
            </w:r>
          </w:p>
        </w:tc>
        <w:tc>
          <w:tcPr>
            <w:tcW w:w="9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clause 7.1.1 above in full, in a single bullet payment on the Facility 1 Final Repayment Date; and</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7.1.4.2</w:t>
            </w:r>
          </w:p>
        </w:tc>
        <w:tc>
          <w:tcPr>
            <w:tcW w:w="9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clause 7.1.2 until 7.1.3 above in full, in a single bullet payment, on the Facility 2 Final Repayment Date.</w:t>
            </w:r>
          </w:p>
        </w:tc>
      </w:tr>
    </w:tbl>
    <w:p>
      <w:pPr>
        <w:spacing w:after="0" w:line="156" w:lineRule="exact"/>
        <w:rPr>
          <w:sz w:val="20"/>
          <w:szCs w:val="20"/>
          <w:color w:val="auto"/>
        </w:rPr>
      </w:pPr>
    </w:p>
    <w:p>
      <w:pPr>
        <w:ind w:left="260" w:hanging="254"/>
        <w:spacing w:after="0"/>
        <w:tabs>
          <w:tab w:leader="none" w:pos="2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PREPAYMENT AND CANCELLATION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Mandatory Prepayment - Illegality</w:t>
            </w:r>
          </w:p>
        </w:tc>
      </w:tr>
      <w:tr>
        <w:trPr>
          <w:trHeight w:val="344"/>
        </w:trPr>
        <w:tc>
          <w:tcPr>
            <w:tcW w:w="400" w:type="dxa"/>
            <w:vAlign w:val="bottom"/>
          </w:tcPr>
          <w:p>
            <w:pPr>
              <w:spacing w:after="0"/>
              <w:rPr>
                <w:sz w:val="24"/>
                <w:szCs w:val="24"/>
                <w:color w:val="auto"/>
              </w:rPr>
            </w:pP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If it becomes unlawful in any applicable jurisdiction for the Lender to perform any of its obligations as contemplated in the Finance Documents:</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8.1.1</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Lender shall promptly notify the Borrower upon becoming aware of that event;</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8.1.2</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upon the Lender notifying the Borrower of such event, the Available Commitment will be immediately cancelled and the Lender shall not thereafter be obliged to make any further</w:t>
            </w:r>
          </w:p>
        </w:tc>
      </w:tr>
      <w:tr>
        <w:trPr>
          <w:trHeight w:val="186"/>
        </w:trPr>
        <w:tc>
          <w:tcPr>
            <w:tcW w:w="400" w:type="dxa"/>
            <w:vAlign w:val="bottom"/>
          </w:tcPr>
          <w:p>
            <w:pPr>
              <w:spacing w:after="0"/>
              <w:rPr>
                <w:sz w:val="16"/>
                <w:szCs w:val="16"/>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Loans; and</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8.1.3</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Borrower shall repay the Loan Outstandings to the Lender on or before the date specified in the notice delivered by the Lender to the Borrower (being no earlier than the last day</w:t>
            </w:r>
          </w:p>
        </w:tc>
      </w:tr>
    </w:tbl>
    <w:p>
      <w:pPr>
        <w:ind w:left="780"/>
        <w:spacing w:after="0"/>
        <w:rPr>
          <w:sz w:val="20"/>
          <w:szCs w:val="20"/>
          <w:color w:val="auto"/>
        </w:rPr>
      </w:pPr>
      <w:r>
        <w:rPr>
          <w:rFonts w:ascii="Times New Roman" w:cs="Times New Roman" w:eastAsia="Times New Roman" w:hAnsi="Times New Roman"/>
          <w:sz w:val="14"/>
          <w:szCs w:val="14"/>
          <w:color w:val="auto"/>
        </w:rPr>
        <w:t>of any applicable grace period permitted by law), and provided that no notice of the aforesaid may require payment within a period of less than 30 (thirty) Business Days.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It being recorded that the Borrower shall not be liable to make payment of a Prepayment Penalty in the circumstances contemplated in this clause 8.1 (</w:t>
      </w:r>
      <w:r>
        <w:rPr>
          <w:rFonts w:ascii="Times New Roman" w:cs="Times New Roman" w:eastAsia="Times New Roman" w:hAnsi="Times New Roman"/>
          <w:sz w:val="14"/>
          <w:szCs w:val="14"/>
          <w:i w:val="1"/>
          <w:iCs w:val="1"/>
          <w:color w:val="auto"/>
        </w:rPr>
        <w:t>Illegality</w:t>
      </w:r>
      <w:r>
        <w:rPr>
          <w:rFonts w:ascii="Times New Roman" w:cs="Times New Roman" w:eastAsia="Times New Roman" w:hAnsi="Times New Roman"/>
          <w:sz w:val="14"/>
          <w:szCs w:val="14"/>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Voluntary Prepayment at the Option of the Borrower</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8.2.1</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If:</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8.2.1.1</w:t>
            </w:r>
          </w:p>
        </w:tc>
        <w:tc>
          <w:tcPr>
            <w:tcW w:w="10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any sum payable to the Lender by the Borrower is required to be increased under clause 11.1 (</w:t>
            </w:r>
            <w:r>
              <w:rPr>
                <w:rFonts w:ascii="Times New Roman" w:cs="Times New Roman" w:eastAsia="Times New Roman" w:hAnsi="Times New Roman"/>
                <w:sz w:val="14"/>
                <w:szCs w:val="14"/>
                <w:i w:val="1"/>
                <w:iCs w:val="1"/>
                <w:color w:val="auto"/>
              </w:rPr>
              <w:t>Tax gross-up</w:t>
            </w:r>
            <w:r>
              <w:rPr>
                <w:rFonts w:ascii="Times New Roman" w:cs="Times New Roman" w:eastAsia="Times New Roman" w:hAnsi="Times New Roman"/>
                <w:sz w:val="14"/>
                <w:szCs w:val="14"/>
                <w:color w:val="auto"/>
              </w:rPr>
              <w:t>); or</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8.2.1.2</w:t>
            </w:r>
          </w:p>
        </w:tc>
        <w:tc>
          <w:tcPr>
            <w:tcW w:w="10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Lender claims indemnification from the Borrower under clause 12.1 (</w:t>
            </w:r>
            <w:r>
              <w:rPr>
                <w:rFonts w:ascii="Times New Roman" w:cs="Times New Roman" w:eastAsia="Times New Roman" w:hAnsi="Times New Roman"/>
                <w:sz w:val="14"/>
                <w:szCs w:val="14"/>
                <w:i w:val="1"/>
                <w:iCs w:val="1"/>
                <w:color w:val="auto"/>
              </w:rPr>
              <w:t>Increased Costs</w:t>
            </w:r>
            <w:r>
              <w:rPr>
                <w:rFonts w:ascii="Times New Roman" w:cs="Times New Roman" w:eastAsia="Times New Roman" w:hAnsi="Times New Roman"/>
                <w:sz w:val="14"/>
                <w:szCs w:val="14"/>
                <w:color w:val="auto"/>
              </w:rPr>
              <w:t>);</w:t>
            </w:r>
          </w:p>
        </w:tc>
      </w:tr>
      <w:tr>
        <w:trPr>
          <w:trHeight w:val="328"/>
        </w:trPr>
        <w:tc>
          <w:tcPr>
            <w:tcW w:w="46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Borrower may, whilst the circumstance giving rise to the requirement for that increase or indemnification continues and provided no Default is then continuing, give the Lender</w:t>
            </w:r>
          </w:p>
        </w:tc>
      </w:tr>
      <w:tr>
        <w:trPr>
          <w:trHeight w:val="188"/>
        </w:trPr>
        <w:tc>
          <w:tcPr>
            <w:tcW w:w="460" w:type="dxa"/>
            <w:vAlign w:val="bottom"/>
          </w:tcPr>
          <w:p>
            <w:pPr>
              <w:spacing w:after="0"/>
              <w:rPr>
                <w:sz w:val="16"/>
                <w:szCs w:val="16"/>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notice (the </w:t>
            </w:r>
            <w:r>
              <w:rPr>
                <w:rFonts w:ascii="Times New Roman" w:cs="Times New Roman" w:eastAsia="Times New Roman" w:hAnsi="Times New Roman"/>
                <w:sz w:val="14"/>
                <w:szCs w:val="14"/>
                <w:b w:val="1"/>
                <w:bCs w:val="1"/>
                <w:color w:val="auto"/>
              </w:rPr>
              <w:t>Cancellation and Repayment Notice</w:t>
            </w:r>
            <w:r>
              <w:rPr>
                <w:rFonts w:ascii="Times New Roman" w:cs="Times New Roman" w:eastAsia="Times New Roman" w:hAnsi="Times New Roman"/>
                <w:sz w:val="14"/>
                <w:szCs w:val="14"/>
                <w:color w:val="auto"/>
              </w:rPr>
              <w:t>) of its intention to repay a Facility.</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8.2.2</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 receipt of the Cancellation and Repayment Notice, the Available Commitment shall cease to be available for Utilisation.</w:t>
            </w:r>
          </w:p>
        </w:tc>
      </w:tr>
      <w:tr>
        <w:trPr>
          <w:trHeight w:val="33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8.2.3</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If the Cancellation and Repayment Notice is delivered by the Borrower to the Lender, the Borrower shall, on or before the date (the </w:t>
            </w:r>
            <w:r>
              <w:rPr>
                <w:rFonts w:ascii="Times New Roman" w:cs="Times New Roman" w:eastAsia="Times New Roman" w:hAnsi="Times New Roman"/>
                <w:sz w:val="14"/>
                <w:szCs w:val="14"/>
                <w:b w:val="1"/>
                <w:bCs w:val="1"/>
                <w:color w:val="auto"/>
              </w:rPr>
              <w:t>Required Repayment Date</w:t>
            </w:r>
            <w:r>
              <w:rPr>
                <w:rFonts w:ascii="Times New Roman" w:cs="Times New Roman" w:eastAsia="Times New Roman" w:hAnsi="Times New Roman"/>
                <w:sz w:val="14"/>
                <w:szCs w:val="14"/>
                <w:color w:val="auto"/>
              </w:rPr>
              <w:t>) specified in the</w:t>
            </w:r>
          </w:p>
        </w:tc>
      </w:tr>
      <w:tr>
        <w:trPr>
          <w:trHeight w:val="172"/>
        </w:trPr>
        <w:tc>
          <w:tcPr>
            <w:tcW w:w="460" w:type="dxa"/>
            <w:vAlign w:val="bottom"/>
          </w:tcPr>
          <w:p>
            <w:pPr>
              <w:spacing w:after="0"/>
              <w:rPr>
                <w:sz w:val="14"/>
                <w:szCs w:val="1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notice delivered by the Borrower to the Lender (being no earlier than the 5th (fifth) Business Day after delivery of such notice), repay to the Lender an amount equal to the Loan</w:t>
            </w:r>
          </w:p>
        </w:tc>
      </w:tr>
      <w:tr>
        <w:trPr>
          <w:trHeight w:val="186"/>
        </w:trPr>
        <w:tc>
          <w:tcPr>
            <w:tcW w:w="460" w:type="dxa"/>
            <w:vAlign w:val="bottom"/>
          </w:tcPr>
          <w:p>
            <w:pPr>
              <w:spacing w:after="0"/>
              <w:rPr>
                <w:sz w:val="16"/>
                <w:szCs w:val="16"/>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Outstandings, together with interest thereon at the Default Interest Rate calculated from the Required Repayment Date to the date of actual payment.</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8.2.4</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It is recorded that the Prepayment Penalty shall not be payable by the Borrower where the prepayment occurs in the circumstances contemplated in this clause 8.2.</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8.3</w:t>
            </w: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Mandatory Prepayment - Change of Control and Sanctions</w:t>
            </w:r>
          </w:p>
        </w:tc>
      </w:tr>
      <w:tr>
        <w:trPr>
          <w:trHeight w:val="344"/>
        </w:trPr>
        <w:tc>
          <w:tcPr>
            <w:tcW w:w="460" w:type="dxa"/>
            <w:vAlign w:val="bottom"/>
          </w:tcPr>
          <w:p>
            <w:pPr>
              <w:spacing w:after="0"/>
              <w:rPr>
                <w:sz w:val="24"/>
                <w:szCs w:val="24"/>
                <w:color w:val="auto"/>
              </w:rPr>
            </w:pPr>
          </w:p>
        </w:tc>
        <w:tc>
          <w:tcPr>
            <w:tcW w:w="10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If:</w:t>
            </w:r>
          </w:p>
        </w:tc>
      </w:tr>
      <w:tr>
        <w:trPr>
          <w:trHeight w:val="33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8.3.1</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any member of the Group or a shareholder, which is the owner or beneficial holder of 50% (fifty percent) plus 1 (one) share, or more, of the securities in any member of the Group is</w:t>
            </w:r>
          </w:p>
        </w:tc>
      </w:tr>
      <w:tr>
        <w:trPr>
          <w:trHeight w:val="186"/>
        </w:trPr>
        <w:tc>
          <w:tcPr>
            <w:tcW w:w="460" w:type="dxa"/>
            <w:vAlign w:val="bottom"/>
          </w:tcPr>
          <w:p>
            <w:pPr>
              <w:spacing w:after="0"/>
              <w:rPr>
                <w:sz w:val="16"/>
                <w:szCs w:val="16"/>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 becomes a Sanctioned Entity;</w:t>
            </w:r>
          </w:p>
        </w:tc>
      </w:tr>
      <w:tr>
        <w:trPr>
          <w:trHeight w:val="33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8.3.2</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 any member of the Group or a shareholder which is the direct beneficial holder of 50% (fifty percent) plus 1 (one) share, or more, of the securities in any member of the Group</w:t>
            </w:r>
          </w:p>
        </w:tc>
      </w:tr>
      <w:tr>
        <w:trPr>
          <w:trHeight w:val="186"/>
        </w:trPr>
        <w:tc>
          <w:tcPr>
            <w:tcW w:w="460" w:type="dxa"/>
            <w:vAlign w:val="bottom"/>
          </w:tcPr>
          <w:p>
            <w:pPr>
              <w:spacing w:after="0"/>
              <w:rPr>
                <w:sz w:val="16"/>
                <w:szCs w:val="16"/>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participates in any manner in any Sanctioned Transaction; or</w:t>
            </w: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8.3.3</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 Obligor undergoes a Change of Control without the Lender’s prior written consent; or</w:t>
            </w:r>
          </w:p>
        </w:tc>
      </w:tr>
      <w:tr>
        <w:trPr>
          <w:trHeight w:val="33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8.3.4</w:t>
            </w: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any person becomes obliged to make a mandatory offer to gain control of the Borrower, the Borrower shall promptly notify the Lender upon becoming aware of that event, and if the</w:t>
            </w:r>
          </w:p>
        </w:tc>
      </w:tr>
      <w:tr>
        <w:trPr>
          <w:trHeight w:val="172"/>
        </w:trPr>
        <w:tc>
          <w:tcPr>
            <w:tcW w:w="460" w:type="dxa"/>
            <w:vAlign w:val="bottom"/>
          </w:tcPr>
          <w:p>
            <w:pPr>
              <w:spacing w:after="0"/>
              <w:rPr>
                <w:sz w:val="14"/>
                <w:szCs w:val="1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Lender so requires the Lender shall, on not less than 10 (ten) days’ notice to the Borrower, cancel the Available Commitment and declare the Loan Outstandings immediately due and</w:t>
            </w:r>
          </w:p>
        </w:tc>
      </w:tr>
      <w:tr>
        <w:trPr>
          <w:trHeight w:val="172"/>
        </w:trPr>
        <w:tc>
          <w:tcPr>
            <w:tcW w:w="460" w:type="dxa"/>
            <w:vAlign w:val="bottom"/>
          </w:tcPr>
          <w:p>
            <w:pPr>
              <w:spacing w:after="0"/>
              <w:rPr>
                <w:sz w:val="14"/>
                <w:szCs w:val="1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payable, whereupon the Available Commitment will be cancelled and the Loan Outstandings will become immediately due and payable. The Prepayment Penalty shall be payable by</w:t>
            </w:r>
          </w:p>
        </w:tc>
      </w:tr>
      <w:tr>
        <w:trPr>
          <w:trHeight w:val="186"/>
        </w:trPr>
        <w:tc>
          <w:tcPr>
            <w:tcW w:w="460" w:type="dxa"/>
            <w:vAlign w:val="bottom"/>
          </w:tcPr>
          <w:p>
            <w:pPr>
              <w:spacing w:after="0"/>
              <w:rPr>
                <w:sz w:val="16"/>
                <w:szCs w:val="16"/>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Borrower where the prepayment occurs in the circumstances contemplated in this clause 8.3.</w:t>
            </w:r>
          </w:p>
        </w:tc>
      </w:tr>
      <w:tr>
        <w:trPr>
          <w:trHeight w:val="539"/>
        </w:trPr>
        <w:tc>
          <w:tcPr>
            <w:tcW w:w="46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ind w:left="5120"/>
              <w:spacing w:after="0"/>
              <w:rPr>
                <w:sz w:val="20"/>
                <w:szCs w:val="20"/>
                <w:color w:val="auto"/>
              </w:rPr>
            </w:pPr>
            <w:r>
              <w:rPr>
                <w:rFonts w:ascii="Times New Roman" w:cs="Times New Roman" w:eastAsia="Times New Roman" w:hAnsi="Times New Roman"/>
                <w:sz w:val="14"/>
                <w:szCs w:val="14"/>
                <w:color w:val="auto"/>
              </w:rPr>
              <w:t>21</w:t>
            </w:r>
          </w:p>
        </w:tc>
      </w:tr>
    </w:tbl>
    <w:p>
      <w:pPr>
        <w:sectPr>
          <w:pgSz w:w="11900" w:h="16838" w:orient="portrait"/>
          <w:cols w:equalWidth="0" w:num="1">
            <w:col w:w="11280"/>
          </w:cols>
          <w:pgMar w:left="300" w:top="295" w:right="319" w:bottom="1440" w:gutter="0" w:footer="0" w:header="0"/>
        </w:sectPr>
      </w:pPr>
    </w:p>
    <w:bookmarkStart w:id="185" w:name="page186"/>
    <w:bookmarkEnd w:id="185"/>
    <w:p>
      <w:pPr>
        <w:spacing w:after="0"/>
        <w:tabs>
          <w:tab w:leader="none" w:pos="50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4"/>
          <w:szCs w:val="14"/>
          <w:b w:val="1"/>
          <w:bCs w:val="1"/>
          <w:color w:val="auto"/>
        </w:rPr>
        <w:t xml:space="preserve">Mandatory Prepayment </w:t>
      </w:r>
      <w:r>
        <w:rPr>
          <w:rFonts w:ascii="Arial" w:cs="Arial" w:eastAsia="Arial" w:hAnsi="Arial"/>
          <w:sz w:val="12"/>
          <w:szCs w:val="12"/>
          <w:b w:val="1"/>
          <w:bCs w:val="1"/>
          <w:color w:val="auto"/>
        </w:rPr>
        <w:t>-</w:t>
      </w:r>
      <w:r>
        <w:rPr>
          <w:rFonts w:ascii="Times New Roman" w:cs="Times New Roman" w:eastAsia="Times New Roman" w:hAnsi="Times New Roman"/>
          <w:sz w:val="14"/>
          <w:szCs w:val="14"/>
          <w:b w:val="1"/>
          <w:bCs w:val="1"/>
          <w:color w:val="auto"/>
        </w:rPr>
        <w:t xml:space="preserve"> Lease Agreements</w:t>
      </w:r>
    </w:p>
    <w:p>
      <w:pPr>
        <w:spacing w:after="0" w:line="185"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8.4.1</w:t>
      </w:r>
      <w:r>
        <w:rPr>
          <w:sz w:val="20"/>
          <w:szCs w:val="20"/>
          <w:color w:val="auto"/>
        </w:rPr>
        <w:tab/>
      </w:r>
      <w:r>
        <w:rPr>
          <w:rFonts w:ascii="Times New Roman" w:cs="Times New Roman" w:eastAsia="Times New Roman" w:hAnsi="Times New Roman"/>
          <w:sz w:val="14"/>
          <w:szCs w:val="14"/>
          <w:color w:val="auto"/>
        </w:rPr>
        <w:t>If any Lease Agreement is terminated prior to the expiry of such Lease Agreement, the Borrower shall promptly notify the Lender upon becoming aware of that event, and if the Lender so requires the Lender shall, on not less than 10 (ten) days’ notice to the Borrower, cancel the Available Commitment and declare the Loan Outstandings immediately due and payable, whereupon the Available Commitment will be cancelled and the Loan Outstandings will become immediately due and payable.</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8.4.2</w:t>
      </w:r>
      <w:r>
        <w:rPr>
          <w:sz w:val="20"/>
          <w:szCs w:val="20"/>
          <w:color w:val="auto"/>
        </w:rPr>
        <w:tab/>
      </w:r>
      <w:r>
        <w:rPr>
          <w:rFonts w:ascii="Times New Roman" w:cs="Times New Roman" w:eastAsia="Times New Roman" w:hAnsi="Times New Roman"/>
          <w:sz w:val="14"/>
          <w:szCs w:val="14"/>
          <w:color w:val="auto"/>
        </w:rPr>
        <w:t>The Prepayment Penalty shall be payable by the Borrower where the prepayment occurs in the circumstances contemplated in this Clause 8.4.</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8.5</w:t>
      </w:r>
      <w:r>
        <w:rPr>
          <w:sz w:val="20"/>
          <w:szCs w:val="20"/>
          <w:color w:val="auto"/>
        </w:rPr>
        <w:tab/>
      </w:r>
      <w:r>
        <w:rPr>
          <w:rFonts w:ascii="Times New Roman" w:cs="Times New Roman" w:eastAsia="Times New Roman" w:hAnsi="Times New Roman"/>
          <w:sz w:val="14"/>
          <w:szCs w:val="14"/>
          <w:b w:val="1"/>
          <w:bCs w:val="1"/>
          <w:color w:val="auto"/>
        </w:rPr>
        <w:t>Voluntary Prepayment of Loans</w:t>
      </w:r>
    </w:p>
    <w:p>
      <w:pPr>
        <w:spacing w:after="0" w:line="206"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may, if it gives the Lender not less than 5 (five) Business Days’ prior notice, prepay the whole or any part of the Loan (but if in part, being an amount that reduces the amount of the Loan by a minimum amount of ZAR1,000,000 (one million Rand) and integral multiple of R100,000 (one hundred thousand Rand)).</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8.6</w:t>
      </w:r>
      <w:r>
        <w:rPr>
          <w:sz w:val="20"/>
          <w:szCs w:val="20"/>
          <w:color w:val="auto"/>
        </w:rPr>
        <w:tab/>
      </w:r>
      <w:r>
        <w:rPr>
          <w:rFonts w:ascii="Times New Roman" w:cs="Times New Roman" w:eastAsia="Times New Roman" w:hAnsi="Times New Roman"/>
          <w:sz w:val="14"/>
          <w:szCs w:val="14"/>
          <w:b w:val="1"/>
          <w:bCs w:val="1"/>
          <w:color w:val="auto"/>
        </w:rPr>
        <w:t>Restrictions</w:t>
      </w:r>
    </w:p>
    <w:p>
      <w:pPr>
        <w:spacing w:after="0" w:line="183"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8.6.1</w:t>
      </w:r>
      <w:r>
        <w:rPr>
          <w:sz w:val="20"/>
          <w:szCs w:val="20"/>
          <w:color w:val="auto"/>
        </w:rPr>
        <w:tab/>
      </w:r>
      <w:r>
        <w:rPr>
          <w:rFonts w:ascii="Times New Roman" w:cs="Times New Roman" w:eastAsia="Times New Roman" w:hAnsi="Times New Roman"/>
          <w:sz w:val="14"/>
          <w:szCs w:val="14"/>
          <w:color w:val="auto"/>
        </w:rPr>
        <w:t>Any notice of cancellation or prepayment given under this clause 8 (</w:t>
      </w:r>
      <w:r>
        <w:rPr>
          <w:rFonts w:ascii="Times New Roman" w:cs="Times New Roman" w:eastAsia="Times New Roman" w:hAnsi="Times New Roman"/>
          <w:sz w:val="14"/>
          <w:szCs w:val="14"/>
          <w:i w:val="1"/>
          <w:iCs w:val="1"/>
          <w:color w:val="auto"/>
        </w:rPr>
        <w:t>Prepayment and Cancellation</w:t>
      </w:r>
      <w:r>
        <w:rPr>
          <w:rFonts w:ascii="Times New Roman" w:cs="Times New Roman" w:eastAsia="Times New Roman" w:hAnsi="Times New Roman"/>
          <w:sz w:val="14"/>
          <w:szCs w:val="14"/>
          <w:color w:val="auto"/>
        </w:rPr>
        <w:t>) shall be irrevocable and, unless a contrary indication appears in this Agreement, shall specify the date or dates upon which the relevant cancellation or prepayment is to be made and the amount of that cancellation or prepayment.</w:t>
      </w:r>
    </w:p>
    <w:p>
      <w:pPr>
        <w:spacing w:after="0" w:line="1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8.6.2</w:t>
      </w:r>
      <w:r>
        <w:rPr>
          <w:sz w:val="20"/>
          <w:szCs w:val="20"/>
          <w:color w:val="auto"/>
        </w:rPr>
        <w:tab/>
      </w:r>
      <w:r>
        <w:rPr>
          <w:rFonts w:ascii="Times New Roman" w:cs="Times New Roman" w:eastAsia="Times New Roman" w:hAnsi="Times New Roman"/>
          <w:sz w:val="14"/>
          <w:szCs w:val="14"/>
          <w:color w:val="auto"/>
        </w:rPr>
        <w:t>Any prepayment under this Agreement shall be made together with accrued interest on the amount prepaid plus the Prepayment Penalty.</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8.6.3</w:t>
      </w:r>
      <w:r>
        <w:rPr>
          <w:sz w:val="20"/>
          <w:szCs w:val="20"/>
          <w:color w:val="auto"/>
        </w:rPr>
        <w:tab/>
      </w:r>
      <w:r>
        <w:rPr>
          <w:rFonts w:ascii="Times New Roman" w:cs="Times New Roman" w:eastAsia="Times New Roman" w:hAnsi="Times New Roman"/>
          <w:sz w:val="14"/>
          <w:szCs w:val="14"/>
          <w:color w:val="auto"/>
        </w:rPr>
        <w:t>The Borrower shall not repay or prepay all or any part of the Loans or cancel all or any part of the Commitment except at the times and in the manner expressly provided for in this Agreement.</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8.6.4</w:t>
      </w:r>
      <w:r>
        <w:rPr>
          <w:sz w:val="20"/>
          <w:szCs w:val="20"/>
          <w:color w:val="auto"/>
        </w:rPr>
        <w:tab/>
      </w:r>
      <w:r>
        <w:rPr>
          <w:rFonts w:ascii="Times New Roman" w:cs="Times New Roman" w:eastAsia="Times New Roman" w:hAnsi="Times New Roman"/>
          <w:sz w:val="14"/>
          <w:szCs w:val="14"/>
          <w:color w:val="auto"/>
        </w:rPr>
        <w:t>No amount of the Commitment cancelled under this Agreement may be subsequently reinstated.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86" w:name="page187"/>
    <w:bookmarkEnd w:id="186"/>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8.6.5</w:t>
      </w:r>
      <w:r>
        <w:rPr>
          <w:sz w:val="20"/>
          <w:szCs w:val="20"/>
          <w:color w:val="auto"/>
        </w:rPr>
        <w:tab/>
      </w:r>
      <w:r>
        <w:rPr>
          <w:rFonts w:ascii="Times New Roman" w:cs="Times New Roman" w:eastAsia="Times New Roman" w:hAnsi="Times New Roman"/>
          <w:sz w:val="14"/>
          <w:szCs w:val="14"/>
          <w:color w:val="auto"/>
        </w:rPr>
        <w:t>If all or part of the Loan is repaid or prepaid and is not available for redrawing, an amount of the Commitment (equal to the amount of the Loan which is repaid or prepaid) will be deemed to be cancelled on the date of repayment or prepayment. Any cancellation under this clause 8.6.5 shall reduce the Commitment of the Lender accordingly.</w:t>
      </w:r>
    </w:p>
    <w:p>
      <w:pPr>
        <w:spacing w:after="0" w:line="122" w:lineRule="exact"/>
        <w:rPr>
          <w:sz w:val="20"/>
          <w:szCs w:val="20"/>
          <w:color w:val="auto"/>
        </w:rPr>
      </w:pPr>
    </w:p>
    <w:p>
      <w:pPr>
        <w:ind w:left="260" w:hanging="254"/>
        <w:spacing w:after="0"/>
        <w:tabs>
          <w:tab w:leader="none" w:pos="2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INTEREST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4"/>
          <w:szCs w:val="14"/>
          <w:b w:val="1"/>
          <w:bCs w:val="1"/>
          <w:color w:val="auto"/>
        </w:rPr>
        <w:t>Calculation of interest</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9.1.1</w:t>
      </w:r>
      <w:r>
        <w:rPr>
          <w:sz w:val="20"/>
          <w:szCs w:val="20"/>
          <w:color w:val="auto"/>
        </w:rPr>
        <w:tab/>
      </w:r>
      <w:r>
        <w:rPr>
          <w:rFonts w:ascii="Times New Roman" w:cs="Times New Roman" w:eastAsia="Times New Roman" w:hAnsi="Times New Roman"/>
          <w:sz w:val="14"/>
          <w:szCs w:val="14"/>
          <w:color w:val="auto"/>
        </w:rPr>
        <w:t>The rate of interest on each Loan for each interest Period is the percentage rate per annum which is the aggregate of the applicable Interest Rate.</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9.1.2</w:t>
      </w:r>
      <w:r>
        <w:rPr>
          <w:sz w:val="20"/>
          <w:szCs w:val="20"/>
          <w:color w:val="auto"/>
        </w:rPr>
        <w:tab/>
      </w:r>
      <w:r>
        <w:rPr>
          <w:rFonts w:ascii="Times New Roman" w:cs="Times New Roman" w:eastAsia="Times New Roman" w:hAnsi="Times New Roman"/>
          <w:sz w:val="14"/>
          <w:szCs w:val="14"/>
          <w:color w:val="auto"/>
        </w:rPr>
        <w:t>All interest that accrues in accordance with the provisions of this clause 9.1 shall be calculated daily on the outstanding amount of each relevant Loan on the basis of a 365 (three hundred and sixty five) day year and be compounded monthly or quarterly in arrears.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b w:val="1"/>
          <w:bCs w:val="1"/>
          <w:color w:val="auto"/>
        </w:rPr>
        <w:t>Payment of interest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subject to clause 9.3 (</w:t>
      </w:r>
      <w:r>
        <w:rPr>
          <w:rFonts w:ascii="Times New Roman" w:cs="Times New Roman" w:eastAsia="Times New Roman" w:hAnsi="Times New Roman"/>
          <w:sz w:val="14"/>
          <w:szCs w:val="14"/>
          <w:i w:val="1"/>
          <w:iCs w:val="1"/>
          <w:color w:val="auto"/>
        </w:rPr>
        <w:t>Capitalisation of Interest</w:t>
      </w:r>
      <w:r>
        <w:rPr>
          <w:rFonts w:ascii="Times New Roman" w:cs="Times New Roman" w:eastAsia="Times New Roman" w:hAnsi="Times New Roman"/>
          <w:sz w:val="14"/>
          <w:szCs w:val="14"/>
          <w:color w:val="auto"/>
        </w:rPr>
        <w:t>) and clause 9.4 (</w:t>
      </w:r>
      <w:r>
        <w:rPr>
          <w:rFonts w:ascii="Times New Roman" w:cs="Times New Roman" w:eastAsia="Times New Roman" w:hAnsi="Times New Roman"/>
          <w:sz w:val="14"/>
          <w:szCs w:val="14"/>
          <w:i w:val="1"/>
          <w:iCs w:val="1"/>
          <w:color w:val="auto"/>
        </w:rPr>
        <w:t>Default interest</w:t>
      </w:r>
      <w:r>
        <w:rPr>
          <w:rFonts w:ascii="Times New Roman" w:cs="Times New Roman" w:eastAsia="Times New Roman" w:hAnsi="Times New Roman"/>
          <w:sz w:val="14"/>
          <w:szCs w:val="14"/>
          <w:color w:val="auto"/>
        </w:rPr>
        <w:t>), pay accrued interest on each Loan on each Interest Payment Date.</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b w:val="1"/>
          <w:bCs w:val="1"/>
          <w:color w:val="auto"/>
        </w:rPr>
        <w:t>Capitalisation of interest</w:t>
      </w:r>
    </w:p>
    <w:p>
      <w:pPr>
        <w:spacing w:after="0" w:line="18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4"/>
          <w:szCs w:val="14"/>
          <w:color w:val="auto"/>
        </w:rPr>
        <w:t>The Lender shall be entitled to capitalise any interest which is payable in terms of the provisions of this clause 9 and which remains unpaid at the end of each Interest Period and charge interest on such capitalised amount(s), without prejudice to the Lender’s entitlement to enforce its rights to receive payment of interest on the basis set out in this clause 9 and/or claim any unpaid interest.</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b w:val="1"/>
          <w:bCs w:val="1"/>
          <w:color w:val="auto"/>
        </w:rPr>
        <w:t>Default interest</w:t>
      </w:r>
    </w:p>
    <w:p>
      <w:pPr>
        <w:spacing w:after="0" w:line="185"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9.4.1</w:t>
      </w:r>
      <w:r>
        <w:rPr>
          <w:sz w:val="20"/>
          <w:szCs w:val="20"/>
          <w:color w:val="auto"/>
        </w:rPr>
        <w:tab/>
      </w:r>
      <w:r>
        <w:rPr>
          <w:rFonts w:ascii="Times New Roman" w:cs="Times New Roman" w:eastAsia="Times New Roman" w:hAnsi="Times New Roman"/>
          <w:sz w:val="14"/>
          <w:szCs w:val="14"/>
          <w:color w:val="auto"/>
        </w:rPr>
        <w:t>If an Event of Default is continuing and following notification from the Lender to the Borrower, interest will accrue on the Loans and all amounts due and payable under the Finance Documents at the Default Interest Rate from the date of the Event of Default until the Event of Default is waived or remedied to the satisfaction of the Lender.</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9.4.2</w:t>
      </w:r>
      <w:r>
        <w:rPr>
          <w:sz w:val="20"/>
          <w:szCs w:val="20"/>
          <w:color w:val="auto"/>
        </w:rPr>
        <w:tab/>
      </w:r>
      <w:r>
        <w:rPr>
          <w:rFonts w:ascii="Times New Roman" w:cs="Times New Roman" w:eastAsia="Times New Roman" w:hAnsi="Times New Roman"/>
          <w:sz w:val="14"/>
          <w:szCs w:val="14"/>
          <w:color w:val="auto"/>
        </w:rPr>
        <w:t>Any interest accruing under this clause 9.4 shall be immediately payable by the Borrower on demand by the Lender.</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9.4.3</w:t>
      </w:r>
      <w:r>
        <w:rPr>
          <w:sz w:val="20"/>
          <w:szCs w:val="20"/>
          <w:color w:val="auto"/>
        </w:rPr>
        <w:tab/>
      </w:r>
      <w:r>
        <w:rPr>
          <w:rFonts w:ascii="Times New Roman" w:cs="Times New Roman" w:eastAsia="Times New Roman" w:hAnsi="Times New Roman"/>
          <w:sz w:val="14"/>
          <w:szCs w:val="14"/>
          <w:color w:val="auto"/>
        </w:rPr>
        <w:t>Default interest (if unpaid) arising on any Unpaid Sum will be compounded with that Unpaid Sum at the end of each Interest Period applicable to that Unpaid Sum but will remain immediately due and payable.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87" w:name="page188"/>
    <w:bookmarkEnd w:id="187"/>
    <w:p>
      <w:pPr>
        <w:spacing w:after="0"/>
        <w:tabs>
          <w:tab w:leader="none" w:pos="500"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b w:val="1"/>
          <w:bCs w:val="1"/>
          <w:color w:val="auto"/>
        </w:rPr>
        <w:t>Notification of rates of Interest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Lender shall notify the Borrower of the determination of a rate of Interest under this Agreement.</w:t>
      </w:r>
    </w:p>
    <w:p>
      <w:pPr>
        <w:spacing w:after="0" w:line="181" w:lineRule="exact"/>
        <w:rPr>
          <w:sz w:val="20"/>
          <w:szCs w:val="20"/>
          <w:color w:val="auto"/>
        </w:rPr>
      </w:pPr>
    </w:p>
    <w:p>
      <w:pPr>
        <w:ind w:left="260" w:hanging="254"/>
        <w:spacing w:after="0"/>
        <w:tabs>
          <w:tab w:leader="none" w:pos="2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INTEREST PERIODS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b w:val="1"/>
          <w:bCs w:val="1"/>
          <w:color w:val="auto"/>
        </w:rPr>
        <w:t>Interest Periods</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color w:val="auto"/>
        </w:rPr>
        <w:t>The Interest Period for each Loan advanced under each Facility shall be 1 (one) month.</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4"/>
          <w:szCs w:val="14"/>
          <w:color w:val="auto"/>
        </w:rPr>
        <w:t>The Interest Period for an Unpaid Sum shall be 1 (one) month</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10.1.3</w:t>
      </w:r>
      <w:r>
        <w:rPr>
          <w:sz w:val="20"/>
          <w:szCs w:val="20"/>
          <w:color w:val="auto"/>
        </w:rPr>
        <w:tab/>
      </w:r>
      <w:r>
        <w:rPr>
          <w:rFonts w:ascii="Times New Roman" w:cs="Times New Roman" w:eastAsia="Times New Roman" w:hAnsi="Times New Roman"/>
          <w:sz w:val="14"/>
          <w:szCs w:val="14"/>
          <w:color w:val="auto"/>
        </w:rPr>
        <w:t>The Interest Period for a Loan shall not extend beyond the Facility 2 Final Repayment Date, and the final Interest Period in respect of a Facility shall accordingly end on the Facility 2 Final Repayment Date.</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10.1.4</w:t>
      </w:r>
      <w:r>
        <w:rPr>
          <w:sz w:val="20"/>
          <w:szCs w:val="20"/>
          <w:color w:val="auto"/>
        </w:rPr>
        <w:tab/>
      </w:r>
      <w:r>
        <w:rPr>
          <w:rFonts w:ascii="Times New Roman" w:cs="Times New Roman" w:eastAsia="Times New Roman" w:hAnsi="Times New Roman"/>
          <w:sz w:val="14"/>
          <w:szCs w:val="14"/>
          <w:color w:val="auto"/>
        </w:rPr>
        <w:t>Each Interest Period for a Loan shall start on the Utilisation Date of that Loan or (if already made) on the day following the last day of its preceding Interest Period.</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10.1.5</w:t>
      </w:r>
      <w:r>
        <w:rPr>
          <w:sz w:val="20"/>
          <w:szCs w:val="20"/>
          <w:color w:val="auto"/>
        </w:rPr>
        <w:tab/>
      </w:r>
      <w:r>
        <w:rPr>
          <w:rFonts w:ascii="Times New Roman" w:cs="Times New Roman" w:eastAsia="Times New Roman" w:hAnsi="Times New Roman"/>
          <w:sz w:val="14"/>
          <w:szCs w:val="14"/>
          <w:color w:val="auto"/>
        </w:rPr>
        <w:t>If 2 (two) or more Interest Periods relating to Loans end on the same date, the amounts to which those Interest Period relate shall be consolidated into, and treated as, a single Loan on the last day of the Interest Period.</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b w:val="1"/>
          <w:bCs w:val="1"/>
          <w:color w:val="auto"/>
        </w:rPr>
        <w:t>Non-Business Days</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22" w:lineRule="exact"/>
        <w:rPr>
          <w:sz w:val="20"/>
          <w:szCs w:val="20"/>
          <w:color w:val="auto"/>
        </w:rPr>
      </w:pPr>
    </w:p>
    <w:p>
      <w:pPr>
        <w:ind w:left="260" w:hanging="254"/>
        <w:spacing w:after="0"/>
        <w:tabs>
          <w:tab w:leader="none" w:pos="2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TAX GROSS UP AND INDEMNITIES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3"/>
          <w:szCs w:val="13"/>
          <w:b w:val="1"/>
          <w:bCs w:val="1"/>
          <w:color w:val="auto"/>
        </w:rPr>
        <w:t>Tax gross-up</w:t>
      </w:r>
    </w:p>
    <w:p>
      <w:pPr>
        <w:spacing w:after="0" w:line="185" w:lineRule="exact"/>
        <w:rPr>
          <w:sz w:val="20"/>
          <w:szCs w:val="20"/>
          <w:color w:val="auto"/>
        </w:rPr>
      </w:pPr>
    </w:p>
    <w:p>
      <w:pPr>
        <w:jc w:val="both"/>
        <w:ind w:left="520"/>
        <w:spacing w:after="0" w:line="265" w:lineRule="auto"/>
        <w:rPr>
          <w:sz w:val="20"/>
          <w:szCs w:val="20"/>
          <w:color w:val="auto"/>
        </w:rPr>
      </w:pPr>
      <w:r>
        <w:rPr>
          <w:rFonts w:ascii="Times New Roman" w:cs="Times New Roman" w:eastAsia="Times New Roman" w:hAnsi="Times New Roman"/>
          <w:sz w:val="14"/>
          <w:szCs w:val="14"/>
          <w:color w:val="auto"/>
        </w:rPr>
        <w:t>All payments to be made by the Borrower to the Lender under the Finance Documents shall be made free and clear of and without deduction for or on account of tax unless the Borrower is required by law to make such a payment subject to the deduction or withholding of tax, in which case the sum payable by the Borrower in respect of which such deduction or withholdings the Lender is required to be made shall be increased to the extent necessary to ensure that, after the making of the required deduction or withholding, that Lender receives and retains (free from any liability in respect of any such deduction or withholding) a net sum equal to the sum which it would have received and so retained had no such deduction or withholding been made or required to be made.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88" w:name="page189"/>
    <w:bookmarkEnd w:id="188"/>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b w:val="1"/>
          <w:bCs w:val="1"/>
          <w:color w:val="auto"/>
        </w:rPr>
        <w:t>Registration costs and other similar taxes payable</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shall (within 5 (five) Business Days of demand) indemnify the Lender against, and shall pay to the Lender, any cost, loss or liability that the Lender incurs in relation to all registration and other similar taxes payable in respect of any transaction contemplated in the Finance Documents.</w:t>
      </w:r>
    </w:p>
    <w:p>
      <w:pPr>
        <w:spacing w:after="0" w:line="12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b w:val="1"/>
          <w:bCs w:val="1"/>
          <w:color w:val="auto"/>
        </w:rPr>
        <w:t>Value added tax</w:t>
      </w:r>
    </w:p>
    <w:p>
      <w:pPr>
        <w:spacing w:after="0" w:line="185" w:lineRule="exact"/>
        <w:rPr>
          <w:sz w:val="20"/>
          <w:szCs w:val="20"/>
          <w:color w:val="auto"/>
        </w:rPr>
      </w:pPr>
    </w:p>
    <w:p>
      <w:pPr>
        <w:jc w:val="both"/>
        <w:ind w:left="780" w:hanging="772"/>
        <w:spacing w:after="0" w:line="268" w:lineRule="auto"/>
        <w:tabs>
          <w:tab w:leader="none" w:pos="760" w:val="left"/>
        </w:tabs>
        <w:rPr>
          <w:sz w:val="20"/>
          <w:szCs w:val="20"/>
          <w:color w:val="auto"/>
        </w:rPr>
      </w:pPr>
      <w:r>
        <w:rPr>
          <w:rFonts w:ascii="Times New Roman" w:cs="Times New Roman" w:eastAsia="Times New Roman" w:hAnsi="Times New Roman"/>
          <w:sz w:val="14"/>
          <w:szCs w:val="14"/>
          <w:color w:val="auto"/>
        </w:rPr>
        <w:t>11.3.1</w:t>
      </w:r>
      <w:r>
        <w:rPr>
          <w:sz w:val="20"/>
          <w:szCs w:val="20"/>
          <w:color w:val="auto"/>
        </w:rPr>
        <w:tab/>
      </w:r>
      <w:r>
        <w:rPr>
          <w:rFonts w:ascii="Times New Roman" w:cs="Times New Roman" w:eastAsia="Times New Roman" w:hAnsi="Times New Roman"/>
          <w:sz w:val="14"/>
          <w:szCs w:val="14"/>
          <w:color w:val="auto"/>
        </w:rPr>
        <w:t>All amounts set out or expressed to be payable under a Finance Document by the Borrower to the Lender which (in whole or in part) constitute the consideration for a supply or supplies for VAT purposes shall be deemed to be exclusive of any VAT which is chargeable on such supply or supplies, and accordingly, if VAT is or becomes chargeable on any supply made by the Lender to the Borrower under a Finance Document, the Borrower shall pay to the Lender (in addition to and at the same time as paying any other consideration for such supply) an amount equal to the amount of such VAT (and the Lender shall promptly provide an appropriate VAT invoice to such Party).</w:t>
      </w:r>
    </w:p>
    <w:p>
      <w:pPr>
        <w:spacing w:after="0" w:line="140"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11.3.2</w:t>
      </w:r>
      <w:r>
        <w:rPr>
          <w:sz w:val="20"/>
          <w:szCs w:val="20"/>
          <w:color w:val="auto"/>
        </w:rPr>
        <w:tab/>
      </w:r>
      <w:r>
        <w:rPr>
          <w:rFonts w:ascii="Times New Roman" w:cs="Times New Roman" w:eastAsia="Times New Roman" w:hAnsi="Times New Roman"/>
          <w:sz w:val="14"/>
          <w:szCs w:val="14"/>
          <w:color w:val="auto"/>
        </w:rPr>
        <w:t>Where this Agreement requires the Borrower to reimburse or indemnify the Lender for any costs or expenses, the Borrower shall reimburse or indemnify (as the case may be) the Lender for the full amount of such cost or expense, including such part thereof as represents VAT, save to the extent that the Lender reasonably determines that it is entitled to credit or repayment in respect of such VAT from the relevant tax authority.</w:t>
      </w:r>
    </w:p>
    <w:p>
      <w:pPr>
        <w:spacing w:after="0" w:line="134" w:lineRule="exact"/>
        <w:rPr>
          <w:sz w:val="20"/>
          <w:szCs w:val="20"/>
          <w:color w:val="auto"/>
        </w:rPr>
      </w:pPr>
    </w:p>
    <w:p>
      <w:pPr>
        <w:ind w:left="260" w:hanging="254"/>
        <w:spacing w:after="0"/>
        <w:tabs>
          <w:tab w:leader="none" w:pos="2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INCREASED COSTS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b w:val="1"/>
          <w:bCs w:val="1"/>
          <w:color w:val="auto"/>
        </w:rPr>
        <w:t>Increased costs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Subject to clause 12.2 (</w:t>
            </w:r>
            <w:r>
              <w:rPr>
                <w:rFonts w:ascii="Times New Roman" w:cs="Times New Roman" w:eastAsia="Times New Roman" w:hAnsi="Times New Roman"/>
                <w:sz w:val="14"/>
                <w:szCs w:val="14"/>
                <w:i w:val="1"/>
                <w:iCs w:val="1"/>
                <w:color w:val="auto"/>
              </w:rPr>
              <w:t>Exceptions</w:t>
            </w:r>
            <w:r>
              <w:rPr>
                <w:rFonts w:ascii="Times New Roman" w:cs="Times New Roman" w:eastAsia="Times New Roman" w:hAnsi="Times New Roman"/>
                <w:sz w:val="14"/>
                <w:szCs w:val="14"/>
                <w:color w:val="auto"/>
              </w:rPr>
              <w:t>) the Borrower shall, within 5 (five) Business Days of a demand by the Lender, pay the Lender the amount of any Increased Costs incurred by the</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Lender or any of its Affiliates as a result of:</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introduction of or any change in (or in the interpretation, administration or application of) any law or regulation;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compliance with any law or regulation made after the Signature Date;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compliance with any Basel Directive (including any national regulation which implements a Basel Directive); or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introduction of any directive, requirement, request or guideline, (whether or not having force of law) with which Banks in South Africa generally comply or change in the</w:t>
            </w:r>
          </w:p>
        </w:tc>
      </w:tr>
      <w:tr>
        <w:trPr>
          <w:trHeight w:val="172"/>
        </w:trPr>
        <w:tc>
          <w:tcPr>
            <w:tcW w:w="620" w:type="dxa"/>
            <w:vAlign w:val="bottom"/>
          </w:tcPr>
          <w:p>
            <w:pPr>
              <w:spacing w:after="0"/>
              <w:rPr>
                <w:sz w:val="14"/>
                <w:szCs w:val="14"/>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interpretation of any directive, requirement, request or guidance now existing of the South African Reserve Bank or any other fiscal, monetary, regulatory or other authority in</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South Africa, in each case, which is generally complied with by banks in South Africa.</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25</w:t>
            </w:r>
          </w:p>
        </w:tc>
      </w:tr>
    </w:tbl>
    <w:p>
      <w:pPr>
        <w:sectPr>
          <w:pgSz w:w="11900" w:h="16838" w:orient="portrait"/>
          <w:cols w:equalWidth="0" w:num="1">
            <w:col w:w="11280"/>
          </w:cols>
          <w:pgMar w:left="300" w:top="295" w:right="31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In this Agreement </w:t>
            </w:r>
            <w:r>
              <w:rPr>
                <w:rFonts w:ascii="Times New Roman" w:cs="Times New Roman" w:eastAsia="Times New Roman" w:hAnsi="Times New Roman"/>
                <w:sz w:val="14"/>
                <w:szCs w:val="14"/>
                <w:b w:val="1"/>
                <w:bCs w:val="1"/>
                <w:color w:val="auto"/>
              </w:rPr>
              <w:t>Basel Directive</w:t>
            </w:r>
            <w:r>
              <w:rPr>
                <w:rFonts w:ascii="Times New Roman" w:cs="Times New Roman" w:eastAsia="Times New Roman" w:hAnsi="Times New Roman"/>
                <w:sz w:val="14"/>
                <w:szCs w:val="14"/>
                <w:color w:val="auto"/>
              </w:rPr>
              <w:t xml:space="preserve"> means: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12.1.2.1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Basel III Framework issued by the Basel Committee on Banking Supervision in December 2010;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12.1.2.2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other framework, accord, standard or directive (other than a consultative paper) issued by the Basel Committee on Banking Supervision from time to time;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Increased Costs </w:t>
            </w:r>
            <w:r>
              <w:rPr>
                <w:rFonts w:ascii="Times New Roman" w:cs="Times New Roman" w:eastAsia="Times New Roman" w:hAnsi="Times New Roman"/>
                <w:sz w:val="14"/>
                <w:szCs w:val="14"/>
                <w:color w:val="auto"/>
              </w:rPr>
              <w:t>means:</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12.1.3.1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reduction in the rate of return from each Facility or on the Lender’s (or its Affiliate’s) overall capital (including, without limitation, as a result of any reduction in the rate of</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return on capital brought about by more capital being required to be allocated by the Lender);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12.1.3.2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 additional or increased cost;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12.1.3.3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reduction of any amount due and payable under this Agreement,</w:t>
            </w:r>
          </w:p>
        </w:tc>
      </w:tr>
      <w:tr>
        <w:trPr>
          <w:trHeight w:val="330"/>
        </w:trPr>
        <w:tc>
          <w:tcPr>
            <w:tcW w:w="620" w:type="dxa"/>
            <w:vAlign w:val="bottom"/>
          </w:tcPr>
          <w:p>
            <w:pPr>
              <w:spacing w:after="0"/>
              <w:rPr>
                <w:sz w:val="24"/>
                <w:szCs w:val="24"/>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is incurred or suffered by the Lender or any of its Affiliates to the extent that it is attributable to the Lender having entered into this Agreement or funding or performing its</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obligations under this Agreement.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12.1.4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The terms </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regulation</w:t>
            </w:r>
            <w:r>
              <w:rPr>
                <w:rFonts w:ascii="Times New Roman" w:cs="Times New Roman" w:eastAsia="Times New Roman" w:hAnsi="Times New Roman"/>
                <w:sz w:val="14"/>
                <w:szCs w:val="14"/>
                <w:color w:val="auto"/>
              </w:rPr>
              <w:t xml:space="preserve"> in clause 12.1 above shall include, without limitation, any law or regulation concerning capital adequacy, prudential limits, liquidity, reserve assets or</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4"/>
          <w:szCs w:val="14"/>
          <w:b w:val="1"/>
          <w:bCs w:val="1"/>
          <w:color w:val="auto"/>
        </w:rPr>
        <w:t>Certificate</w:t>
      </w:r>
    </w:p>
    <w:p>
      <w:pPr>
        <w:spacing w:after="0" w:line="18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4"/>
          <w:szCs w:val="14"/>
          <w:color w:val="auto"/>
        </w:rPr>
        <w:t>The Lender shall deliver to the Borrower a certificate setting out the amount of such Increased Costs incurred by the Lender, which certificate shall be executed by any manager of the Lender (whose authority and appointment need not be proved) and such certificate shall, in the absence of manifest error, constitute prima facie proof of the amount of the Increased Costs set out therein.</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b w:val="1"/>
          <w:bCs w:val="1"/>
          <w:color w:val="auto"/>
        </w:rPr>
        <w:t>Notification</w:t>
      </w:r>
    </w:p>
    <w:p>
      <w:pPr>
        <w:spacing w:after="0" w:line="185" w:lineRule="exact"/>
        <w:rPr>
          <w:sz w:val="20"/>
          <w:szCs w:val="20"/>
          <w:color w:val="auto"/>
        </w:rPr>
      </w:pPr>
    </w:p>
    <w:p>
      <w:pPr>
        <w:jc w:val="both"/>
        <w:ind w:left="520"/>
        <w:spacing w:after="0" w:line="292" w:lineRule="auto"/>
        <w:rPr>
          <w:sz w:val="20"/>
          <w:szCs w:val="20"/>
          <w:color w:val="auto"/>
        </w:rPr>
      </w:pPr>
      <w:r>
        <w:rPr>
          <w:rFonts w:ascii="Times New Roman" w:cs="Times New Roman" w:eastAsia="Times New Roman" w:hAnsi="Times New Roman"/>
          <w:sz w:val="14"/>
          <w:szCs w:val="14"/>
          <w:color w:val="auto"/>
        </w:rPr>
        <w:t>The Lender will promptly notify the Borrower of any event of which it has knowledge, occurring after the date of this Agreement, which will entitle the Lender to compensation pursuant to clause 12 (</w:t>
      </w:r>
      <w:r>
        <w:rPr>
          <w:rFonts w:ascii="Times New Roman" w:cs="Times New Roman" w:eastAsia="Times New Roman" w:hAnsi="Times New Roman"/>
          <w:sz w:val="14"/>
          <w:szCs w:val="14"/>
          <w:i w:val="1"/>
          <w:iCs w:val="1"/>
          <w:color w:val="auto"/>
        </w:rPr>
        <w:t>Increased</w:t>
      </w:r>
      <w:r>
        <w:rPr>
          <w:rFonts w:ascii="Times New Roman" w:cs="Times New Roman" w:eastAsia="Times New Roman" w:hAnsi="Times New Roman"/>
          <w:sz w:val="14"/>
          <w:szCs w:val="14"/>
          <w:color w:val="auto"/>
        </w:rPr>
        <w:t xml:space="preserve"> costs).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0" w:name="page191"/>
    <w:bookmarkEnd w:id="190"/>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b w:val="1"/>
          <w:bCs w:val="1"/>
          <w:color w:val="auto"/>
        </w:rPr>
        <w:t>Exceptions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12.4.1</w:t>
      </w:r>
      <w:r>
        <w:rPr>
          <w:sz w:val="20"/>
          <w:szCs w:val="20"/>
          <w:color w:val="auto"/>
        </w:rPr>
        <w:tab/>
      </w:r>
      <w:r>
        <w:rPr>
          <w:rFonts w:ascii="Times New Roman" w:cs="Times New Roman" w:eastAsia="Times New Roman" w:hAnsi="Times New Roman"/>
          <w:sz w:val="14"/>
          <w:szCs w:val="14"/>
          <w:color w:val="auto"/>
        </w:rPr>
        <w:t>Clause 12.1 (</w:t>
      </w:r>
      <w:r>
        <w:rPr>
          <w:rFonts w:ascii="Times New Roman" w:cs="Times New Roman" w:eastAsia="Times New Roman" w:hAnsi="Times New Roman"/>
          <w:sz w:val="14"/>
          <w:szCs w:val="14"/>
          <w:i w:val="1"/>
          <w:iCs w:val="1"/>
          <w:color w:val="auto"/>
        </w:rPr>
        <w:t>Increased costs</w:t>
      </w:r>
      <w:r>
        <w:rPr>
          <w:rFonts w:ascii="Times New Roman" w:cs="Times New Roman" w:eastAsia="Times New Roman" w:hAnsi="Times New Roman"/>
          <w:sz w:val="14"/>
          <w:szCs w:val="14"/>
          <w:color w:val="auto"/>
        </w:rPr>
        <w:t>) does not apply to the extent any Increased Cost is attributable to a Tax Deduction required by law to be made by the Borrower.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12.4.2</w:t>
      </w:r>
      <w:r>
        <w:rPr>
          <w:sz w:val="20"/>
          <w:szCs w:val="20"/>
          <w:color w:val="auto"/>
        </w:rPr>
        <w:tab/>
      </w:r>
      <w:r>
        <w:rPr>
          <w:rFonts w:ascii="Times New Roman" w:cs="Times New Roman" w:eastAsia="Times New Roman" w:hAnsi="Times New Roman"/>
          <w:sz w:val="14"/>
          <w:szCs w:val="14"/>
          <w:color w:val="auto"/>
        </w:rPr>
        <w:t xml:space="preserve">In this clause 12.2, a reference to a </w:t>
      </w:r>
      <w:r>
        <w:rPr>
          <w:rFonts w:ascii="Times New Roman" w:cs="Times New Roman" w:eastAsia="Times New Roman" w:hAnsi="Times New Roman"/>
          <w:sz w:val="14"/>
          <w:szCs w:val="14"/>
          <w:b w:val="1"/>
          <w:bCs w:val="1"/>
          <w:color w:val="auto"/>
        </w:rPr>
        <w:t>Tax Deduction</w:t>
      </w:r>
      <w:r>
        <w:rPr>
          <w:rFonts w:ascii="Times New Roman" w:cs="Times New Roman" w:eastAsia="Times New Roman" w:hAnsi="Times New Roman"/>
          <w:sz w:val="14"/>
          <w:szCs w:val="14"/>
          <w:color w:val="auto"/>
        </w:rPr>
        <w:t xml:space="preserve"> shall be to a deduction or withholding for or on account of Tax from a payment under a Finance Document.</w:t>
      </w:r>
    </w:p>
    <w:p>
      <w:pPr>
        <w:spacing w:after="0" w:line="183" w:lineRule="exact"/>
        <w:rPr>
          <w:sz w:val="20"/>
          <w:szCs w:val="20"/>
          <w:color w:val="auto"/>
        </w:rPr>
      </w:pPr>
    </w:p>
    <w:p>
      <w:pPr>
        <w:ind w:left="260" w:hanging="254"/>
        <w:spacing w:after="0"/>
        <w:tabs>
          <w:tab w:leader="none" w:pos="2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INDEMNITIES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b w:val="1"/>
          <w:bCs w:val="1"/>
          <w:color w:val="auto"/>
        </w:rPr>
        <w:t>Environmental Laws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13.1.1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shall (and shall procure that Guarantor shall) (within 3 (three) Business Days of demand by the Lender) indemnify the Lender against, and shall pay to the Lender an</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amount equal to the loss, liability or cost which the Lender determines will be or has been (directly or indirectly) suffered or incurred by the Lender for or on account of:</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13.1.1.1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 Environmental Claim or the breach of an Environmental Law as a result of the entering into of this Agreement or any other Finance Document; and/or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13.1.1.2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asbestos related claim instituted by any party howsoever associated with the Property</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b w:val="1"/>
          <w:bCs w:val="1"/>
          <w:color w:val="auto"/>
        </w:rPr>
        <w:t>Insolvency and Business Rescue Proceedings</w:t>
      </w:r>
    </w:p>
    <w:p>
      <w:pPr>
        <w:spacing w:after="0" w:line="18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4"/>
          <w:szCs w:val="14"/>
          <w:color w:val="auto"/>
        </w:rPr>
        <w:t>The Borrower shall (within 3 (three) Business Days of demand by the Lender) indemnify the Lender against, and shall pay to the Lender an amount equal to the loss, liability or cost which the Lender has been suffered or incurred by the Lender for or on account of any business rescue proceedings or any proceedings in relation to any compromise between the Borrower and its creditors in terms of section 155 of the Companies Act being instituted against the Borrower.</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13.3</w:t>
      </w:r>
      <w:r>
        <w:rPr>
          <w:sz w:val="20"/>
          <w:szCs w:val="20"/>
          <w:color w:val="auto"/>
        </w:rPr>
        <w:tab/>
      </w:r>
      <w:r>
        <w:rPr>
          <w:rFonts w:ascii="Times New Roman" w:cs="Times New Roman" w:eastAsia="Times New Roman" w:hAnsi="Times New Roman"/>
          <w:sz w:val="14"/>
          <w:szCs w:val="14"/>
          <w:b w:val="1"/>
          <w:bCs w:val="1"/>
          <w:color w:val="auto"/>
        </w:rPr>
        <w:t>Other indemnities</w:t>
      </w:r>
    </w:p>
    <w:p>
      <w:pPr>
        <w:spacing w:after="0" w:line="185"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13.3.1</w:t>
      </w:r>
      <w:r>
        <w:rPr>
          <w:sz w:val="20"/>
          <w:szCs w:val="20"/>
          <w:color w:val="auto"/>
        </w:rPr>
        <w:tab/>
      </w:r>
      <w:r>
        <w:rPr>
          <w:rFonts w:ascii="Times New Roman" w:cs="Times New Roman" w:eastAsia="Times New Roman" w:hAnsi="Times New Roman"/>
          <w:sz w:val="14"/>
          <w:szCs w:val="14"/>
          <w:color w:val="auto"/>
        </w:rPr>
        <w:t>The Borrower shall (and shall procure that Guarantor shall), within 3 (three) Business Days of demand, indemnify the Lender against, and shall pay to the Lender, any cost, loss or liability incurred by the Lender as a result of:</w:t>
      </w:r>
    </w:p>
    <w:p>
      <w:pPr>
        <w:spacing w:after="0" w:line="1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13.3.1.1</w:t>
      </w:r>
      <w:r>
        <w:rPr>
          <w:sz w:val="20"/>
          <w:szCs w:val="20"/>
          <w:color w:val="auto"/>
        </w:rPr>
        <w:tab/>
      </w:r>
      <w:r>
        <w:rPr>
          <w:rFonts w:ascii="Times New Roman" w:cs="Times New Roman" w:eastAsia="Times New Roman" w:hAnsi="Times New Roman"/>
          <w:sz w:val="14"/>
          <w:szCs w:val="14"/>
          <w:color w:val="auto"/>
        </w:rPr>
        <w:t>the occurrence of any Default;</w:t>
      </w:r>
    </w:p>
    <w:p>
      <w:pPr>
        <w:spacing w:after="0" w:line="183" w:lineRule="exact"/>
        <w:rPr>
          <w:sz w:val="20"/>
          <w:szCs w:val="20"/>
          <w:color w:val="auto"/>
        </w:rPr>
      </w:pPr>
    </w:p>
    <w:p>
      <w:pPr>
        <w:ind w:left="1040" w:hanging="1030"/>
        <w:spacing w:after="0" w:line="292" w:lineRule="auto"/>
        <w:tabs>
          <w:tab w:leader="none" w:pos="1020" w:val="left"/>
        </w:tabs>
        <w:rPr>
          <w:sz w:val="20"/>
          <w:szCs w:val="20"/>
          <w:color w:val="auto"/>
        </w:rPr>
      </w:pPr>
      <w:r>
        <w:rPr>
          <w:rFonts w:ascii="Times New Roman" w:cs="Times New Roman" w:eastAsia="Times New Roman" w:hAnsi="Times New Roman"/>
          <w:sz w:val="14"/>
          <w:szCs w:val="14"/>
          <w:color w:val="auto"/>
        </w:rPr>
        <w:t>13.3.1.2</w:t>
      </w:r>
      <w:r>
        <w:rPr>
          <w:sz w:val="20"/>
          <w:szCs w:val="20"/>
          <w:color w:val="auto"/>
        </w:rPr>
        <w:tab/>
      </w:r>
      <w:r>
        <w:rPr>
          <w:rFonts w:ascii="Times New Roman" w:cs="Times New Roman" w:eastAsia="Times New Roman" w:hAnsi="Times New Roman"/>
          <w:sz w:val="14"/>
          <w:szCs w:val="14"/>
          <w:color w:val="auto"/>
        </w:rPr>
        <w:t>the information produced or approved by the Obligors under or in connection with this Agreement being or being alleged to be misleading and/or deceptive in any respect, provided that the Lender acts reasonably in these circumstances;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13.3.1.3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enquiry, investigation, subpoena (or similar order) or litigation with respect to the Obligors or with respect to the transactions contemplated or financed under this Agreement;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13.3.1.4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failure by any Obligor to pay any amount due under this Agreement on its due date;</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13.3.1.5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funding, or making arrangements to fund, its participation in a Loan requested by the Borrower in a Utilisation Request but not made by reason of the operation of any one or</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more of the provisions of this Agreement (other than by reason of default or negligence by the Lender alone);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13.3.1.6</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payment or settlement of any claim in terms of a Bank Guarantee;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13.3.1.7</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Loan (or part of a Loan) not being repaid in accordance with the terms of this Agreement.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13.3.2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Obligors’ liability in each case includes any loss or expense on account of funds borrowed, contracted for or utilised to fund any amount payable under any Finance Document or</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any Loan.</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13.4</w:t>
      </w:r>
      <w:r>
        <w:rPr>
          <w:sz w:val="20"/>
          <w:szCs w:val="20"/>
          <w:color w:val="auto"/>
        </w:rPr>
        <w:tab/>
      </w:r>
      <w:r>
        <w:rPr>
          <w:rFonts w:ascii="Times New Roman" w:cs="Times New Roman" w:eastAsia="Times New Roman" w:hAnsi="Times New Roman"/>
          <w:sz w:val="14"/>
          <w:szCs w:val="14"/>
          <w:b w:val="1"/>
          <w:bCs w:val="1"/>
          <w:color w:val="auto"/>
        </w:rPr>
        <w:t>Indemnity to the Lender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w:t>
            </w:r>
          </w:p>
        </w:tc>
        <w:tc>
          <w:tcPr>
            <w:tcW w:w="10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Borrower shall and shall procure that the Guarantor promptly indemnify the Lender and every representative appointed by the Lender against and shall pay to the Lender, and</w:t>
            </w:r>
          </w:p>
        </w:tc>
      </w:tr>
      <w:tr>
        <w:trPr>
          <w:trHeight w:val="186"/>
        </w:trPr>
        <w:tc>
          <w:tcPr>
            <w:tcW w:w="620" w:type="dxa"/>
            <w:vAlign w:val="bottom"/>
          </w:tcPr>
          <w:p>
            <w:pPr>
              <w:spacing w:after="0"/>
              <w:rPr>
                <w:sz w:val="16"/>
                <w:szCs w:val="16"/>
                <w:color w:val="auto"/>
              </w:rPr>
            </w:pPr>
          </w:p>
        </w:tc>
        <w:tc>
          <w:tcPr>
            <w:tcW w:w="10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each such representative any cost, loss or liability incurred by the Lender, or representative as a result of:</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investigating or taking any other action in connection with any event which it reasonably believes is a Default;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failure by an Obligor to comply with its obligations under clause 14 (</w:t>
            </w:r>
            <w:r>
              <w:rPr>
                <w:rFonts w:ascii="Times New Roman" w:cs="Times New Roman" w:eastAsia="Times New Roman" w:hAnsi="Times New Roman"/>
                <w:sz w:val="14"/>
                <w:szCs w:val="14"/>
                <w:i w:val="1"/>
                <w:iCs w:val="1"/>
                <w:color w:val="auto"/>
              </w:rPr>
              <w:t>Costs and expenses</w:t>
            </w:r>
            <w:r>
              <w:rPr>
                <w:rFonts w:ascii="Times New Roman" w:cs="Times New Roman" w:eastAsia="Times New Roman" w:hAnsi="Times New Roman"/>
                <w:sz w:val="14"/>
                <w:szCs w:val="14"/>
                <w:color w:val="auto"/>
              </w:rPr>
              <w: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default by an Obligor in the performance of any of the other obligations expressed to be assumed by it in the Finance Documents;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acting or relying on any notice, request or instruction which it reasonably believes to be genuine, correct and appropriately authorised;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13.4.1.5</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taking, holding, protecting or enforcing of the Transaction Security;</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13.4.1.6</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exercise of any of the rights, powers, discretions, authorities and remedies vested in the Lender and each representative appointed by the Lender pursuant to the Finance</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Documents or by law;</w:t>
            </w:r>
          </w:p>
        </w:tc>
      </w:tr>
      <w:tr>
        <w:trPr>
          <w:trHeight w:val="539"/>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28</w:t>
            </w:r>
          </w:p>
        </w:tc>
      </w:tr>
    </w:tbl>
    <w:p>
      <w:pPr>
        <w:sectPr>
          <w:pgSz w:w="11900" w:h="16838" w:orient="portrait"/>
          <w:cols w:equalWidth="0" w:num="1">
            <w:col w:w="11280"/>
          </w:cols>
          <w:pgMar w:left="300" w:top="318" w:right="31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13.4.1.7</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instructing lawyers, accountants, tax advisers, surveyors or other professional advisers or experts as permitted under this Agreement; or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13.4.1.8</w:t>
            </w: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instructing any representative under the Finance Documents or an instruction which otherwise relates to the Property (otherwise, in each case, than by reason of the Lender’s or</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relevant representative’s gross negligence or wilful misconduct)</w:t>
            </w:r>
          </w:p>
        </w:tc>
      </w:tr>
      <w:tr>
        <w:trPr>
          <w:trHeight w:val="32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13.4.2</w:t>
            </w: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 Lender and every representative appointed by the Lender may, in priority to any payment to the Lender, indemnify itself out of the Property in respect of, and pay and retain, all</w:t>
            </w:r>
          </w:p>
        </w:tc>
      </w:tr>
      <w:tr>
        <w:trPr>
          <w:trHeight w:val="174"/>
        </w:trPr>
        <w:tc>
          <w:tcPr>
            <w:tcW w:w="620" w:type="dxa"/>
            <w:vAlign w:val="bottom"/>
          </w:tcPr>
          <w:p>
            <w:pPr>
              <w:spacing w:after="0"/>
              <w:rPr>
                <w:sz w:val="15"/>
                <w:szCs w:val="15"/>
                <w:color w:val="auto"/>
              </w:rPr>
            </w:pP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sums necessary to give effect to the indemnity in this clause 13.4 (</w:t>
            </w:r>
            <w:r>
              <w:rPr>
                <w:rFonts w:ascii="Times New Roman" w:cs="Times New Roman" w:eastAsia="Times New Roman" w:hAnsi="Times New Roman"/>
                <w:sz w:val="14"/>
                <w:szCs w:val="14"/>
                <w:i w:val="1"/>
                <w:iCs w:val="1"/>
                <w:color w:val="auto"/>
              </w:rPr>
              <w:t>Indemnity to Lender)</w:t>
            </w:r>
            <w:r>
              <w:rPr>
                <w:rFonts w:ascii="Times New Roman" w:cs="Times New Roman" w:eastAsia="Times New Roman" w:hAnsi="Times New Roman"/>
                <w:sz w:val="14"/>
                <w:szCs w:val="14"/>
                <w:color w:val="auto"/>
              </w:rPr>
              <w:t xml:space="preserve"> and shall have a lien on the Transaction Security and the proceeds of the enforcement of the</w:t>
            </w:r>
          </w:p>
        </w:tc>
      </w:tr>
      <w:tr>
        <w:trPr>
          <w:trHeight w:val="186"/>
        </w:trPr>
        <w:tc>
          <w:tcPr>
            <w:tcW w:w="620" w:type="dxa"/>
            <w:vAlign w:val="bottom"/>
          </w:tcPr>
          <w:p>
            <w:pPr>
              <w:spacing w:after="0"/>
              <w:rPr>
                <w:sz w:val="16"/>
                <w:szCs w:val="16"/>
                <w:color w:val="auto"/>
              </w:rPr>
            </w:pPr>
          </w:p>
        </w:tc>
        <w:tc>
          <w:tcPr>
            <w:tcW w:w="10660" w:type="dxa"/>
            <w:vAlign w:val="bottom"/>
          </w:tcPr>
          <w:p>
            <w:pPr>
              <w:jc w:val="right"/>
              <w:ind w:right="7608"/>
              <w:spacing w:after="0"/>
              <w:rPr>
                <w:sz w:val="20"/>
                <w:szCs w:val="20"/>
                <w:color w:val="auto"/>
              </w:rPr>
            </w:pPr>
            <w:r>
              <w:rPr>
                <w:rFonts w:ascii="Times New Roman" w:cs="Times New Roman" w:eastAsia="Times New Roman" w:hAnsi="Times New Roman"/>
                <w:sz w:val="14"/>
                <w:szCs w:val="14"/>
                <w:color w:val="auto"/>
              </w:rPr>
              <w:t>Transaction Security for all moneys payable to it.</w:t>
            </w:r>
          </w:p>
        </w:tc>
      </w:tr>
    </w:tbl>
    <w:p>
      <w:pPr>
        <w:spacing w:after="0" w:line="156" w:lineRule="exact"/>
        <w:rPr>
          <w:sz w:val="20"/>
          <w:szCs w:val="20"/>
          <w:color w:val="auto"/>
        </w:rPr>
      </w:pPr>
    </w:p>
    <w:p>
      <w:pPr>
        <w:ind w:left="260" w:hanging="254"/>
        <w:spacing w:after="0"/>
        <w:tabs>
          <w:tab w:leader="none" w:pos="2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COSTS AND EXPENSES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4"/>
          <w:szCs w:val="14"/>
          <w:b w:val="1"/>
          <w:bCs w:val="1"/>
          <w:color w:val="auto"/>
        </w:rPr>
        <w:t>Transaction Expenses</w:t>
      </w:r>
    </w:p>
    <w:p>
      <w:pPr>
        <w:spacing w:after="0" w:line="185" w:lineRule="exact"/>
        <w:rPr>
          <w:sz w:val="20"/>
          <w:szCs w:val="20"/>
          <w:color w:val="auto"/>
        </w:rPr>
      </w:pPr>
    </w:p>
    <w:p>
      <w:pPr>
        <w:jc w:val="both"/>
        <w:ind w:left="520"/>
        <w:spacing w:after="0" w:line="285" w:lineRule="auto"/>
        <w:rPr>
          <w:sz w:val="20"/>
          <w:szCs w:val="20"/>
          <w:color w:val="auto"/>
        </w:rPr>
      </w:pPr>
      <w:r>
        <w:rPr>
          <w:rFonts w:ascii="Times New Roman" w:cs="Times New Roman" w:eastAsia="Times New Roman" w:hAnsi="Times New Roman"/>
          <w:sz w:val="14"/>
          <w:szCs w:val="14"/>
          <w:color w:val="auto"/>
        </w:rPr>
        <w:t>The Borrower shall, within 3 (three) Business Days of demand, pay to the Lender the costs and expenses (including legal fees on the scale as between attorney and own client whether incurred before or after judgment) incurred by the Lender in connection with any transaction expenses, bond registrations and/or any certificates of identity in connection with any Finance Document.</w:t>
      </w:r>
    </w:p>
    <w:p>
      <w:pPr>
        <w:spacing w:after="0" w:line="30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4"/>
          <w:szCs w:val="14"/>
          <w:b w:val="1"/>
          <w:bCs w:val="1"/>
          <w:color w:val="auto"/>
        </w:rPr>
        <w:t>Amendment costs</w:t>
      </w:r>
    </w:p>
    <w:p>
      <w:pPr>
        <w:spacing w:after="0" w:line="185"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14.2.1</w:t>
      </w:r>
      <w:r>
        <w:rPr>
          <w:sz w:val="20"/>
          <w:szCs w:val="20"/>
          <w:color w:val="auto"/>
        </w:rPr>
        <w:tab/>
      </w:r>
      <w:r>
        <w:rPr>
          <w:rFonts w:ascii="Times New Roman" w:cs="Times New Roman" w:eastAsia="Times New Roman" w:hAnsi="Times New Roman"/>
          <w:sz w:val="14"/>
          <w:szCs w:val="14"/>
          <w:color w:val="auto"/>
        </w:rPr>
        <w:t>If an Obligor requests an amendment, waiver or consent, the Borrower shall, within 3 (three) Business Days of demand, reimburse the Lender for the amount of all properly evidenced costs and expenses (including legal fees) reasonably incurred by the Lender in responding to, evaluating, negotiating or complying with that request or requirement.</w:t>
      </w:r>
    </w:p>
    <w:p>
      <w:pPr>
        <w:spacing w:after="0" w:line="124"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14.2.2</w:t>
      </w:r>
      <w:r>
        <w:rPr>
          <w:sz w:val="20"/>
          <w:szCs w:val="20"/>
          <w:color w:val="auto"/>
        </w:rPr>
        <w:tab/>
      </w:r>
      <w:r>
        <w:rPr>
          <w:rFonts w:ascii="Times New Roman" w:cs="Times New Roman" w:eastAsia="Times New Roman" w:hAnsi="Times New Roman"/>
          <w:sz w:val="14"/>
          <w:szCs w:val="14"/>
          <w:color w:val="auto"/>
        </w:rPr>
        <w:t>If there is any change in law or any regulation which requires an amendment, waiver or consent under the Finance Documents in so far as it affects the Lender only, the Borrower shall, within 3 (three) Business Days of demand, reimburse the Lender for the amount of all properly evidenced costs and expenses (including reasonably incurred legal fees) incurred by the Lender in connection with evaluating, negotiating or complying with any such requirement.</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4"/>
          <w:szCs w:val="14"/>
          <w:b w:val="1"/>
          <w:bCs w:val="1"/>
          <w:color w:val="auto"/>
        </w:rPr>
        <w:t>Formal Valuations</w:t>
      </w:r>
    </w:p>
    <w:p>
      <w:pPr>
        <w:spacing w:after="0" w:line="185"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4"/>
          <w:szCs w:val="14"/>
          <w:color w:val="auto"/>
        </w:rPr>
        <w:t>The Borrower shall pay all costs incurred in obtaining Formal Valuations and internal Valuations required to be obtained under this Agreement, subject to and in accordance with clause 19.5.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490" w:right="319" w:bottom="1440" w:gutter="0" w:footer="0" w:header="0"/>
        </w:sectPr>
      </w:pPr>
    </w:p>
    <w:bookmarkStart w:id="193" w:name="page194"/>
    <w:bookmarkEnd w:id="193"/>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14.4</w:t>
      </w:r>
      <w:r>
        <w:rPr>
          <w:sz w:val="20"/>
          <w:szCs w:val="20"/>
          <w:color w:val="auto"/>
        </w:rPr>
        <w:tab/>
      </w:r>
      <w:r>
        <w:rPr>
          <w:rFonts w:ascii="Times New Roman" w:cs="Times New Roman" w:eastAsia="Times New Roman" w:hAnsi="Times New Roman"/>
          <w:sz w:val="14"/>
          <w:szCs w:val="14"/>
          <w:b w:val="1"/>
          <w:bCs w:val="1"/>
          <w:color w:val="auto"/>
        </w:rPr>
        <w:t>Enforcement costs</w:t>
      </w:r>
    </w:p>
    <w:p>
      <w:pPr>
        <w:spacing w:after="0" w:line="18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4"/>
          <w:szCs w:val="14"/>
          <w:color w:val="auto"/>
        </w:rPr>
        <w:t>The Borrower shall and shall procure that the Guarantor shall, within 3 (three) Business Days of demand, pay to the Lender the amount of all costs and expenses (including legal fees on the scale as between attorney and own client whether incurred before or after judgement) incurred by the Lender in connection with the enforcement of, or the preservation of any rights under, any Finance Document.</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14.5</w:t>
      </w:r>
      <w:r>
        <w:rPr>
          <w:sz w:val="20"/>
          <w:szCs w:val="20"/>
          <w:color w:val="auto"/>
        </w:rPr>
        <w:tab/>
      </w:r>
      <w:r>
        <w:rPr>
          <w:rFonts w:ascii="Times New Roman" w:cs="Times New Roman" w:eastAsia="Times New Roman" w:hAnsi="Times New Roman"/>
          <w:sz w:val="14"/>
          <w:szCs w:val="14"/>
          <w:b w:val="1"/>
          <w:bCs w:val="1"/>
          <w:color w:val="auto"/>
        </w:rPr>
        <w:t>Structuring Fee</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14.5.1</w:t>
      </w:r>
      <w:r>
        <w:rPr>
          <w:sz w:val="20"/>
          <w:szCs w:val="20"/>
          <w:color w:val="auto"/>
        </w:rPr>
        <w:tab/>
      </w:r>
      <w:r>
        <w:rPr>
          <w:rFonts w:ascii="Times New Roman" w:cs="Times New Roman" w:eastAsia="Times New Roman" w:hAnsi="Times New Roman"/>
          <w:sz w:val="14"/>
          <w:szCs w:val="14"/>
          <w:color w:val="auto"/>
        </w:rPr>
        <w:t>The Structuring Fee in respect of the Facility shall be due on the Signature Date and capitalised to Facility 1 on the First Utilisation Date under Facility 1.</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14.5.2</w:t>
      </w:r>
      <w:r>
        <w:rPr>
          <w:sz w:val="20"/>
          <w:szCs w:val="20"/>
          <w:color w:val="auto"/>
        </w:rPr>
        <w:tab/>
      </w:r>
      <w:r>
        <w:rPr>
          <w:rFonts w:ascii="Times New Roman" w:cs="Times New Roman" w:eastAsia="Times New Roman" w:hAnsi="Times New Roman"/>
          <w:sz w:val="14"/>
          <w:szCs w:val="14"/>
          <w:color w:val="auto"/>
        </w:rPr>
        <w:t>It is recorded that the Structuring Fee has been calculated exclusive of VAT and that VAT in respect of the Structuring Fee shall be due and payable by the Borrower with the First Utilisation under that Facility.</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14.6</w:t>
      </w:r>
      <w:r>
        <w:rPr>
          <w:sz w:val="20"/>
          <w:szCs w:val="20"/>
          <w:color w:val="auto"/>
        </w:rPr>
        <w:tab/>
      </w:r>
      <w:r>
        <w:rPr>
          <w:rFonts w:ascii="Times New Roman" w:cs="Times New Roman" w:eastAsia="Times New Roman" w:hAnsi="Times New Roman"/>
          <w:sz w:val="14"/>
          <w:szCs w:val="14"/>
          <w:b w:val="1"/>
          <w:bCs w:val="1"/>
          <w:color w:val="auto"/>
        </w:rPr>
        <w:t>Early Repayment Fee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pay to the Lender the Prepayment Penalty on any early repayment of a Loan save where the cancellation is a result of:</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14.6.1</w:t>
      </w:r>
      <w:r>
        <w:rPr>
          <w:sz w:val="20"/>
          <w:szCs w:val="20"/>
          <w:color w:val="auto"/>
        </w:rPr>
        <w:tab/>
      </w:r>
      <w:r>
        <w:rPr>
          <w:rFonts w:ascii="Times New Roman" w:cs="Times New Roman" w:eastAsia="Times New Roman" w:hAnsi="Times New Roman"/>
          <w:sz w:val="14"/>
          <w:szCs w:val="14"/>
          <w:color w:val="auto"/>
        </w:rPr>
        <w:t>the Lender exercising its rights under clause 12 (</w:t>
      </w:r>
      <w:r>
        <w:rPr>
          <w:rFonts w:ascii="Times New Roman" w:cs="Times New Roman" w:eastAsia="Times New Roman" w:hAnsi="Times New Roman"/>
          <w:sz w:val="14"/>
          <w:szCs w:val="14"/>
          <w:i w:val="1"/>
          <w:iCs w:val="1"/>
          <w:color w:val="auto"/>
        </w:rPr>
        <w:t>Increased Costs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14.6.2</w:t>
      </w:r>
      <w:r>
        <w:rPr>
          <w:sz w:val="20"/>
          <w:szCs w:val="20"/>
          <w:color w:val="auto"/>
        </w:rPr>
        <w:tab/>
      </w:r>
      <w:r>
        <w:rPr>
          <w:rFonts w:ascii="Times New Roman" w:cs="Times New Roman" w:eastAsia="Times New Roman" w:hAnsi="Times New Roman"/>
          <w:sz w:val="14"/>
          <w:szCs w:val="14"/>
          <w:color w:val="auto"/>
        </w:rPr>
        <w:t>illegality as contemplated in clause 8.1 (</w:t>
      </w:r>
      <w:r>
        <w:rPr>
          <w:rFonts w:ascii="Times New Roman" w:cs="Times New Roman" w:eastAsia="Times New Roman" w:hAnsi="Times New Roman"/>
          <w:sz w:val="14"/>
          <w:szCs w:val="14"/>
          <w:i w:val="1"/>
          <w:iCs w:val="1"/>
          <w:color w:val="auto"/>
        </w:rPr>
        <w:t>Mandatory Prepayment - Illegality</w:t>
      </w:r>
      <w:r>
        <w:rPr>
          <w:rFonts w:ascii="Times New Roman" w:cs="Times New Roman" w:eastAsia="Times New Roman" w:hAnsi="Times New Roman"/>
          <w:sz w:val="14"/>
          <w:szCs w:val="14"/>
          <w:color w:val="auto"/>
        </w:rPr>
        <w:t>); or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14.6.3</w:t>
      </w:r>
      <w:r>
        <w:rPr>
          <w:sz w:val="20"/>
          <w:szCs w:val="20"/>
          <w:color w:val="auto"/>
        </w:rPr>
        <w:tab/>
      </w:r>
      <w:r>
        <w:rPr>
          <w:rFonts w:ascii="Times New Roman" w:cs="Times New Roman" w:eastAsia="Times New Roman" w:hAnsi="Times New Roman"/>
          <w:sz w:val="14"/>
          <w:szCs w:val="14"/>
          <w:color w:val="auto"/>
        </w:rPr>
        <w:t>the Borrower making payment of any amount in terms of clause 11.1 (</w:t>
      </w:r>
      <w:r>
        <w:rPr>
          <w:rFonts w:ascii="Times New Roman" w:cs="Times New Roman" w:eastAsia="Times New Roman" w:hAnsi="Times New Roman"/>
          <w:sz w:val="14"/>
          <w:szCs w:val="14"/>
          <w:i w:val="1"/>
          <w:iCs w:val="1"/>
          <w:color w:val="auto"/>
        </w:rPr>
        <w:t>Tax Gross Up</w:t>
      </w:r>
      <w:r>
        <w:rPr>
          <w:rFonts w:ascii="Times New Roman" w:cs="Times New Roman" w:eastAsia="Times New Roman" w:hAnsi="Times New Roman"/>
          <w:sz w:val="14"/>
          <w:szCs w:val="14"/>
          <w:color w:val="auto"/>
        </w:rPr>
        <w:t>) and subsequently electing to cancel a Facility.</w:t>
      </w:r>
    </w:p>
    <w:p>
      <w:pPr>
        <w:spacing w:after="0" w:line="183" w:lineRule="exact"/>
        <w:rPr>
          <w:sz w:val="20"/>
          <w:szCs w:val="20"/>
          <w:color w:val="auto"/>
        </w:rPr>
      </w:pPr>
    </w:p>
    <w:p>
      <w:pPr>
        <w:ind w:left="260" w:hanging="254"/>
        <w:spacing w:after="0"/>
        <w:tabs>
          <w:tab w:leader="none" w:pos="2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REPRESENTATIONS</w:t>
      </w:r>
    </w:p>
    <w:p>
      <w:pPr>
        <w:spacing w:after="0" w:line="185" w:lineRule="exact"/>
        <w:rPr>
          <w:sz w:val="20"/>
          <w:szCs w:val="20"/>
          <w:color w:val="auto"/>
        </w:rPr>
      </w:pPr>
    </w:p>
    <w:p>
      <w:pPr>
        <w:ind w:left="260"/>
        <w:spacing w:after="0" w:line="292" w:lineRule="auto"/>
        <w:rPr>
          <w:sz w:val="20"/>
          <w:szCs w:val="20"/>
          <w:color w:val="auto"/>
        </w:rPr>
      </w:pPr>
      <w:r>
        <w:rPr>
          <w:rFonts w:ascii="Times New Roman" w:cs="Times New Roman" w:eastAsia="Times New Roman" w:hAnsi="Times New Roman"/>
          <w:sz w:val="14"/>
          <w:szCs w:val="14"/>
          <w:color w:val="auto"/>
        </w:rPr>
        <w:t>The Borrower, unless otherwise provided, makes the representations and warranties set out in this clause 15 to the Lender on the Signature Date and, in the case of the Repeating Representations, on each other date set out in clause 15.28 (</w:t>
      </w:r>
      <w:r>
        <w:rPr>
          <w:rFonts w:ascii="Times New Roman" w:cs="Times New Roman" w:eastAsia="Times New Roman" w:hAnsi="Times New Roman"/>
          <w:sz w:val="14"/>
          <w:szCs w:val="14"/>
          <w:i w:val="1"/>
          <w:iCs w:val="1"/>
          <w:color w:val="auto"/>
        </w:rPr>
        <w:t>Repetition</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4"/>
          <w:szCs w:val="14"/>
          <w:b w:val="1"/>
          <w:bCs w:val="1"/>
          <w:color w:val="auto"/>
        </w:rPr>
        <w:t>Status</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15.1.1</w:t>
      </w:r>
      <w:r>
        <w:rPr>
          <w:sz w:val="20"/>
          <w:szCs w:val="20"/>
          <w:color w:val="auto"/>
        </w:rPr>
        <w:tab/>
      </w:r>
      <w:r>
        <w:rPr>
          <w:rFonts w:ascii="Times New Roman" w:cs="Times New Roman" w:eastAsia="Times New Roman" w:hAnsi="Times New Roman"/>
          <w:sz w:val="14"/>
          <w:szCs w:val="14"/>
          <w:color w:val="auto"/>
        </w:rPr>
        <w:t>It is a company, duly incorporated and validly existing under the laws of its jurisdiction of incorporation.</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15.1.2</w:t>
      </w:r>
      <w:r>
        <w:rPr>
          <w:sz w:val="20"/>
          <w:szCs w:val="20"/>
          <w:color w:val="auto"/>
        </w:rPr>
        <w:tab/>
      </w:r>
      <w:r>
        <w:rPr>
          <w:rFonts w:ascii="Times New Roman" w:cs="Times New Roman" w:eastAsia="Times New Roman" w:hAnsi="Times New Roman"/>
          <w:sz w:val="14"/>
          <w:szCs w:val="14"/>
          <w:color w:val="auto"/>
        </w:rPr>
        <w:t>It and each of its Subsidiaries has the power to own its assets and carry on its business as it is being conducted.</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4"/>
          <w:szCs w:val="14"/>
          <w:b w:val="1"/>
          <w:bCs w:val="1"/>
          <w:color w:val="auto"/>
        </w:rPr>
        <w:t>Binding obligations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obligations expressed to be assumed by it in each Finance Documents are legal, valid, binding and enforceable obligations.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4" w:name="page195"/>
    <w:bookmarkEnd w:id="194"/>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15.3</w:t>
      </w:r>
      <w:r>
        <w:rPr>
          <w:sz w:val="20"/>
          <w:szCs w:val="20"/>
          <w:color w:val="auto"/>
        </w:rPr>
        <w:tab/>
      </w:r>
      <w:r>
        <w:rPr>
          <w:rFonts w:ascii="Times New Roman" w:cs="Times New Roman" w:eastAsia="Times New Roman" w:hAnsi="Times New Roman"/>
          <w:sz w:val="14"/>
          <w:szCs w:val="14"/>
          <w:b w:val="1"/>
          <w:bCs w:val="1"/>
          <w:color w:val="auto"/>
        </w:rPr>
        <w:t>Non-conflict with other obligations</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entry into and performance by it of, and the transactions contemplated by, the Transaction Documents and the granting of the Transaction Security granted by the Borrower do not and will not conflict with:</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15.3.1</w:t>
      </w:r>
      <w:r>
        <w:rPr>
          <w:sz w:val="20"/>
          <w:szCs w:val="20"/>
          <w:color w:val="auto"/>
        </w:rPr>
        <w:tab/>
      </w:r>
      <w:r>
        <w:rPr>
          <w:rFonts w:ascii="Times New Roman" w:cs="Times New Roman" w:eastAsia="Times New Roman" w:hAnsi="Times New Roman"/>
          <w:sz w:val="14"/>
          <w:szCs w:val="14"/>
          <w:color w:val="auto"/>
        </w:rPr>
        <w:t>any law or regulation applicable to it and each of its Subsidiaries;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15.3.2</w:t>
      </w:r>
      <w:r>
        <w:rPr>
          <w:sz w:val="20"/>
          <w:szCs w:val="20"/>
          <w:color w:val="auto"/>
        </w:rPr>
        <w:tab/>
      </w:r>
      <w:r>
        <w:rPr>
          <w:rFonts w:ascii="Times New Roman" w:cs="Times New Roman" w:eastAsia="Times New Roman" w:hAnsi="Times New Roman"/>
          <w:sz w:val="14"/>
          <w:szCs w:val="14"/>
          <w:color w:val="auto"/>
        </w:rPr>
        <w:t>its and each of its Subsidiaries’ constitutional documents; or</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15.3.3</w:t>
      </w:r>
      <w:r>
        <w:rPr>
          <w:sz w:val="20"/>
          <w:szCs w:val="20"/>
          <w:color w:val="auto"/>
        </w:rPr>
        <w:tab/>
      </w:r>
      <w:r>
        <w:rPr>
          <w:rFonts w:ascii="Times New Roman" w:cs="Times New Roman" w:eastAsia="Times New Roman" w:hAnsi="Times New Roman"/>
          <w:sz w:val="14"/>
          <w:szCs w:val="14"/>
          <w:color w:val="auto"/>
        </w:rPr>
        <w:t>any agreement or instrument binding upon it and each of its Subsidiaries or any of its assets, or constitute a default or termination event (however described) under any such agreement or instrument, which in any case is material in the context of the business of the Borrower.</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15.4</w:t>
      </w:r>
      <w:r>
        <w:rPr>
          <w:sz w:val="20"/>
          <w:szCs w:val="20"/>
          <w:color w:val="auto"/>
        </w:rPr>
        <w:tab/>
      </w:r>
      <w:r>
        <w:rPr>
          <w:rFonts w:ascii="Times New Roman" w:cs="Times New Roman" w:eastAsia="Times New Roman" w:hAnsi="Times New Roman"/>
          <w:sz w:val="14"/>
          <w:szCs w:val="14"/>
          <w:b w:val="1"/>
          <w:bCs w:val="1"/>
          <w:color w:val="auto"/>
        </w:rPr>
        <w:t>Power and authority</w:t>
      </w:r>
    </w:p>
    <w:p>
      <w:pPr>
        <w:spacing w:after="0" w:line="185"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15.4.1</w:t>
      </w:r>
      <w:r>
        <w:rPr>
          <w:sz w:val="20"/>
          <w:szCs w:val="20"/>
          <w:color w:val="auto"/>
        </w:rPr>
        <w:tab/>
      </w:r>
      <w:r>
        <w:rPr>
          <w:rFonts w:ascii="Times New Roman" w:cs="Times New Roman" w:eastAsia="Times New Roman" w:hAnsi="Times New Roman"/>
          <w:sz w:val="14"/>
          <w:szCs w:val="14"/>
          <w:color w:val="auto"/>
        </w:rPr>
        <w:t>It has the power to enter into, perform and deliver, and has taken all necessary action to authorise its entry into, performance and delivery of, the Transaction Documents and the transactions contemplated by the Transaction Documents.</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15.4.2</w:t>
      </w:r>
      <w:r>
        <w:rPr>
          <w:sz w:val="20"/>
          <w:szCs w:val="20"/>
          <w:color w:val="auto"/>
        </w:rPr>
        <w:tab/>
      </w:r>
      <w:r>
        <w:rPr>
          <w:rFonts w:ascii="Times New Roman" w:cs="Times New Roman" w:eastAsia="Times New Roman" w:hAnsi="Times New Roman"/>
          <w:sz w:val="14"/>
          <w:szCs w:val="14"/>
          <w:color w:val="auto"/>
        </w:rPr>
        <w:t>No limit on its powers will be exceeded as a result of the borrowing, grant of security or giving of guarantees or indemnities contemplated by the Finance Documents.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15.5</w:t>
      </w:r>
      <w:r>
        <w:rPr>
          <w:sz w:val="20"/>
          <w:szCs w:val="20"/>
          <w:color w:val="auto"/>
        </w:rPr>
        <w:tab/>
      </w:r>
      <w:r>
        <w:rPr>
          <w:rFonts w:ascii="Times New Roman" w:cs="Times New Roman" w:eastAsia="Times New Roman" w:hAnsi="Times New Roman"/>
          <w:sz w:val="14"/>
          <w:szCs w:val="14"/>
          <w:b w:val="1"/>
          <w:bCs w:val="1"/>
          <w:color w:val="auto"/>
        </w:rPr>
        <w:t>Validity and admissibility in evidence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Authorisations required or desirable: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15.5.1</w:t>
      </w:r>
      <w:r>
        <w:rPr>
          <w:sz w:val="20"/>
          <w:szCs w:val="20"/>
          <w:color w:val="auto"/>
        </w:rPr>
        <w:tab/>
      </w:r>
      <w:r>
        <w:rPr>
          <w:rFonts w:ascii="Times New Roman" w:cs="Times New Roman" w:eastAsia="Times New Roman" w:hAnsi="Times New Roman"/>
          <w:sz w:val="14"/>
          <w:szCs w:val="14"/>
          <w:color w:val="auto"/>
        </w:rPr>
        <w:t>to enable it lawfully to enter into, exercise its rights and comply with its obligations in the Transaction Documents;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15.5.2</w:t>
      </w:r>
      <w:r>
        <w:rPr>
          <w:sz w:val="20"/>
          <w:szCs w:val="20"/>
          <w:color w:val="auto"/>
        </w:rPr>
        <w:tab/>
      </w:r>
      <w:r>
        <w:rPr>
          <w:rFonts w:ascii="Times New Roman" w:cs="Times New Roman" w:eastAsia="Times New Roman" w:hAnsi="Times New Roman"/>
          <w:sz w:val="14"/>
          <w:szCs w:val="14"/>
          <w:color w:val="auto"/>
        </w:rPr>
        <w:t>to make the Transaction Documents to which it they are parties admissible in evidence in its jurisdiction of incorporation; and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15.5.3</w:t>
      </w:r>
      <w:r>
        <w:rPr>
          <w:sz w:val="20"/>
          <w:szCs w:val="20"/>
          <w:color w:val="auto"/>
        </w:rPr>
        <w:tab/>
      </w:r>
      <w:r>
        <w:rPr>
          <w:rFonts w:ascii="Times New Roman" w:cs="Times New Roman" w:eastAsia="Times New Roman" w:hAnsi="Times New Roman"/>
          <w:sz w:val="14"/>
          <w:szCs w:val="14"/>
          <w:color w:val="auto"/>
        </w:rPr>
        <w:t>for it to carry on its business,</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have been obtained or effected and are in full force and effect.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15.6</w:t>
      </w:r>
      <w:r>
        <w:rPr>
          <w:sz w:val="20"/>
          <w:szCs w:val="20"/>
          <w:color w:val="auto"/>
        </w:rPr>
        <w:tab/>
      </w:r>
      <w:r>
        <w:rPr>
          <w:rFonts w:ascii="Times New Roman" w:cs="Times New Roman" w:eastAsia="Times New Roman" w:hAnsi="Times New Roman"/>
          <w:sz w:val="14"/>
          <w:szCs w:val="14"/>
          <w:b w:val="1"/>
          <w:bCs w:val="1"/>
          <w:color w:val="auto"/>
        </w:rPr>
        <w:t>Deduction of Tax</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at the Signature Date, it is not required to make any deduction for or on account of Tax from any payment it may make under any Finance Document.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15.7</w:t>
      </w:r>
      <w:r>
        <w:rPr>
          <w:sz w:val="20"/>
          <w:szCs w:val="20"/>
          <w:color w:val="auto"/>
        </w:rPr>
        <w:tab/>
      </w:r>
      <w:r>
        <w:rPr>
          <w:rFonts w:ascii="Times New Roman" w:cs="Times New Roman" w:eastAsia="Times New Roman" w:hAnsi="Times New Roman"/>
          <w:sz w:val="14"/>
          <w:szCs w:val="14"/>
          <w:b w:val="1"/>
          <w:bCs w:val="1"/>
          <w:color w:val="auto"/>
        </w:rPr>
        <w:t>No filling or stamp taxes</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5" w:name="page196"/>
    <w:bookmarkEnd w:id="195"/>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4"/>
          <w:szCs w:val="14"/>
          <w:b w:val="1"/>
          <w:bCs w:val="1"/>
          <w:color w:val="auto"/>
        </w:rPr>
        <w:t>No default</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15.8.1</w:t>
      </w:r>
      <w:r>
        <w:rPr>
          <w:sz w:val="20"/>
          <w:szCs w:val="20"/>
          <w:color w:val="auto"/>
        </w:rPr>
        <w:tab/>
      </w:r>
      <w:r>
        <w:rPr>
          <w:rFonts w:ascii="Times New Roman" w:cs="Times New Roman" w:eastAsia="Times New Roman" w:hAnsi="Times New Roman"/>
          <w:sz w:val="14"/>
          <w:szCs w:val="14"/>
          <w:color w:val="auto"/>
        </w:rPr>
        <w:t>No Default is continuing or is reasonably likely to result from the entry into of, or the performance of any transaction contemplated by, the Finance Documents.</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15.8.2</w:t>
      </w:r>
      <w:r>
        <w:rPr>
          <w:sz w:val="20"/>
          <w:szCs w:val="20"/>
          <w:color w:val="auto"/>
        </w:rPr>
        <w:tab/>
      </w:r>
      <w:r>
        <w:rPr>
          <w:rFonts w:ascii="Times New Roman" w:cs="Times New Roman" w:eastAsia="Times New Roman" w:hAnsi="Times New Roman"/>
          <w:sz w:val="14"/>
          <w:szCs w:val="14"/>
          <w:color w:val="auto"/>
        </w:rPr>
        <w:t>No other event or circumstance is outstanding which constitutes a default under any other agreement or instrument which is binding on it or any of its Subsidiaries or to which its assets are subject which is or is reasonably likely to have a Material Adverse Effect.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15.9</w:t>
      </w:r>
      <w:r>
        <w:rPr>
          <w:sz w:val="20"/>
          <w:szCs w:val="20"/>
          <w:color w:val="auto"/>
        </w:rPr>
        <w:tab/>
      </w:r>
      <w:r>
        <w:rPr>
          <w:rFonts w:ascii="Times New Roman" w:cs="Times New Roman" w:eastAsia="Times New Roman" w:hAnsi="Times New Roman"/>
          <w:sz w:val="14"/>
          <w:szCs w:val="14"/>
          <w:b w:val="1"/>
          <w:bCs w:val="1"/>
          <w:color w:val="auto"/>
        </w:rPr>
        <w:t>No Borrowing, Guarantee, Security or similar limit exceeded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borrowing, guarantee, security or similar limit applicable on it is exceeded by borrowing or guaranteeing or securing, as appropriate, the Commitment.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15.10</w:t>
      </w:r>
      <w:r>
        <w:rPr>
          <w:sz w:val="20"/>
          <w:szCs w:val="20"/>
          <w:color w:val="auto"/>
        </w:rPr>
        <w:tab/>
      </w:r>
      <w:r>
        <w:rPr>
          <w:rFonts w:ascii="Times New Roman" w:cs="Times New Roman" w:eastAsia="Times New Roman" w:hAnsi="Times New Roman"/>
          <w:sz w:val="14"/>
          <w:szCs w:val="14"/>
          <w:b w:val="1"/>
          <w:bCs w:val="1"/>
          <w:color w:val="auto"/>
        </w:rPr>
        <w:t>Copy Documents</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Each constitutional document and resolution relating to it specified in Annexure A (</w:t>
      </w:r>
      <w:r>
        <w:rPr>
          <w:rFonts w:ascii="Times New Roman" w:cs="Times New Roman" w:eastAsia="Times New Roman" w:hAnsi="Times New Roman"/>
          <w:sz w:val="14"/>
          <w:szCs w:val="14"/>
          <w:i w:val="1"/>
          <w:iCs w:val="1"/>
          <w:color w:val="auto"/>
        </w:rPr>
        <w:t>Advance Conditions</w:t>
      </w:r>
      <w:r>
        <w:rPr>
          <w:rFonts w:ascii="Times New Roman" w:cs="Times New Roman" w:eastAsia="Times New Roman" w:hAnsi="Times New Roman"/>
          <w:sz w:val="14"/>
          <w:szCs w:val="14"/>
          <w:color w:val="auto"/>
        </w:rPr>
        <w:t>) is correct, complete and in full force and effect and has not been amended or superseded.</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15.11</w:t>
      </w:r>
      <w:r>
        <w:rPr>
          <w:sz w:val="20"/>
          <w:szCs w:val="20"/>
          <w:color w:val="auto"/>
        </w:rPr>
        <w:tab/>
      </w:r>
      <w:r>
        <w:rPr>
          <w:rFonts w:ascii="Times New Roman" w:cs="Times New Roman" w:eastAsia="Times New Roman" w:hAnsi="Times New Roman"/>
          <w:sz w:val="14"/>
          <w:szCs w:val="14"/>
          <w:b w:val="1"/>
          <w:bCs w:val="1"/>
          <w:color w:val="auto"/>
        </w:rPr>
        <w:t>No misleading information</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All information supplied by it to the Lender is true, complete and accurate in all material respects as at the date it was given or is stated to be given and is not misleading in any material respect.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15.12</w:t>
      </w:r>
      <w:r>
        <w:rPr>
          <w:sz w:val="20"/>
          <w:szCs w:val="20"/>
          <w:color w:val="auto"/>
        </w:rPr>
        <w:tab/>
      </w:r>
      <w:r>
        <w:rPr>
          <w:rFonts w:ascii="Times New Roman" w:cs="Times New Roman" w:eastAsia="Times New Roman" w:hAnsi="Times New Roman"/>
          <w:sz w:val="14"/>
          <w:szCs w:val="14"/>
          <w:b w:val="1"/>
          <w:bCs w:val="1"/>
          <w:color w:val="auto"/>
        </w:rPr>
        <w:t>Financial statements</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The most recent financial statements delivered pursuant to clause 16.1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have been prepared in accordance with IFRS and give a true and fair view of (if audited) or fairly present (if unaudited) it’s consolidates financial condition as at the end of, and consolidated results of operations for, the period to which they relate.</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15.13</w:t>
      </w:r>
      <w:r>
        <w:rPr>
          <w:sz w:val="20"/>
          <w:szCs w:val="20"/>
          <w:color w:val="auto"/>
        </w:rPr>
        <w:tab/>
      </w:r>
      <w:r>
        <w:rPr>
          <w:rFonts w:ascii="Times New Roman" w:cs="Times New Roman" w:eastAsia="Times New Roman" w:hAnsi="Times New Roman"/>
          <w:sz w:val="14"/>
          <w:szCs w:val="14"/>
          <w:b w:val="1"/>
          <w:bCs w:val="1"/>
          <w:color w:val="auto"/>
        </w:rPr>
        <w:t>Security Interest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15.13.1</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Subject in each case to any registration specifically required by law, and subject to any general principles of law as at the Signature Date limiting its obligations:</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15.13.1.1</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each Security Document validly creates the security interest which is expressed to be created by that Security Document; and</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15.13.1.2</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Transaction Security created by each Security Document:</w:t>
            </w:r>
          </w:p>
        </w:tc>
      </w:tr>
      <w:tr>
        <w:trPr>
          <w:trHeight w:val="518"/>
        </w:trPr>
        <w:tc>
          <w:tcPr>
            <w:tcW w:w="66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jc w:val="right"/>
              <w:ind w:right="5488"/>
              <w:spacing w:after="0"/>
              <w:rPr>
                <w:sz w:val="20"/>
                <w:szCs w:val="20"/>
                <w:color w:val="auto"/>
              </w:rPr>
            </w:pPr>
            <w:r>
              <w:rPr>
                <w:rFonts w:ascii="Times New Roman" w:cs="Times New Roman" w:eastAsia="Times New Roman" w:hAnsi="Times New Roman"/>
                <w:sz w:val="14"/>
                <w:szCs w:val="14"/>
                <w:color w:val="auto"/>
              </w:rPr>
              <w:t>32</w:t>
            </w:r>
          </w:p>
        </w:tc>
      </w:tr>
    </w:tbl>
    <w:p>
      <w:pPr>
        <w:sectPr>
          <w:pgSz w:w="11900" w:h="16838" w:orient="portrait"/>
          <w:cols w:equalWidth="0" w:num="1">
            <w:col w:w="11280"/>
          </w:cols>
          <w:pgMar w:left="300" w:top="295" w:right="319" w:bottom="1440" w:gutter="0" w:footer="0" w:header="0"/>
        </w:sectPr>
      </w:pPr>
    </w:p>
    <w:bookmarkStart w:id="196" w:name="page197"/>
    <w:bookmarkEnd w:id="196"/>
    <w:p>
      <w:pPr>
        <w:ind w:left="1040" w:hanging="1030"/>
        <w:spacing w:after="0" w:line="292" w:lineRule="auto"/>
        <w:tabs>
          <w:tab w:leader="none" w:pos="1020" w:val="left"/>
        </w:tabs>
        <w:rPr>
          <w:sz w:val="20"/>
          <w:szCs w:val="20"/>
          <w:color w:val="auto"/>
        </w:rPr>
      </w:pPr>
      <w:r>
        <w:rPr>
          <w:rFonts w:ascii="Times New Roman" w:cs="Times New Roman" w:eastAsia="Times New Roman" w:hAnsi="Times New Roman"/>
          <w:sz w:val="14"/>
          <w:szCs w:val="14"/>
          <w:color w:val="auto"/>
        </w:rPr>
        <w:t>15.13.1.2.1</w:t>
      </w:r>
      <w:r>
        <w:rPr>
          <w:sz w:val="20"/>
          <w:szCs w:val="20"/>
          <w:color w:val="auto"/>
        </w:rPr>
        <w:tab/>
      </w:r>
      <w:r>
        <w:rPr>
          <w:rFonts w:ascii="Times New Roman" w:cs="Times New Roman" w:eastAsia="Times New Roman" w:hAnsi="Times New Roman"/>
          <w:sz w:val="14"/>
          <w:szCs w:val="14"/>
          <w:color w:val="auto"/>
        </w:rPr>
        <w:t>ranks and will rank, in respect of all other security interests granted or to be granted by the Borrower in the order of priority it is expressed to rank in the relevant Security Document; and</w:t>
      </w:r>
    </w:p>
    <w:p>
      <w:pPr>
        <w:spacing w:after="0" w:line="1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15.13.1.2.2</w:t>
      </w:r>
      <w:r>
        <w:rPr>
          <w:sz w:val="20"/>
          <w:szCs w:val="20"/>
          <w:color w:val="auto"/>
        </w:rPr>
        <w:tab/>
      </w:r>
      <w:r>
        <w:rPr>
          <w:rFonts w:ascii="Times New Roman" w:cs="Times New Roman" w:eastAsia="Times New Roman" w:hAnsi="Times New Roman"/>
          <w:sz w:val="14"/>
          <w:szCs w:val="14"/>
          <w:color w:val="auto"/>
        </w:rPr>
        <w:t>is not subject to avoidance in the event of any winding-up, business rescue proceedings, dissolution or administration involving it.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15.13.2</w:t>
      </w:r>
      <w:r>
        <w:rPr>
          <w:sz w:val="20"/>
          <w:szCs w:val="20"/>
          <w:color w:val="auto"/>
        </w:rPr>
        <w:tab/>
      </w:r>
      <w:r>
        <w:rPr>
          <w:rFonts w:ascii="Times New Roman" w:cs="Times New Roman" w:eastAsia="Times New Roman" w:hAnsi="Times New Roman"/>
          <w:sz w:val="14"/>
          <w:szCs w:val="14"/>
          <w:color w:val="auto"/>
        </w:rPr>
        <w:t>It is the sole, absolute, legal and, where applicable, beneficial owner of all assets made subject to the Transaction Security created by each Security Document.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15.14</w:t>
      </w:r>
      <w:r>
        <w:rPr>
          <w:sz w:val="20"/>
          <w:szCs w:val="20"/>
          <w:color w:val="auto"/>
        </w:rPr>
        <w:tab/>
      </w:r>
      <w:r>
        <w:rPr>
          <w:rFonts w:ascii="Times New Roman" w:cs="Times New Roman" w:eastAsia="Times New Roman" w:hAnsi="Times New Roman"/>
          <w:sz w:val="14"/>
          <w:szCs w:val="14"/>
          <w:b w:val="1"/>
          <w:bCs w:val="1"/>
          <w:color w:val="auto"/>
        </w:rPr>
        <w:t>No Sanctioned Entity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It is not a Sanctioned Entity, nor does it appear on a Sanctions List.</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15.15</w:t>
      </w:r>
      <w:r>
        <w:rPr>
          <w:sz w:val="20"/>
          <w:szCs w:val="20"/>
          <w:color w:val="auto"/>
        </w:rPr>
        <w:tab/>
      </w:r>
      <w:r>
        <w:rPr>
          <w:rFonts w:ascii="Times New Roman" w:cs="Times New Roman" w:eastAsia="Times New Roman" w:hAnsi="Times New Roman"/>
          <w:sz w:val="14"/>
          <w:szCs w:val="14"/>
          <w:b w:val="1"/>
          <w:bCs w:val="1"/>
          <w:i w:val="1"/>
          <w:iCs w:val="1"/>
          <w:color w:val="auto"/>
        </w:rPr>
        <w:t xml:space="preserve">Pari passu </w:t>
      </w:r>
      <w:r>
        <w:rPr>
          <w:rFonts w:ascii="Times New Roman" w:cs="Times New Roman" w:eastAsia="Times New Roman" w:hAnsi="Times New Roman"/>
          <w:sz w:val="14"/>
          <w:szCs w:val="14"/>
          <w:b w:val="1"/>
          <w:bCs w:val="1"/>
          <w:color w:val="auto"/>
        </w:rPr>
        <w:t>ranking</w:t>
      </w:r>
    </w:p>
    <w:p>
      <w:pPr>
        <w:spacing w:after="0" w:line="185"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 xml:space="preserve">Its payment obligations under the Finance Documents rank at least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claims of all its other unsecured and unsubordinated creditors, except for obligations mandatorily preferred by law applying to companies generally.</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15.16</w:t>
      </w:r>
      <w:r>
        <w:rPr>
          <w:sz w:val="20"/>
          <w:szCs w:val="20"/>
          <w:color w:val="auto"/>
        </w:rPr>
        <w:tab/>
      </w:r>
      <w:r>
        <w:rPr>
          <w:rFonts w:ascii="Times New Roman" w:cs="Times New Roman" w:eastAsia="Times New Roman" w:hAnsi="Times New Roman"/>
          <w:sz w:val="14"/>
          <w:szCs w:val="14"/>
          <w:b w:val="1"/>
          <w:bCs w:val="1"/>
          <w:color w:val="auto"/>
        </w:rPr>
        <w:t>No proceedings pending or threatened</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No litigation, arbitration or administrative proceedings of or before any court, arbitral body or agency which, if adversely determined, is or is reasonably likely to have a Material Adverse Effect have (to the best of its knowledge and belief) been started or threatened against it.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15.17</w:t>
      </w:r>
      <w:r>
        <w:rPr>
          <w:sz w:val="20"/>
          <w:szCs w:val="20"/>
          <w:color w:val="auto"/>
        </w:rPr>
        <w:tab/>
      </w:r>
      <w:r>
        <w:rPr>
          <w:rFonts w:ascii="Times New Roman" w:cs="Times New Roman" w:eastAsia="Times New Roman" w:hAnsi="Times New Roman"/>
          <w:sz w:val="14"/>
          <w:szCs w:val="14"/>
          <w:b w:val="1"/>
          <w:bCs w:val="1"/>
          <w:color w:val="auto"/>
        </w:rPr>
        <w:t>Insolvency and Financial Distress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15.17.1</w:t>
            </w:r>
          </w:p>
        </w:tc>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15.17.1.1</w:t>
            </w:r>
          </w:p>
        </w:tc>
        <w:tc>
          <w:tcPr>
            <w:tcW w:w="7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corporate action, legal proceeding, business rescue proceeding or other procedure or step described in clause 20.8 (</w:t>
            </w:r>
            <w:r>
              <w:rPr>
                <w:rFonts w:ascii="Times New Roman" w:cs="Times New Roman" w:eastAsia="Times New Roman" w:hAnsi="Times New Roman"/>
                <w:sz w:val="14"/>
                <w:szCs w:val="14"/>
                <w:i w:val="1"/>
                <w:iCs w:val="1"/>
                <w:color w:val="auto"/>
              </w:rPr>
              <w:t>Insolvency</w:t>
            </w:r>
            <w:r>
              <w:rPr>
                <w:rFonts w:ascii="Times New Roman" w:cs="Times New Roman" w:eastAsia="Times New Roman" w:hAnsi="Times New Roman"/>
                <w:sz w:val="14"/>
                <w:szCs w:val="14"/>
                <w:color w:val="auto"/>
              </w:rPr>
              <w:t>); or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15.17.1.2</w:t>
            </w:r>
          </w:p>
        </w:tc>
        <w:tc>
          <w:tcPr>
            <w:tcW w:w="7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creditors’ process described in clause 20.9 (</w:t>
            </w:r>
            <w:r>
              <w:rPr>
                <w:rFonts w:ascii="Times New Roman" w:cs="Times New Roman" w:eastAsia="Times New Roman" w:hAnsi="Times New Roman"/>
                <w:sz w:val="14"/>
                <w:szCs w:val="14"/>
                <w:i w:val="1"/>
                <w:iCs w:val="1"/>
                <w:color w:val="auto"/>
              </w:rPr>
              <w:t>Creditors’ process</w:t>
            </w:r>
            <w:r>
              <w:rPr>
                <w:rFonts w:ascii="Times New Roman" w:cs="Times New Roman" w:eastAsia="Times New Roman" w:hAnsi="Times New Roman"/>
                <w:sz w:val="14"/>
                <w:szCs w:val="14"/>
                <w:color w:val="auto"/>
              </w:rPr>
              <w:t>),</w:t>
            </w:r>
          </w:p>
        </w:tc>
      </w:tr>
      <w:tr>
        <w:trPr>
          <w:trHeight w:val="344"/>
        </w:trPr>
        <w:tc>
          <w:tcPr>
            <w:tcW w:w="660" w:type="dxa"/>
            <w:vAlign w:val="bottom"/>
          </w:tcPr>
          <w:p>
            <w:pPr>
              <w:spacing w:after="0"/>
              <w:rPr>
                <w:sz w:val="24"/>
                <w:szCs w:val="24"/>
                <w:color w:val="auto"/>
              </w:rPr>
            </w:pPr>
          </w:p>
        </w:tc>
        <w:tc>
          <w:tcPr>
            <w:tcW w:w="7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has been taken or threatened in relation to it; and none of the circumstances described in clause 20.8 (</w:t>
            </w:r>
            <w:r>
              <w:rPr>
                <w:rFonts w:ascii="Times New Roman" w:cs="Times New Roman" w:eastAsia="Times New Roman" w:hAnsi="Times New Roman"/>
                <w:sz w:val="14"/>
                <w:szCs w:val="14"/>
                <w:i w:val="1"/>
                <w:iCs w:val="1"/>
                <w:color w:val="auto"/>
              </w:rPr>
              <w:t>Insolvency</w:t>
            </w:r>
            <w:r>
              <w:rPr>
                <w:rFonts w:ascii="Times New Roman" w:cs="Times New Roman" w:eastAsia="Times New Roman" w:hAnsi="Times New Roman"/>
                <w:sz w:val="14"/>
                <w:szCs w:val="14"/>
                <w:color w:val="auto"/>
              </w:rPr>
              <w:t>) applies to it.</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15.17.2</w:t>
            </w:r>
          </w:p>
        </w:tc>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 is not ’</w:t>
            </w:r>
            <w:r>
              <w:rPr>
                <w:rFonts w:ascii="Times New Roman" w:cs="Times New Roman" w:eastAsia="Times New Roman" w:hAnsi="Times New Roman"/>
                <w:sz w:val="14"/>
                <w:szCs w:val="14"/>
                <w:i w:val="1"/>
                <w:iCs w:val="1"/>
                <w:color w:val="auto"/>
              </w:rPr>
              <w:t>Financially Distressed</w:t>
            </w:r>
            <w:r>
              <w:rPr>
                <w:rFonts w:ascii="Times New Roman" w:cs="Times New Roman" w:eastAsia="Times New Roman" w:hAnsi="Times New Roman"/>
                <w:sz w:val="14"/>
                <w:szCs w:val="14"/>
                <w:color w:val="auto"/>
              </w:rPr>
              <w:t>’ (as defined in the Companies Act).</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15.18</w:t>
      </w:r>
      <w:r>
        <w:rPr>
          <w:sz w:val="20"/>
          <w:szCs w:val="20"/>
          <w:color w:val="auto"/>
        </w:rPr>
        <w:tab/>
      </w:r>
      <w:r>
        <w:rPr>
          <w:rFonts w:ascii="Times New Roman" w:cs="Times New Roman" w:eastAsia="Times New Roman" w:hAnsi="Times New Roman"/>
          <w:sz w:val="14"/>
          <w:szCs w:val="14"/>
          <w:b w:val="1"/>
          <w:bCs w:val="1"/>
          <w:color w:val="auto"/>
        </w:rPr>
        <w:t>No breach of laws</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15.18.1</w:t>
      </w:r>
      <w:r>
        <w:rPr>
          <w:sz w:val="20"/>
          <w:szCs w:val="20"/>
          <w:color w:val="auto"/>
        </w:rPr>
        <w:tab/>
      </w:r>
      <w:r>
        <w:rPr>
          <w:rFonts w:ascii="Times New Roman" w:cs="Times New Roman" w:eastAsia="Times New Roman" w:hAnsi="Times New Roman"/>
          <w:sz w:val="14"/>
          <w:szCs w:val="14"/>
          <w:color w:val="auto"/>
        </w:rPr>
        <w:t>It has not breached any law or regulation which breach has or is reasonably likely to have a Material Adverse Effect.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197" w:name="page198"/>
    <w:bookmarkEnd w:id="197"/>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15.18.2</w:t>
      </w:r>
      <w:r>
        <w:rPr>
          <w:sz w:val="20"/>
          <w:szCs w:val="20"/>
          <w:color w:val="auto"/>
        </w:rPr>
        <w:tab/>
      </w:r>
      <w:r>
        <w:rPr>
          <w:rFonts w:ascii="Times New Roman" w:cs="Times New Roman" w:eastAsia="Times New Roman" w:hAnsi="Times New Roman"/>
          <w:sz w:val="14"/>
          <w:szCs w:val="14"/>
          <w:color w:val="auto"/>
        </w:rPr>
        <w:t>No labour disputes are current or, to the best of its knowledge and belief (having made due and careful enquiry), threatened against it which has or is reasonably likely to have a Material Adverse Effect.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15.19</w:t>
      </w:r>
      <w:r>
        <w:rPr>
          <w:sz w:val="20"/>
          <w:szCs w:val="20"/>
          <w:color w:val="auto"/>
        </w:rPr>
        <w:tab/>
      </w:r>
      <w:r>
        <w:rPr>
          <w:rFonts w:ascii="Times New Roman" w:cs="Times New Roman" w:eastAsia="Times New Roman" w:hAnsi="Times New Roman"/>
          <w:sz w:val="14"/>
          <w:szCs w:val="14"/>
          <w:b w:val="1"/>
          <w:bCs w:val="1"/>
          <w:color w:val="auto"/>
        </w:rPr>
        <w:t>Environmental laws</w:t>
      </w:r>
    </w:p>
    <w:p>
      <w:pPr>
        <w:spacing w:after="0" w:line="183"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15.19.1</w:t>
      </w:r>
      <w:r>
        <w:rPr>
          <w:sz w:val="20"/>
          <w:szCs w:val="20"/>
          <w:color w:val="auto"/>
        </w:rPr>
        <w:tab/>
      </w:r>
      <w:r>
        <w:rPr>
          <w:rFonts w:ascii="Times New Roman" w:cs="Times New Roman" w:eastAsia="Times New Roman" w:hAnsi="Times New Roman"/>
          <w:sz w:val="14"/>
          <w:szCs w:val="14"/>
          <w:color w:val="auto"/>
        </w:rPr>
        <w:t>It is in compliance with clause 18.3 (</w:t>
      </w:r>
      <w:r>
        <w:rPr>
          <w:rFonts w:ascii="Times New Roman" w:cs="Times New Roman" w:eastAsia="Times New Roman" w:hAnsi="Times New Roman"/>
          <w:sz w:val="14"/>
          <w:szCs w:val="14"/>
          <w:i w:val="1"/>
          <w:iCs w:val="1"/>
          <w:color w:val="auto"/>
        </w:rPr>
        <w:t>Environmental compliance</w:t>
      </w:r>
      <w:r>
        <w:rPr>
          <w:rFonts w:ascii="Times New Roman" w:cs="Times New Roman" w:eastAsia="Times New Roman" w:hAnsi="Times New Roman"/>
          <w:sz w:val="14"/>
          <w:szCs w:val="14"/>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pacing w:after="0" w:line="122"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15.19.2</w:t>
      </w:r>
      <w:r>
        <w:rPr>
          <w:sz w:val="20"/>
          <w:szCs w:val="20"/>
          <w:color w:val="auto"/>
        </w:rPr>
        <w:tab/>
      </w:r>
      <w:r>
        <w:rPr>
          <w:rFonts w:ascii="Times New Roman" w:cs="Times New Roman" w:eastAsia="Times New Roman" w:hAnsi="Times New Roman"/>
          <w:sz w:val="14"/>
          <w:szCs w:val="14"/>
          <w:color w:val="auto"/>
        </w:rPr>
        <w:t>No Environmental Claim has commenced or (to the best of its knowledge and belief (having made due and careful enquiry)) is threatened against it where that claim is reasonably likely to be adversely determined or, if adversely determined against it, has or is reasonably likely to have a Material Adverse Effect.</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15.19.3</w:t>
      </w:r>
      <w:r>
        <w:rPr>
          <w:sz w:val="20"/>
          <w:szCs w:val="20"/>
          <w:color w:val="auto"/>
        </w:rPr>
        <w:tab/>
      </w:r>
      <w:r>
        <w:rPr>
          <w:rFonts w:ascii="Times New Roman" w:cs="Times New Roman" w:eastAsia="Times New Roman" w:hAnsi="Times New Roman"/>
          <w:sz w:val="14"/>
          <w:szCs w:val="14"/>
          <w:color w:val="auto"/>
        </w:rPr>
        <w:t>The cost to it of compliance with Environmental Laws (including Environmental Permits) is adequately provided for.</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15.20</w:t>
      </w:r>
      <w:r>
        <w:rPr>
          <w:sz w:val="20"/>
          <w:szCs w:val="20"/>
          <w:color w:val="auto"/>
        </w:rPr>
        <w:tab/>
      </w:r>
      <w:r>
        <w:rPr>
          <w:rFonts w:ascii="Times New Roman" w:cs="Times New Roman" w:eastAsia="Times New Roman" w:hAnsi="Times New Roman"/>
          <w:sz w:val="14"/>
          <w:szCs w:val="14"/>
          <w:b w:val="1"/>
          <w:bCs w:val="1"/>
          <w:color w:val="auto"/>
        </w:rPr>
        <w:t>Taxation</w:t>
      </w:r>
    </w:p>
    <w:p>
      <w:pPr>
        <w:spacing w:after="0" w:line="185"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15.20.1</w:t>
      </w:r>
      <w:r>
        <w:rPr>
          <w:sz w:val="20"/>
          <w:szCs w:val="20"/>
          <w:color w:val="auto"/>
        </w:rPr>
        <w:tab/>
      </w:r>
      <w:r>
        <w:rPr>
          <w:rFonts w:ascii="Times New Roman" w:cs="Times New Roman" w:eastAsia="Times New Roman" w:hAnsi="Times New Roman"/>
          <w:sz w:val="14"/>
          <w:szCs w:val="14"/>
          <w:color w:val="auto"/>
        </w:rPr>
        <w:t>It is not materially overdue in the filing of any Tax returns and it is not overdue in the payment of any amount in respect of Tax, other than in respect of any Tax which is being disputed by it.</w:t>
      </w:r>
    </w:p>
    <w:p>
      <w:pPr>
        <w:spacing w:after="0" w:line="124"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15.20.2</w:t>
      </w:r>
      <w:r>
        <w:rPr>
          <w:sz w:val="20"/>
          <w:szCs w:val="20"/>
          <w:color w:val="auto"/>
        </w:rPr>
        <w:tab/>
      </w:r>
      <w:r>
        <w:rPr>
          <w:rFonts w:ascii="Times New Roman" w:cs="Times New Roman" w:eastAsia="Times New Roman" w:hAnsi="Times New Roman"/>
          <w:sz w:val="14"/>
          <w:szCs w:val="14"/>
          <w:color w:val="auto"/>
        </w:rPr>
        <w:t>To the best of its knowledge and belief (having made due and careful enquiry), no claims or investigations are being, or are reasonably likely to be, made or conducted against it with respect to Taxes.</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15.20.3</w:t>
      </w:r>
      <w:r>
        <w:rPr>
          <w:sz w:val="20"/>
          <w:szCs w:val="20"/>
          <w:color w:val="auto"/>
        </w:rPr>
        <w:tab/>
      </w:r>
      <w:r>
        <w:rPr>
          <w:rFonts w:ascii="Times New Roman" w:cs="Times New Roman" w:eastAsia="Times New Roman" w:hAnsi="Times New Roman"/>
          <w:sz w:val="14"/>
          <w:szCs w:val="14"/>
          <w:color w:val="auto"/>
        </w:rPr>
        <w:t>It is resident for Tax purposes only in the jurisdiction of its incorporation and/or registration.</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15.21</w:t>
      </w:r>
      <w:r>
        <w:rPr>
          <w:sz w:val="20"/>
          <w:szCs w:val="20"/>
          <w:color w:val="auto"/>
        </w:rPr>
        <w:tab/>
      </w:r>
      <w:r>
        <w:rPr>
          <w:rFonts w:ascii="Times New Roman" w:cs="Times New Roman" w:eastAsia="Times New Roman" w:hAnsi="Times New Roman"/>
          <w:sz w:val="13"/>
          <w:szCs w:val="13"/>
          <w:b w:val="1"/>
          <w:bCs w:val="1"/>
          <w:color w:val="auto"/>
        </w:rPr>
        <w:t>Valuations</w:t>
      </w:r>
    </w:p>
    <w:p>
      <w:pPr>
        <w:spacing w:after="0" w:line="185"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15.21.1</w:t>
      </w:r>
      <w:r>
        <w:rPr>
          <w:sz w:val="20"/>
          <w:szCs w:val="20"/>
          <w:color w:val="auto"/>
        </w:rPr>
        <w:tab/>
      </w:r>
      <w:r>
        <w:rPr>
          <w:rFonts w:ascii="Times New Roman" w:cs="Times New Roman" w:eastAsia="Times New Roman" w:hAnsi="Times New Roman"/>
          <w:sz w:val="14"/>
          <w:szCs w:val="14"/>
          <w:color w:val="auto"/>
        </w:rPr>
        <w:t>All information supplied by it, or on its behalf, to the Lender or its representatives for the purposes of valuing the Property was true and accurate in all material respects as at its date or (if appropriate) as at the date (if any) at which it is stated to be given.</w:t>
      </w:r>
    </w:p>
    <w:p>
      <w:pPr>
        <w:spacing w:after="0" w:line="124"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15.21.2</w:t>
      </w:r>
      <w:r>
        <w:rPr>
          <w:sz w:val="20"/>
          <w:szCs w:val="20"/>
          <w:color w:val="auto"/>
        </w:rPr>
        <w:tab/>
      </w:r>
      <w:r>
        <w:rPr>
          <w:rFonts w:ascii="Times New Roman" w:cs="Times New Roman" w:eastAsia="Times New Roman" w:hAnsi="Times New Roman"/>
          <w:sz w:val="14"/>
          <w:szCs w:val="14"/>
          <w:color w:val="auto"/>
        </w:rPr>
        <w:t>Any financial projections contained in the information referred to in clause 15.21.1 above have been prepared as at their date, in good faith on the basis of recent historical information and assumptions believed by it to be fair and reasonable.</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15.21.3</w:t>
      </w:r>
      <w:r>
        <w:rPr>
          <w:sz w:val="20"/>
          <w:szCs w:val="20"/>
          <w:color w:val="auto"/>
        </w:rPr>
        <w:tab/>
      </w:r>
      <w:r>
        <w:rPr>
          <w:rFonts w:ascii="Times New Roman" w:cs="Times New Roman" w:eastAsia="Times New Roman" w:hAnsi="Times New Roman"/>
          <w:sz w:val="14"/>
          <w:szCs w:val="14"/>
          <w:color w:val="auto"/>
        </w:rPr>
        <w:t>It has not omitted to supply any information which, if disclosed, would materially adversely affect any Valuation.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198" w:name="page199"/>
    <w:bookmarkEnd w:id="198"/>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15.21.4</w:t>
      </w:r>
      <w:r>
        <w:rPr>
          <w:sz w:val="20"/>
          <w:szCs w:val="20"/>
          <w:color w:val="auto"/>
        </w:rPr>
        <w:tab/>
      </w:r>
      <w:r>
        <w:rPr>
          <w:rFonts w:ascii="Times New Roman" w:cs="Times New Roman" w:eastAsia="Times New Roman" w:hAnsi="Times New Roman"/>
          <w:sz w:val="14"/>
          <w:szCs w:val="14"/>
          <w:color w:val="auto"/>
        </w:rPr>
        <w:t>Nothing has occurred since the date the information referred to in clause 15.21.1 was supplied and on each Fulfilment Date which, if it had occurred prior to a Valuation, would adversely affect that Valuation.</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15.22</w:t>
      </w:r>
      <w:r>
        <w:rPr>
          <w:sz w:val="20"/>
          <w:szCs w:val="20"/>
          <w:color w:val="auto"/>
        </w:rPr>
        <w:tab/>
      </w:r>
      <w:r>
        <w:rPr>
          <w:rFonts w:ascii="Times New Roman" w:cs="Times New Roman" w:eastAsia="Times New Roman" w:hAnsi="Times New Roman"/>
          <w:sz w:val="14"/>
          <w:szCs w:val="14"/>
          <w:b w:val="1"/>
          <w:bCs w:val="1"/>
          <w:color w:val="auto"/>
        </w:rPr>
        <w:t>Title to the Property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15.22.1</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For the purposes of this clause 15.22, </w:t>
            </w:r>
            <w:r>
              <w:rPr>
                <w:rFonts w:ascii="Times New Roman" w:cs="Times New Roman" w:eastAsia="Times New Roman" w:hAnsi="Times New Roman"/>
                <w:sz w:val="14"/>
                <w:szCs w:val="14"/>
                <w:b w:val="1"/>
                <w:bCs w:val="1"/>
                <w:color w:val="auto"/>
              </w:rPr>
              <w:t>Relevant Date</w:t>
            </w:r>
            <w:r>
              <w:rPr>
                <w:rFonts w:ascii="Times New Roman" w:cs="Times New Roman" w:eastAsia="Times New Roman" w:hAnsi="Times New Roman"/>
                <w:sz w:val="14"/>
                <w:szCs w:val="14"/>
                <w:color w:val="auto"/>
              </w:rPr>
              <w:t xml:space="preserve"> means in relation to the Property, each Fulfilment Date and in respect of all additional properties over which mortgage bonds are</w:t>
            </w:r>
          </w:p>
        </w:tc>
      </w:tr>
      <w:tr>
        <w:trPr>
          <w:trHeight w:val="186"/>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registered in favour of the Lender as security for the Borrower’s obligations to the Lender, the date of registration of such mortgage bonds and at all times thereafter.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15.22.2</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at any Relevant Date, it will be the registered owner of the Property and has good and marketable title to the Property, in each case free from:</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15.22.2.1</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Security (other than the Transaction Security); and</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15.22.2.2</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restrictions and onerous covenants, except:</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15.22.2.3</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as expressly previously disclosed in writing to the Lender or endorsed on or contained in the title deeds of the Property; or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15.22.2.4</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expressly consented to by the Lender.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15.22.3</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On and with effect from any Relevant Date, except as expressly previously disclosed in writing to the Lender or endorsed on or contained in the title deeds of the Property:</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15.22.3.1</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 consents, licences and authorisations required by it in connection with its ownership of the Property have been obtained or effected (as appropriate) and are in full force and</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effect;</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15.22.3.2</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breach of any law or regulation (including in respect of any Tax) is outstanding which might reasonably be expected to adversely affect the value, saleability or use of the</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 or anyone of them;</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15.22.3.3</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 facilities services and utilities necessary for the enjoyment and use of the Property (including those necessary for the carrying on of business at the Property) are enjoyed by the</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15.22.3.4</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there is no covenant, agreement, stipulation, reservation, condition, interest, right or other matter materially adversely affecting the Property;</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15.22.3.5</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facility, service or utility necessary for the enjoyment and use of the Property or any one of them is provided on terms which materially conflict with or materially restrict the</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use of the Property or any one of them.</w:t>
            </w:r>
          </w:p>
        </w:tc>
      </w:tr>
      <w:tr>
        <w:trPr>
          <w:trHeight w:val="518"/>
        </w:trPr>
        <w:tc>
          <w:tcPr>
            <w:tcW w:w="66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ind w:left="4920"/>
              <w:spacing w:after="0"/>
              <w:rPr>
                <w:sz w:val="20"/>
                <w:szCs w:val="20"/>
                <w:color w:val="auto"/>
              </w:rPr>
            </w:pPr>
            <w:r>
              <w:rPr>
                <w:rFonts w:ascii="Times New Roman" w:cs="Times New Roman" w:eastAsia="Times New Roman" w:hAnsi="Times New Roman"/>
                <w:sz w:val="14"/>
                <w:szCs w:val="14"/>
                <w:color w:val="auto"/>
              </w:rPr>
              <w:t>35</w:t>
            </w:r>
          </w:p>
        </w:tc>
      </w:tr>
    </w:tbl>
    <w:p>
      <w:pPr>
        <w:sectPr>
          <w:pgSz w:w="11900" w:h="16838" w:orient="portrait"/>
          <w:cols w:equalWidth="0" w:num="1">
            <w:col w:w="11280"/>
          </w:cols>
          <w:pgMar w:left="300" w:top="297" w:right="319" w:bottom="1440" w:gutter="0" w:footer="0" w:header="0"/>
        </w:sectPr>
      </w:pPr>
    </w:p>
    <w:bookmarkStart w:id="199" w:name="page200"/>
    <w:bookmarkEnd w:id="199"/>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15.22.4</w:t>
      </w:r>
      <w:r>
        <w:rPr>
          <w:sz w:val="20"/>
          <w:szCs w:val="20"/>
          <w:color w:val="auto"/>
        </w:rPr>
        <w:tab/>
      </w:r>
      <w:r>
        <w:rPr>
          <w:rFonts w:ascii="Times New Roman" w:cs="Times New Roman" w:eastAsia="Times New Roman" w:hAnsi="Times New Roman"/>
          <w:sz w:val="14"/>
          <w:szCs w:val="14"/>
          <w:color w:val="auto"/>
        </w:rPr>
        <w:t>all deeds and documents necessary to show good and marketable title to the Property will from the Relevant Date be in possession of the Lender or held at the applicable Deeds Registry to the order of the Lender or its legal advisors.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15.23</w:t>
      </w:r>
      <w:r>
        <w:rPr>
          <w:sz w:val="20"/>
          <w:szCs w:val="20"/>
          <w:color w:val="auto"/>
        </w:rPr>
        <w:tab/>
      </w:r>
      <w:r>
        <w:rPr>
          <w:rFonts w:ascii="Times New Roman" w:cs="Times New Roman" w:eastAsia="Times New Roman" w:hAnsi="Times New Roman"/>
          <w:sz w:val="14"/>
          <w:szCs w:val="14"/>
          <w:b w:val="1"/>
          <w:bCs w:val="1"/>
          <w:color w:val="auto"/>
        </w:rPr>
        <w:t>No Restitution or Expropriation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15.23.1</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On the Signature Date and as at any Relevant Date:</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15.23.1.1</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it has not received any notice of any adverse claim by any person in respect of the ownership of the Property or any interest in it, nor has any acknowledgement been given to any</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person in respect of the Property;</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15.23.1.2</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 the best of its knowledge and belief, no person and no representative of any community has lodged a claim or averred that he is entitled to the restitution of the Property or any</w:t>
            </w:r>
          </w:p>
        </w:tc>
      </w:tr>
      <w:tr>
        <w:trPr>
          <w:trHeight w:val="172"/>
        </w:trPr>
        <w:tc>
          <w:tcPr>
            <w:tcW w:w="660" w:type="dxa"/>
            <w:vAlign w:val="bottom"/>
          </w:tcPr>
          <w:p>
            <w:pPr>
              <w:spacing w:after="0"/>
              <w:rPr>
                <w:sz w:val="14"/>
                <w:szCs w:val="14"/>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right in the Property under the Restitution of Land Rights Act, 1994 or any other applicable law or regulation, and the Borrower is not aware of any pending claim for restitution;</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and</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15.23.1.3</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it has not received any notice from any authority of an intention to expropriate the Property or any portions thereof, nor is it aware of any intention to expropriate the Property or</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portions thereof by any such authority.</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15.23.2</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 shall be obliged, at any time after the Signature Date, to notify the Lender of any claim or pending claim for restitution or any notice contemplated in clause 15.23.1 above as soon</w:t>
            </w:r>
          </w:p>
        </w:tc>
      </w:tr>
      <w:tr>
        <w:trPr>
          <w:trHeight w:val="186"/>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it receives or becomes aware of such claim or notice.</w:t>
            </w: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15.23.3</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 hereby indemnifies the Lender against any loss, damage or expense incurred by the Lender arising from any of the circumstances listed in this clause 15.23 (</w:t>
            </w:r>
            <w:r>
              <w:rPr>
                <w:rFonts w:ascii="Times New Roman" w:cs="Times New Roman" w:eastAsia="Times New Roman" w:hAnsi="Times New Roman"/>
                <w:sz w:val="14"/>
                <w:szCs w:val="14"/>
                <w:i w:val="1"/>
                <w:iCs w:val="1"/>
                <w:color w:val="auto"/>
              </w:rPr>
              <w:t>No Restitution or</w:t>
            </w:r>
          </w:p>
        </w:tc>
      </w:tr>
      <w:tr>
        <w:trPr>
          <w:trHeight w:val="188"/>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Expropriation</w:t>
            </w:r>
            <w:r>
              <w:rPr>
                <w:rFonts w:ascii="Times New Roman" w:cs="Times New Roman" w:eastAsia="Times New Roman" w:hAnsi="Times New Roman"/>
                <w:sz w:val="14"/>
                <w:szCs w:val="14"/>
                <w:color w:val="auto"/>
              </w:rPr>
              <w:t>).</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15.24</w:t>
      </w:r>
      <w:r>
        <w:rPr>
          <w:sz w:val="20"/>
          <w:szCs w:val="20"/>
          <w:color w:val="auto"/>
        </w:rPr>
        <w:tab/>
      </w:r>
      <w:r>
        <w:rPr>
          <w:rFonts w:ascii="Times New Roman" w:cs="Times New Roman" w:eastAsia="Times New Roman" w:hAnsi="Times New Roman"/>
          <w:sz w:val="14"/>
          <w:szCs w:val="14"/>
          <w:b w:val="1"/>
          <w:bCs w:val="1"/>
          <w:color w:val="auto"/>
        </w:rPr>
        <w:t>Insurances</w:t>
      </w:r>
    </w:p>
    <w:p>
      <w:pPr>
        <w:spacing w:after="0" w:line="183" w:lineRule="exact"/>
        <w:rPr>
          <w:sz w:val="20"/>
          <w:szCs w:val="20"/>
          <w:color w:val="auto"/>
        </w:rPr>
      </w:pPr>
    </w:p>
    <w:p>
      <w:pPr>
        <w:jc w:val="both"/>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15.24.1</w:t>
      </w:r>
      <w:r>
        <w:rPr>
          <w:sz w:val="20"/>
          <w:szCs w:val="20"/>
          <w:color w:val="auto"/>
        </w:rPr>
        <w:tab/>
      </w:r>
      <w:r>
        <w:rPr>
          <w:rFonts w:ascii="Times New Roman" w:cs="Times New Roman" w:eastAsia="Times New Roman" w:hAnsi="Times New Roman"/>
          <w:sz w:val="14"/>
          <w:szCs w:val="14"/>
          <w:color w:val="auto"/>
        </w:rPr>
        <w:t>Adequate insurance as required under clause 19.1 (</w:t>
      </w:r>
      <w:r>
        <w:rPr>
          <w:rFonts w:ascii="Times New Roman" w:cs="Times New Roman" w:eastAsia="Times New Roman" w:hAnsi="Times New Roman"/>
          <w:sz w:val="14"/>
          <w:szCs w:val="14"/>
          <w:i w:val="1"/>
          <w:iCs w:val="1"/>
          <w:color w:val="auto"/>
        </w:rPr>
        <w:t>Insurances</w:t>
      </w:r>
      <w:r>
        <w:rPr>
          <w:rFonts w:ascii="Times New Roman" w:cs="Times New Roman" w:eastAsia="Times New Roman" w:hAnsi="Times New Roman"/>
          <w:sz w:val="14"/>
          <w:szCs w:val="14"/>
          <w:color w:val="auto"/>
        </w:rPr>
        <w:t>) is maintained against all risks that a person engaged in a similar business, and of assets of a type and size, similar in all cases to those owned and operated by it, in a similar location, would normally maintain.</w:t>
      </w:r>
    </w:p>
    <w:p>
      <w:pPr>
        <w:spacing w:after="0" w:line="122"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15.24.2</w:t>
      </w:r>
      <w:r>
        <w:rPr>
          <w:sz w:val="20"/>
          <w:szCs w:val="20"/>
          <w:color w:val="auto"/>
        </w:rPr>
        <w:tab/>
      </w:r>
      <w:r>
        <w:rPr>
          <w:rFonts w:ascii="Times New Roman" w:cs="Times New Roman" w:eastAsia="Times New Roman" w:hAnsi="Times New Roman"/>
          <w:sz w:val="14"/>
          <w:szCs w:val="14"/>
          <w:color w:val="auto"/>
        </w:rPr>
        <w:t>There has been no non-disclosure, misrepresentation or breach of any term of any material Insurance Policy taken out by it in relation to the Property which would entitle any insurer of that insurance to repudiate, rescind or cancel it or to treat it as avoided in whole or in part, or otherwise decline any valid claim under it by or on its behalf.</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00" w:name="page201"/>
    <w:bookmarkEnd w:id="200"/>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15.25</w:t>
      </w:r>
      <w:r>
        <w:rPr>
          <w:sz w:val="20"/>
          <w:szCs w:val="20"/>
          <w:color w:val="auto"/>
        </w:rPr>
        <w:tab/>
      </w:r>
      <w:r>
        <w:rPr>
          <w:rFonts w:ascii="Times New Roman" w:cs="Times New Roman" w:eastAsia="Times New Roman" w:hAnsi="Times New Roman"/>
          <w:sz w:val="14"/>
          <w:szCs w:val="14"/>
          <w:b w:val="1"/>
          <w:bCs w:val="1"/>
          <w:color w:val="auto"/>
        </w:rPr>
        <w:t>Authorised Signatures</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Any person specified as its authorised signatory in respect of the board resolution required under Annexure A (</w:t>
      </w:r>
      <w:r>
        <w:rPr>
          <w:rFonts w:ascii="Times New Roman" w:cs="Times New Roman" w:eastAsia="Times New Roman" w:hAnsi="Times New Roman"/>
          <w:sz w:val="14"/>
          <w:szCs w:val="14"/>
          <w:i w:val="1"/>
          <w:iCs w:val="1"/>
          <w:color w:val="auto"/>
        </w:rPr>
        <w:t>Advance Conditions</w:t>
      </w:r>
      <w:r>
        <w:rPr>
          <w:rFonts w:ascii="Times New Roman" w:cs="Times New Roman" w:eastAsia="Times New Roman" w:hAnsi="Times New Roman"/>
          <w:sz w:val="14"/>
          <w:szCs w:val="14"/>
          <w:color w:val="auto"/>
        </w:rPr>
        <w:t>) or clause 16.5 (</w:t>
      </w:r>
      <w:r>
        <w:rPr>
          <w:rFonts w:ascii="Times New Roman" w:cs="Times New Roman" w:eastAsia="Times New Roman" w:hAnsi="Times New Roman"/>
          <w:sz w:val="14"/>
          <w:szCs w:val="14"/>
          <w:i w:val="1"/>
          <w:iCs w:val="1"/>
          <w:color w:val="auto"/>
        </w:rPr>
        <w:t>Information: miscellaneous</w:t>
      </w:r>
      <w:r>
        <w:rPr>
          <w:rFonts w:ascii="Times New Roman" w:cs="Times New Roman" w:eastAsia="Times New Roman" w:hAnsi="Times New Roman"/>
          <w:sz w:val="14"/>
          <w:szCs w:val="14"/>
          <w:color w:val="auto"/>
        </w:rPr>
        <w:t>) is authorised to sign all notices on its behalf.</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15.26</w:t>
      </w:r>
      <w:r>
        <w:rPr>
          <w:sz w:val="20"/>
          <w:szCs w:val="20"/>
          <w:color w:val="auto"/>
        </w:rPr>
        <w:tab/>
      </w:r>
      <w:r>
        <w:rPr>
          <w:rFonts w:ascii="Times New Roman" w:cs="Times New Roman" w:eastAsia="Times New Roman" w:hAnsi="Times New Roman"/>
          <w:sz w:val="14"/>
          <w:szCs w:val="14"/>
          <w:b w:val="1"/>
          <w:bCs w:val="1"/>
          <w:color w:val="auto"/>
        </w:rPr>
        <w:t>Municipal Accounts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Payments for assessment rates and other municipal services in respect of the Property, including electricity and water, are not in arrears in any material respect.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15.27</w:t>
      </w:r>
      <w:r>
        <w:rPr>
          <w:sz w:val="20"/>
          <w:szCs w:val="20"/>
          <w:color w:val="auto"/>
        </w:rPr>
        <w:tab/>
      </w:r>
      <w:r>
        <w:rPr>
          <w:rFonts w:ascii="Times New Roman" w:cs="Times New Roman" w:eastAsia="Times New Roman" w:hAnsi="Times New Roman"/>
          <w:sz w:val="14"/>
          <w:szCs w:val="14"/>
          <w:b w:val="1"/>
          <w:bCs w:val="1"/>
          <w:color w:val="auto"/>
        </w:rPr>
        <w:t>No immunity</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In any proceedings taken in South Africa or in any other jurisdiction, it will not be entitled to claim for itself or any of its assets immunity from suit, execution, attachment or other legal process in relation to this Agreement or any other Finance Document.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15.28</w:t>
      </w:r>
      <w:r>
        <w:rPr>
          <w:sz w:val="20"/>
          <w:szCs w:val="20"/>
          <w:color w:val="auto"/>
        </w:rPr>
        <w:tab/>
      </w:r>
      <w:r>
        <w:rPr>
          <w:rFonts w:ascii="Times New Roman" w:cs="Times New Roman" w:eastAsia="Times New Roman" w:hAnsi="Times New Roman"/>
          <w:sz w:val="14"/>
          <w:szCs w:val="14"/>
          <w:b w:val="1"/>
          <w:bCs w:val="1"/>
          <w:color w:val="auto"/>
        </w:rPr>
        <w:t>Repetition</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Repeating Representations are deemed to be made by it to the facts and circumstances then existing on the Signature Date, each Fulfilment Date, each Utilisation Date and on each Interest Payment Date.</w:t>
      </w:r>
    </w:p>
    <w:p>
      <w:pPr>
        <w:spacing w:after="0" w:line="122" w:lineRule="exact"/>
        <w:rPr>
          <w:sz w:val="20"/>
          <w:szCs w:val="20"/>
          <w:color w:val="auto"/>
        </w:rPr>
      </w:pPr>
    </w:p>
    <w:p>
      <w:pPr>
        <w:ind w:left="260" w:hanging="254"/>
        <w:spacing w:after="0"/>
        <w:tabs>
          <w:tab w:leader="none" w:pos="2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INFORMATION UNDERTAKINGS</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shall supply to the Lender, as soon as same becomes available, but in any event within 270 (two hundred and seventy) days after each Financial Year End, a copy of the Borrower's audited financial statements for that financial year.</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b w:val="1"/>
          <w:bCs w:val="1"/>
          <w:color w:val="auto"/>
        </w:rPr>
        <w:t>Financial statements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supply to the Lender, as soon as same becomes available, but in any event within 270 (two hundred and seventy) days after each Financial Year End, a copy of</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4"/>
          <w:szCs w:val="14"/>
          <w:b w:val="1"/>
          <w:bCs w:val="1"/>
          <w:color w:val="auto"/>
        </w:rPr>
        <w:t>Other Financial Information and Reports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16.2.1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shall, upon request by the Lender, supply to the Lender: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16.2.1.1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doubtful debt report in respect of the Lease Agreements in relation to the Property;</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16.2.1.2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Borrower shall provide the Lender with a copy of the signed and stamped (where applicable) irrevocable offer to lease agreement in respect of the Property entered into</w:t>
            </w:r>
          </w:p>
        </w:tc>
      </w:tr>
      <w:tr>
        <w:trPr>
          <w:trHeight w:val="172"/>
        </w:trPr>
        <w:tc>
          <w:tcPr>
            <w:tcW w:w="620" w:type="dxa"/>
            <w:vAlign w:val="bottom"/>
          </w:tcPr>
          <w:p>
            <w:pPr>
              <w:spacing w:after="0"/>
              <w:rPr>
                <w:sz w:val="14"/>
                <w:szCs w:val="14"/>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between the Borrower and the lessee, and on the material terms, detailed on terms and conditions acceptable to the Lender together with supporting resolution(s) (if appropriate)</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authorising the signatory signing on behalf of each party;</w:t>
            </w:r>
          </w:p>
        </w:tc>
      </w:tr>
      <w:tr>
        <w:trPr>
          <w:trHeight w:val="518"/>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37</w:t>
            </w:r>
          </w:p>
        </w:tc>
      </w:tr>
    </w:tbl>
    <w:p>
      <w:pPr>
        <w:sectPr>
          <w:pgSz w:w="11900" w:h="16838" w:orient="portrait"/>
          <w:cols w:equalWidth="0" w:num="1">
            <w:col w:w="11280"/>
          </w:cols>
          <w:pgMar w:left="300" w:top="295" w:right="31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16.2.1.3</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Borrower’s management accounts, which are to include as well as budgeted income and expenditure within 40 (forty) days from the end of the period to which they relate, as</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well as an explanation regarding any variances thereto;</w:t>
            </w:r>
          </w:p>
        </w:tc>
      </w:tr>
      <w:tr>
        <w:trPr>
          <w:trHeight w:val="330"/>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16.2.1.4</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 lease schedule in respect of the Property, which shall include a list of all current Lease Agreements, expiry profiles thereof and the current Lease Payments in respect thereof;</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w:t>
            </w:r>
          </w:p>
        </w:tc>
      </w:tr>
      <w:tr>
        <w:trPr>
          <w:trHeight w:val="330"/>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16.2.1.5</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any other information regarding the financial condition, business, operations of the Borrower and the Property that the Lender may reasonably require (including, without</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limitation, notification to the Lender of any proposed changes in the accounting policies or Financial Year End of the Borrower).</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4"/>
          <w:szCs w:val="14"/>
          <w:b w:val="1"/>
          <w:bCs w:val="1"/>
          <w:color w:val="auto"/>
        </w:rPr>
        <w:t>Requirements as to financial statements</w:t>
      </w:r>
    </w:p>
    <w:p>
      <w:pPr>
        <w:spacing w:after="0" w:line="183" w:lineRule="exact"/>
        <w:rPr>
          <w:sz w:val="20"/>
          <w:szCs w:val="20"/>
          <w:color w:val="auto"/>
        </w:rPr>
      </w:pPr>
    </w:p>
    <w:p>
      <w:pPr>
        <w:jc w:val="both"/>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16.3.1</w:t>
      </w:r>
      <w:r>
        <w:rPr>
          <w:sz w:val="20"/>
          <w:szCs w:val="20"/>
          <w:color w:val="auto"/>
        </w:rPr>
        <w:tab/>
      </w:r>
      <w:r>
        <w:rPr>
          <w:rFonts w:ascii="Times New Roman" w:cs="Times New Roman" w:eastAsia="Times New Roman" w:hAnsi="Times New Roman"/>
          <w:sz w:val="14"/>
          <w:szCs w:val="14"/>
          <w:color w:val="auto"/>
        </w:rPr>
        <w:t>Each set of financial statements delivered by the Borrower pursuant to clause 16.1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shall be certified by a director of the Borrower as fairly representing its financial condition as at the date as at which those financial statements were drawn up.</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16.3.2</w:t>
      </w:r>
      <w:r>
        <w:rPr>
          <w:sz w:val="20"/>
          <w:szCs w:val="20"/>
          <w:color w:val="auto"/>
        </w:rPr>
        <w:tab/>
      </w:r>
      <w:r>
        <w:rPr>
          <w:rFonts w:ascii="Times New Roman" w:cs="Times New Roman" w:eastAsia="Times New Roman" w:hAnsi="Times New Roman"/>
          <w:sz w:val="14"/>
          <w:szCs w:val="14"/>
          <w:color w:val="auto"/>
        </w:rPr>
        <w:t>The Borrower shall procure that each set of financial statements delivered pursuant to clause 16.1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is prepared using IFRS.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4"/>
          <w:szCs w:val="14"/>
          <w:b w:val="1"/>
          <w:bCs w:val="1"/>
          <w:color w:val="auto"/>
        </w:rPr>
        <w:t>Access to Records</w:t>
      </w:r>
    </w:p>
    <w:p>
      <w:pPr>
        <w:spacing w:after="0" w:line="18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4"/>
          <w:szCs w:val="14"/>
          <w:color w:val="auto"/>
        </w:rPr>
        <w:t>If a Default is continuing or the Lender is of the opinion that a Default is continuing or is reasonably likely to occur, the Borrower shall (at the Borrower's expense) provide to the Lender or any of its representatives and professional advisors such access to the Borrower's records (including its general ledger), books and assets as the Lender or that person may reasonably require at reasonable times and upon reasonable notice.</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4"/>
          <w:szCs w:val="14"/>
          <w:b w:val="1"/>
          <w:bCs w:val="1"/>
          <w:color w:val="auto"/>
        </w:rPr>
        <w:t>Information: miscellaneous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supply to the Lender: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16.5.1</w:t>
      </w:r>
      <w:r>
        <w:rPr>
          <w:sz w:val="20"/>
          <w:szCs w:val="20"/>
          <w:color w:val="auto"/>
        </w:rPr>
        <w:tab/>
      </w:r>
      <w:r>
        <w:rPr>
          <w:rFonts w:ascii="Times New Roman" w:cs="Times New Roman" w:eastAsia="Times New Roman" w:hAnsi="Times New Roman"/>
          <w:sz w:val="14"/>
          <w:szCs w:val="14"/>
          <w:color w:val="auto"/>
        </w:rPr>
        <w:t>promptly upon becoming aware of any Disposal, details of such Disposal;</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16.5.2</w:t>
      </w:r>
      <w:r>
        <w:rPr>
          <w:sz w:val="20"/>
          <w:szCs w:val="20"/>
          <w:color w:val="auto"/>
        </w:rPr>
        <w:tab/>
      </w:r>
      <w:r>
        <w:rPr>
          <w:rFonts w:ascii="Times New Roman" w:cs="Times New Roman" w:eastAsia="Times New Roman" w:hAnsi="Times New Roman"/>
          <w:sz w:val="14"/>
          <w:szCs w:val="14"/>
          <w:color w:val="auto"/>
        </w:rPr>
        <w:t>promptly upon becoming aware of any unplanned or anticipated Change of Control or change of registered name which may occur in relation to an Obligor, details of such anticipated Change of Control or change of registered name (as case may be);</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16.5.3</w:t>
      </w:r>
      <w:r>
        <w:rPr>
          <w:sz w:val="20"/>
          <w:szCs w:val="20"/>
          <w:color w:val="auto"/>
        </w:rPr>
        <w:tab/>
      </w:r>
      <w:r>
        <w:rPr>
          <w:rFonts w:ascii="Times New Roman" w:cs="Times New Roman" w:eastAsia="Times New Roman" w:hAnsi="Times New Roman"/>
          <w:sz w:val="14"/>
          <w:szCs w:val="14"/>
          <w:color w:val="auto"/>
        </w:rPr>
        <w:t>if the Lender has consented to any proposed change to its constitutional documents, details and copies of any changes proposed to or made to such constitutional documents;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promptly upon becoming aware of them, the details of:</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16.5.4.1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material litigation, arbitration or administrative proceedings which is current, threatened or pending against an Obligor;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16.5.4.2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material correspondence or notices in relation to any material claims made under the Insurance Policies;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16.5.4.3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any liquidation applications or winding up applications which are current, threatened or pending against an Obligor;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16.5.5</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promptly, such further information regarding the financial condition, business and operations of an Obligor as the Lender may reasonably request;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16.5.6</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promptly, notice of any change in authorised signatories of it signed by a member of an Obligor accompanied by specimen signatures of any new authorised signatories; and</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16.5.7</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promptly upon request, such additional information or documentation as the Lender may require in order to verify that any signatory referred to in clause 16.5.6 above has been duly</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authorised.</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b w:val="1"/>
          <w:bCs w:val="1"/>
          <w:color w:val="auto"/>
        </w:rPr>
        <w:t>Notification of default</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16.6.1</w:t>
      </w:r>
      <w:r>
        <w:rPr>
          <w:sz w:val="20"/>
          <w:szCs w:val="20"/>
          <w:color w:val="auto"/>
        </w:rPr>
        <w:tab/>
      </w:r>
      <w:r>
        <w:rPr>
          <w:rFonts w:ascii="Times New Roman" w:cs="Times New Roman" w:eastAsia="Times New Roman" w:hAnsi="Times New Roman"/>
          <w:sz w:val="14"/>
          <w:szCs w:val="14"/>
          <w:color w:val="auto"/>
        </w:rPr>
        <w:t>The Borrower shall notify the Lender of any Default or Event of Default (and the steps, if any, being taken to remedy it) promptly upon becoming aware of its occurrence.</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16.6.2</w:t>
      </w:r>
      <w:r>
        <w:rPr>
          <w:sz w:val="20"/>
          <w:szCs w:val="20"/>
          <w:color w:val="auto"/>
        </w:rPr>
        <w:tab/>
      </w:r>
      <w:r>
        <w:rPr>
          <w:rFonts w:ascii="Times New Roman" w:cs="Times New Roman" w:eastAsia="Times New Roman" w:hAnsi="Times New Roman"/>
          <w:sz w:val="14"/>
          <w:szCs w:val="14"/>
          <w:color w:val="auto"/>
        </w:rPr>
        <w:t>Promptly upon a request by the Lender, the Borrower shall supply to the Lender a certificate signed by a director of the Borrower on its behalf certifying that no Default or Event of Default is continuing (or if a Default or Event of Default is continuing, specifying the Default or Event of Default and the steps, if any, being taken to remedy it).</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Know your customer</w:t>
      </w:r>
      <w:r>
        <w:rPr>
          <w:rFonts w:ascii="Times New Roman" w:cs="Times New Roman" w:eastAsia="Times New Roman" w:hAnsi="Times New Roman"/>
          <w:sz w:val="14"/>
          <w:szCs w:val="14"/>
          <w:b w:val="1"/>
          <w:bCs w:val="1"/>
          <w:color w:val="auto"/>
        </w:rPr>
        <w:t>” checks</w:t>
      </w:r>
    </w:p>
    <w:p>
      <w:pPr>
        <w:spacing w:after="0" w:line="18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16.7.1</w:t>
      </w:r>
      <w:r>
        <w:rPr>
          <w:sz w:val="20"/>
          <w:szCs w:val="20"/>
          <w:color w:val="auto"/>
        </w:rPr>
        <w:tab/>
      </w:r>
      <w:r>
        <w:rPr>
          <w:rFonts w:ascii="Times New Roman" w:cs="Times New Roman" w:eastAsia="Times New Roman" w:hAnsi="Times New Roman"/>
          <w:sz w:val="14"/>
          <w:szCs w:val="14"/>
          <w:color w:val="auto"/>
        </w:rPr>
        <w:t>If: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16.7.1.1</w:t>
            </w:r>
          </w:p>
        </w:tc>
        <w:tc>
          <w:tcPr>
            <w:tcW w:w="8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introduction of or any change in (or in the interpretation, administration or application of) any law or regulation made after the Signature Date; or</w:t>
            </w:r>
          </w:p>
        </w:tc>
      </w:tr>
      <w:tr>
        <w:trPr>
          <w:trHeight w:val="344"/>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16.7.1.2</w:t>
            </w:r>
          </w:p>
        </w:tc>
        <w:tc>
          <w:tcPr>
            <w:tcW w:w="8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any change in the status of an Obligor after the Signature Date;</w:t>
            </w:r>
          </w:p>
        </w:tc>
      </w:tr>
    </w:tbl>
    <w:p>
      <w:pPr>
        <w:spacing w:after="0" w:line="156" w:lineRule="exact"/>
        <w:rPr>
          <w:sz w:val="20"/>
          <w:szCs w:val="20"/>
          <w:color w:val="auto"/>
        </w:rPr>
      </w:pPr>
    </w:p>
    <w:p>
      <w:pPr>
        <w:jc w:val="both"/>
        <w:ind w:left="780"/>
        <w:spacing w:after="0" w:line="269" w:lineRule="auto"/>
        <w:rPr>
          <w:sz w:val="20"/>
          <w:szCs w:val="20"/>
          <w:color w:val="auto"/>
        </w:rPr>
      </w:pPr>
      <w:r>
        <w:rPr>
          <w:rFonts w:ascii="Times New Roman" w:cs="Times New Roman" w:eastAsia="Times New Roman" w:hAnsi="Times New Roman"/>
          <w:sz w:val="14"/>
          <w:szCs w:val="14"/>
          <w:color w:val="auto"/>
        </w:rPr>
        <w:t>obliges the Lender to comply with “</w:t>
      </w:r>
      <w:r>
        <w:rPr>
          <w:rFonts w:ascii="Times New Roman" w:cs="Times New Roman" w:eastAsia="Times New Roman" w:hAnsi="Times New Roman"/>
          <w:sz w:val="14"/>
          <w:szCs w:val="14"/>
          <w:i w:val="1"/>
          <w:iCs w:val="1"/>
          <w:color w:val="auto"/>
        </w:rPr>
        <w:t>know your customer</w:t>
      </w:r>
      <w:r>
        <w:rPr>
          <w:rFonts w:ascii="Times New Roman" w:cs="Times New Roman" w:eastAsia="Times New Roman" w:hAnsi="Times New Roman"/>
          <w:sz w:val="14"/>
          <w:szCs w:val="14"/>
          <w:color w:val="auto"/>
        </w:rPr>
        <w:t>” or similar identification procedures (whether in terms of the Financial Intelligence Centre Act, 2001 or otherwise) in circumstances where the necessary information is not already available to it, that Obligor shall promptly upon the request of the Lender supply, or procure the supply of, such documentation and other evidence as is reasonably requested by the Lender in order for the Lender to carry out and be satisfied it has complied with all necessary “</w:t>
      </w:r>
      <w:r>
        <w:rPr>
          <w:rFonts w:ascii="Times New Roman" w:cs="Times New Roman" w:eastAsia="Times New Roman" w:hAnsi="Times New Roman"/>
          <w:sz w:val="14"/>
          <w:szCs w:val="14"/>
          <w:i w:val="1"/>
          <w:iCs w:val="1"/>
          <w:color w:val="auto"/>
        </w:rPr>
        <w:t>know your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customer</w:t>
      </w:r>
      <w:r>
        <w:rPr>
          <w:rFonts w:ascii="Times New Roman" w:cs="Times New Roman" w:eastAsia="Times New Roman" w:hAnsi="Times New Roman"/>
          <w:sz w:val="14"/>
          <w:szCs w:val="14"/>
          <w:color w:val="auto"/>
        </w:rPr>
        <w:t>” or other similar checks under all applicable laws and regulations pursuant to the transactions contemplated in the Finance Documents.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03" w:name="page204"/>
    <w:bookmarkEnd w:id="203"/>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16.8</w:t>
      </w:r>
      <w:r>
        <w:rPr>
          <w:sz w:val="20"/>
          <w:szCs w:val="20"/>
          <w:color w:val="auto"/>
        </w:rPr>
        <w:tab/>
      </w:r>
      <w:r>
        <w:rPr>
          <w:rFonts w:ascii="Times New Roman" w:cs="Times New Roman" w:eastAsia="Times New Roman" w:hAnsi="Times New Roman"/>
          <w:sz w:val="14"/>
          <w:szCs w:val="14"/>
          <w:b w:val="1"/>
          <w:bCs w:val="1"/>
          <w:color w:val="auto"/>
        </w:rPr>
        <w:t>Direct electronic delivery by the Borrower</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may satisfy its obligation under this Agreement to deliver any information in relation to the Lender by delivering information directly to the Lender in accordance with clause 25.4 (</w:t>
      </w:r>
      <w:r>
        <w:rPr>
          <w:rFonts w:ascii="Times New Roman" w:cs="Times New Roman" w:eastAsia="Times New Roman" w:hAnsi="Times New Roman"/>
          <w:sz w:val="14"/>
          <w:szCs w:val="14"/>
          <w:i w:val="1"/>
          <w:iCs w:val="1"/>
          <w:color w:val="auto"/>
        </w:rPr>
        <w:t>Electronic communication</w:t>
      </w:r>
      <w:r>
        <w:rPr>
          <w:rFonts w:ascii="Times New Roman" w:cs="Times New Roman" w:eastAsia="Times New Roman" w:hAnsi="Times New Roman"/>
          <w:sz w:val="14"/>
          <w:szCs w:val="14"/>
          <w:color w:val="auto"/>
        </w:rPr>
        <w:t>) to the extent the Lender agrees to this method of delivery.</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16.9</w:t>
      </w:r>
      <w:r>
        <w:rPr>
          <w:sz w:val="20"/>
          <w:szCs w:val="20"/>
          <w:color w:val="auto"/>
        </w:rPr>
        <w:tab/>
      </w:r>
      <w:r>
        <w:rPr>
          <w:rFonts w:ascii="Times New Roman" w:cs="Times New Roman" w:eastAsia="Times New Roman" w:hAnsi="Times New Roman"/>
          <w:sz w:val="14"/>
          <w:szCs w:val="14"/>
          <w:b w:val="1"/>
          <w:bCs w:val="1"/>
          <w:color w:val="auto"/>
        </w:rPr>
        <w:t>Environmental claims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promptly upon becoming aware of the same, inform the Lender in writing of:</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16.9.1</w:t>
      </w:r>
      <w:r>
        <w:rPr>
          <w:sz w:val="20"/>
          <w:szCs w:val="20"/>
          <w:color w:val="auto"/>
        </w:rPr>
        <w:tab/>
      </w:r>
      <w:r>
        <w:rPr>
          <w:rFonts w:ascii="Times New Roman" w:cs="Times New Roman" w:eastAsia="Times New Roman" w:hAnsi="Times New Roman"/>
          <w:sz w:val="14"/>
          <w:szCs w:val="14"/>
          <w:color w:val="auto"/>
        </w:rPr>
        <w:t>any Environmental Claim against the Group which is current, pending or threatened; and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16.9.2</w:t>
      </w:r>
      <w:r>
        <w:rPr>
          <w:sz w:val="20"/>
          <w:szCs w:val="20"/>
          <w:color w:val="auto"/>
        </w:rPr>
        <w:tab/>
      </w:r>
      <w:r>
        <w:rPr>
          <w:rFonts w:ascii="Times New Roman" w:cs="Times New Roman" w:eastAsia="Times New Roman" w:hAnsi="Times New Roman"/>
          <w:sz w:val="14"/>
          <w:szCs w:val="14"/>
          <w:color w:val="auto"/>
        </w:rPr>
        <w:t>any facts or circumstances which are reasonably likely to result in any Environmental Claim being commenced or threatened against the Group,</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 the claim, if adversely determined, has or is reasonably likely to have a Material Adverse Effect or is reasonably likely to result in any liability for the Lender.</w:t>
      </w:r>
    </w:p>
    <w:p>
      <w:pPr>
        <w:spacing w:after="0" w:line="181" w:lineRule="exact"/>
        <w:rPr>
          <w:sz w:val="20"/>
          <w:szCs w:val="20"/>
          <w:color w:val="auto"/>
        </w:rPr>
      </w:pPr>
    </w:p>
    <w:p>
      <w:pPr>
        <w:ind w:left="260" w:hanging="254"/>
        <w:spacing w:after="0"/>
        <w:tabs>
          <w:tab w:leader="none" w:pos="2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FINANCIAL COVENANTS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17.1</w:t>
      </w:r>
      <w:r>
        <w:rPr>
          <w:sz w:val="20"/>
          <w:szCs w:val="20"/>
          <w:color w:val="auto"/>
        </w:rPr>
        <w:tab/>
      </w:r>
      <w:r>
        <w:rPr>
          <w:rFonts w:ascii="Times New Roman" w:cs="Times New Roman" w:eastAsia="Times New Roman" w:hAnsi="Times New Roman"/>
          <w:sz w:val="14"/>
          <w:szCs w:val="14"/>
          <w:b w:val="1"/>
          <w:bCs w:val="1"/>
          <w:color w:val="auto"/>
        </w:rPr>
        <w:t>Financial definitions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this Agreement:</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17.1.1</w:t>
      </w:r>
      <w:r>
        <w:rPr>
          <w:sz w:val="20"/>
          <w:szCs w:val="20"/>
          <w:color w:val="auto"/>
        </w:rPr>
        <w:tab/>
      </w:r>
      <w:r>
        <w:rPr>
          <w:rFonts w:ascii="Times New Roman" w:cs="Times New Roman" w:eastAsia="Times New Roman" w:hAnsi="Times New Roman"/>
          <w:sz w:val="14"/>
          <w:szCs w:val="14"/>
          <w:b w:val="1"/>
          <w:bCs w:val="1"/>
          <w:color w:val="auto"/>
        </w:rPr>
        <w:t xml:space="preserve">Interest Cover Ratio </w:t>
      </w:r>
      <w:r>
        <w:rPr>
          <w:rFonts w:ascii="Times New Roman" w:cs="Times New Roman" w:eastAsia="Times New Roman" w:hAnsi="Times New Roman"/>
          <w:sz w:val="14"/>
          <w:szCs w:val="14"/>
          <w:color w:val="auto"/>
        </w:rPr>
        <w:t>means, in respect of any relevant Measurement Date, the ratio of (a) Net Rental Income to (b) Interest Payable in respect of that Measurement Period;</w:t>
      </w:r>
    </w:p>
    <w:p>
      <w:pPr>
        <w:spacing w:after="0" w:line="183"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17.1.2</w:t>
      </w:r>
      <w:r>
        <w:rPr>
          <w:sz w:val="20"/>
          <w:szCs w:val="20"/>
          <w:color w:val="auto"/>
        </w:rPr>
        <w:tab/>
      </w:r>
      <w:r>
        <w:rPr>
          <w:rFonts w:ascii="Times New Roman" w:cs="Times New Roman" w:eastAsia="Times New Roman" w:hAnsi="Times New Roman"/>
          <w:sz w:val="14"/>
          <w:szCs w:val="14"/>
          <w:b w:val="1"/>
          <w:bCs w:val="1"/>
          <w:color w:val="auto"/>
        </w:rPr>
        <w:t xml:space="preserve">Interest Payable </w:t>
      </w:r>
      <w:r>
        <w:rPr>
          <w:rFonts w:ascii="Times New Roman" w:cs="Times New Roman" w:eastAsia="Times New Roman" w:hAnsi="Times New Roman"/>
          <w:sz w:val="14"/>
          <w:szCs w:val="14"/>
          <w:color w:val="auto"/>
        </w:rPr>
        <w:t>means, in respect of the relevant Measurement Period prior to any Measurement Date, the aggregate of all interest paid or payable by the Borrower to the Lender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this Agreement;</w:t>
      </w:r>
    </w:p>
    <w:p>
      <w:pPr>
        <w:spacing w:after="0" w:line="120"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17.1.3</w:t>
      </w:r>
      <w:r>
        <w:rPr>
          <w:sz w:val="20"/>
          <w:szCs w:val="20"/>
          <w:color w:val="auto"/>
        </w:rPr>
        <w:tab/>
      </w:r>
      <w:r>
        <w:rPr>
          <w:rFonts w:ascii="Times New Roman" w:cs="Times New Roman" w:eastAsia="Times New Roman" w:hAnsi="Times New Roman"/>
          <w:sz w:val="14"/>
          <w:szCs w:val="14"/>
          <w:b w:val="1"/>
          <w:bCs w:val="1"/>
          <w:color w:val="auto"/>
        </w:rPr>
        <w:t xml:space="preserve">Interest Receivable </w:t>
      </w:r>
      <w:r>
        <w:rPr>
          <w:rFonts w:ascii="Times New Roman" w:cs="Times New Roman" w:eastAsia="Times New Roman" w:hAnsi="Times New Roman"/>
          <w:sz w:val="14"/>
          <w:szCs w:val="14"/>
          <w:color w:val="auto"/>
        </w:rPr>
        <w:t>means, in respect of the relevant Measurement Period prior to any Measurement Date, all interest received by or accrued to the Borrower (in relation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Property only) during such period;</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17.1.4</w:t>
      </w:r>
      <w:r>
        <w:rPr>
          <w:sz w:val="20"/>
          <w:szCs w:val="20"/>
          <w:color w:val="auto"/>
        </w:rPr>
        <w:tab/>
      </w:r>
      <w:r>
        <w:rPr>
          <w:rFonts w:ascii="Times New Roman" w:cs="Times New Roman" w:eastAsia="Times New Roman" w:hAnsi="Times New Roman"/>
          <w:sz w:val="14"/>
          <w:szCs w:val="14"/>
          <w:b w:val="1"/>
          <w:bCs w:val="1"/>
          <w:color w:val="auto"/>
        </w:rPr>
        <w:t xml:space="preserve">Loan to Value Ratio </w:t>
      </w:r>
      <w:r>
        <w:rPr>
          <w:rFonts w:ascii="Times New Roman" w:cs="Times New Roman" w:eastAsia="Times New Roman" w:hAnsi="Times New Roman"/>
          <w:sz w:val="14"/>
          <w:szCs w:val="14"/>
          <w:color w:val="auto"/>
        </w:rPr>
        <w:t>means, as at any relevant Measurement Date, the ratio of the Loan Outstandings as at that date, to the Property Valuation Amount;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17.1.5</w:t>
      </w:r>
      <w:r>
        <w:rPr>
          <w:sz w:val="20"/>
          <w:szCs w:val="20"/>
          <w:color w:val="auto"/>
        </w:rPr>
        <w:tab/>
      </w:r>
      <w:r>
        <w:rPr>
          <w:rFonts w:ascii="Times New Roman" w:cs="Times New Roman" w:eastAsia="Times New Roman" w:hAnsi="Times New Roman"/>
          <w:sz w:val="14"/>
          <w:szCs w:val="14"/>
          <w:b w:val="1"/>
          <w:bCs w:val="1"/>
          <w:color w:val="auto"/>
        </w:rPr>
        <w:t xml:space="preserve">Measurement Date </w:t>
      </w:r>
      <w:r>
        <w:rPr>
          <w:rFonts w:ascii="Times New Roman" w:cs="Times New Roman" w:eastAsia="Times New Roman" w:hAnsi="Times New Roman"/>
          <w:sz w:val="14"/>
          <w:szCs w:val="14"/>
          <w:color w:val="auto"/>
        </w:rPr>
        <w:t>means any date during the term of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8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17.1.6</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Measurement Period </w:t>
            </w:r>
            <w:r>
              <w:rPr>
                <w:rFonts w:ascii="Times New Roman" w:cs="Times New Roman" w:eastAsia="Times New Roman" w:hAnsi="Times New Roman"/>
                <w:sz w:val="14"/>
                <w:szCs w:val="14"/>
                <w:color w:val="auto"/>
              </w:rPr>
              <w:t>means the period of 12 (twelve) consecutive months, up to and ending on that Measurement Date;</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17.1.7</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Net Interest Charged </w:t>
            </w:r>
            <w:r>
              <w:rPr>
                <w:rFonts w:ascii="Times New Roman" w:cs="Times New Roman" w:eastAsia="Times New Roman" w:hAnsi="Times New Roman"/>
                <w:sz w:val="14"/>
                <w:szCs w:val="14"/>
                <w:color w:val="auto"/>
              </w:rPr>
              <w:t>means, in respect of any relevant Measurement Period prior to the Measurement Date, Interest Payable less any Interest Receivable;</w:t>
            </w:r>
          </w:p>
        </w:tc>
      </w:tr>
      <w:tr>
        <w:trPr>
          <w:trHeight w:val="33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17.1.8</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Net Operating Expenses </w:t>
            </w:r>
            <w:r>
              <w:rPr>
                <w:rFonts w:ascii="Times New Roman" w:cs="Times New Roman" w:eastAsia="Times New Roman" w:hAnsi="Times New Roman"/>
                <w:sz w:val="14"/>
                <w:szCs w:val="14"/>
                <w:color w:val="auto"/>
              </w:rPr>
              <w:t>means, in respect of any period, the Operating Expenses for that period after deducting the amount of any such expenses which have been recovered from a</w:t>
            </w:r>
          </w:p>
        </w:tc>
      </w:tr>
      <w:tr>
        <w:trPr>
          <w:trHeight w:val="186"/>
        </w:trPr>
        <w:tc>
          <w:tcPr>
            <w:tcW w:w="700" w:type="dxa"/>
            <w:vAlign w:val="bottom"/>
          </w:tcPr>
          <w:p>
            <w:pPr>
              <w:spacing w:after="0"/>
              <w:rPr>
                <w:sz w:val="16"/>
                <w:szCs w:val="16"/>
                <w:color w:val="auto"/>
              </w:rPr>
            </w:pP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tenant under any lease agreement for that period, and so that no amount shall be deducted more than once;</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17.1.9</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Net Rental Income </w:t>
            </w:r>
            <w:r>
              <w:rPr>
                <w:rFonts w:ascii="Times New Roman" w:cs="Times New Roman" w:eastAsia="Times New Roman" w:hAnsi="Times New Roman"/>
                <w:sz w:val="14"/>
                <w:szCs w:val="14"/>
                <w:color w:val="auto"/>
              </w:rPr>
              <w:t>means, in respect of any period, the Rental Income for that period less the amount of all Net Operating Expenses for that period;</w:t>
            </w:r>
          </w:p>
        </w:tc>
      </w:tr>
      <w:tr>
        <w:trPr>
          <w:trHeight w:val="33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14"/>
                <w:szCs w:val="14"/>
                <w:color w:val="auto"/>
              </w:rPr>
              <w:t>means all properly documented costs and expenses actually incurred in respect of the maintenance, operation and management of the Property which the</w:t>
            </w:r>
          </w:p>
        </w:tc>
      </w:tr>
      <w:tr>
        <w:trPr>
          <w:trHeight w:val="186"/>
        </w:trPr>
        <w:tc>
          <w:tcPr>
            <w:tcW w:w="700" w:type="dxa"/>
            <w:vAlign w:val="bottom"/>
          </w:tcPr>
          <w:p>
            <w:pPr>
              <w:spacing w:after="0"/>
              <w:rPr>
                <w:sz w:val="16"/>
                <w:szCs w:val="16"/>
                <w:color w:val="auto"/>
              </w:rPr>
            </w:pP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Borrower is required to pay or which a managing agent is authorised by the Borrower without limitation:</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routine repairs and maintenance;</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17.1.10.2</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all amounts due to the relevant local authority or other service providers, including in respect of water, electricity, rates and taxes;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17.1.10.3</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cleaning;</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17.1.10.4</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security;</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17.1.10.5</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fire protection;</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17.1.10.6</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equipment maintenance and maintenance contracts;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17.1.10.7</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licenses and authorisations (including any renewal fees payable in respect thereof);</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17.1.10.8</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lending, accounting and regulatory services;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17.1.10.9</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insurance;</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17.1.10.10</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staff costs of the managing agent;</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17.1.10.11</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property management costs;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17.1.10.12</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parking management;</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17.1.10.13</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letting fees and commissions;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17.1.10.14</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amounts of arrear or bad debt including any provisions therefore;</w:t>
            </w:r>
          </w:p>
        </w:tc>
      </w:tr>
      <w:tr>
        <w:trPr>
          <w:trHeight w:val="518"/>
        </w:trPr>
        <w:tc>
          <w:tcPr>
            <w:tcW w:w="70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880"/>
              <w:spacing w:after="0"/>
              <w:rPr>
                <w:sz w:val="20"/>
                <w:szCs w:val="20"/>
                <w:color w:val="auto"/>
              </w:rPr>
            </w:pPr>
            <w:r>
              <w:rPr>
                <w:rFonts w:ascii="Times New Roman" w:cs="Times New Roman" w:eastAsia="Times New Roman" w:hAnsi="Times New Roman"/>
                <w:sz w:val="14"/>
                <w:szCs w:val="14"/>
                <w:color w:val="auto"/>
              </w:rPr>
              <w:t>41</w:t>
            </w:r>
          </w:p>
        </w:tc>
      </w:tr>
    </w:tbl>
    <w:p>
      <w:pPr>
        <w:sectPr>
          <w:pgSz w:w="11900" w:h="16838" w:orient="portrait"/>
          <w:cols w:equalWidth="0" w:num="1">
            <w:col w:w="11280"/>
          </w:cols>
          <w:pgMar w:left="300" w:top="295" w:right="31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17.1.10.15</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provisions for re-letting;</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17.1.10.16</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promotional and marketing costs; and</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17.1.10.17</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gardening services;</w:t>
            </w:r>
          </w:p>
        </w:tc>
      </w:tr>
      <w:tr>
        <w:trPr>
          <w:trHeight w:val="32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17.1.11</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Property Valuation Amount </w:t>
            </w:r>
            <w:r>
              <w:rPr>
                <w:rFonts w:ascii="Times New Roman" w:cs="Times New Roman" w:eastAsia="Times New Roman" w:hAnsi="Times New Roman"/>
                <w:sz w:val="14"/>
                <w:szCs w:val="14"/>
                <w:color w:val="auto"/>
              </w:rPr>
              <w:t>means the value of the Property expressed in Rand as set out in the most recent Valuations, subject to the provisions of clause 19.5 (</w:t>
            </w:r>
            <w:r>
              <w:rPr>
                <w:rFonts w:ascii="Times New Roman" w:cs="Times New Roman" w:eastAsia="Times New Roman" w:hAnsi="Times New Roman"/>
                <w:sz w:val="14"/>
                <w:szCs w:val="14"/>
                <w:i w:val="1"/>
                <w:iCs w:val="1"/>
                <w:color w:val="auto"/>
              </w:rPr>
              <w:t>Valuations and</w:t>
            </w:r>
          </w:p>
        </w:tc>
      </w:tr>
      <w:tr>
        <w:trPr>
          <w:trHeight w:val="188"/>
        </w:trPr>
        <w:tc>
          <w:tcPr>
            <w:tcW w:w="700" w:type="dxa"/>
            <w:vAlign w:val="bottom"/>
          </w:tcPr>
          <w:p>
            <w:pPr>
              <w:spacing w:after="0"/>
              <w:rPr>
                <w:sz w:val="16"/>
                <w:szCs w:val="16"/>
                <w:color w:val="auto"/>
              </w:rPr>
            </w:pP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Inspections</w:t>
            </w:r>
            <w:r>
              <w:rPr>
                <w:rFonts w:ascii="Times New Roman" w:cs="Times New Roman" w:eastAsia="Times New Roman" w:hAnsi="Times New Roman"/>
                <w:sz w:val="14"/>
                <w:szCs w:val="14"/>
                <w:color w:val="auto"/>
              </w:rPr>
              <w:t>);</w:t>
            </w:r>
          </w:p>
        </w:tc>
      </w:tr>
      <w:tr>
        <w:trPr>
          <w:trHeight w:val="33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w:t>
            </w: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Rental Income </w:t>
            </w:r>
            <w:r>
              <w:rPr>
                <w:rFonts w:ascii="Times New Roman" w:cs="Times New Roman" w:eastAsia="Times New Roman" w:hAnsi="Times New Roman"/>
                <w:sz w:val="14"/>
                <w:szCs w:val="14"/>
                <w:color w:val="auto"/>
              </w:rPr>
              <w:t>means the aggregate of all amounts paid or payable to or for the account of the Borrower in connection with the letting, licence or grant of other rights of use or</w:t>
            </w:r>
          </w:p>
        </w:tc>
      </w:tr>
      <w:tr>
        <w:trPr>
          <w:trHeight w:val="186"/>
        </w:trPr>
        <w:tc>
          <w:tcPr>
            <w:tcW w:w="700" w:type="dxa"/>
            <w:vAlign w:val="bottom"/>
          </w:tcPr>
          <w:p>
            <w:pPr>
              <w:spacing w:after="0"/>
              <w:rPr>
                <w:sz w:val="16"/>
                <w:szCs w:val="16"/>
                <w:color w:val="auto"/>
              </w:rPr>
            </w:pPr>
          </w:p>
        </w:tc>
        <w:tc>
          <w:tcPr>
            <w:tcW w:w="10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occupation of the Property, including, without limitation, each of the following amounts: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17.1.12.1</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rent, licence fees and equivalent amounts paid or payable;</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17.1.12.2</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sum received or receivable from any deposit held as security for performance of a tenant’s obligations;</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17.1.12.3</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 sum equal to any apportionment of rent allowed in favour of the Borrower;</w:t>
            </w:r>
          </w:p>
        </w:tc>
      </w:tr>
      <w:tr>
        <w:trPr>
          <w:trHeight w:val="33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17.1.12.4</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other moneys paid or payable in respect of occupation and/or usage of any property owned by the Borrower and any fixture and fitting on any property owned by the</w:t>
            </w:r>
          </w:p>
        </w:tc>
      </w:tr>
      <w:tr>
        <w:trPr>
          <w:trHeight w:val="186"/>
        </w:trPr>
        <w:tc>
          <w:tcPr>
            <w:tcW w:w="700" w:type="dxa"/>
            <w:vAlign w:val="bottom"/>
          </w:tcPr>
          <w:p>
            <w:pPr>
              <w:spacing w:after="0"/>
              <w:rPr>
                <w:sz w:val="16"/>
                <w:szCs w:val="16"/>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Borrower including any fixture or fitting on any property owned by the Borrower for display or advertisement, on licence or otherwise;</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17.1.12.5</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sum paid or payable under any policy of insurance in respect of loss of rent or interest on rent;</w:t>
            </w:r>
          </w:p>
        </w:tc>
      </w:tr>
      <w:tr>
        <w:trPr>
          <w:trHeight w:val="33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17.1.12.6</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sum paid or payable, or the value of any consideration given, for the grant, surrender, amendment, supplement, waiver, extension or release of any lease agreement which the</w:t>
            </w:r>
          </w:p>
        </w:tc>
      </w:tr>
      <w:tr>
        <w:trPr>
          <w:trHeight w:val="186"/>
        </w:trPr>
        <w:tc>
          <w:tcPr>
            <w:tcW w:w="700" w:type="dxa"/>
            <w:vAlign w:val="bottom"/>
          </w:tcPr>
          <w:p>
            <w:pPr>
              <w:spacing w:after="0"/>
              <w:rPr>
                <w:sz w:val="16"/>
                <w:szCs w:val="16"/>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Borrower enters into;</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17.1.12.7</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sum paid or payable in respect of a breach of covenant under any lease agreement which the Borrower enters into;</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17.1.12.8</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sum paid or payable by or distribution received or receivable from any guarantor of any occupational tenant under any lease agreement which the Borrower enters into;</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17.1.12.9</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tenant contributions received by the Borrower; and</w:t>
            </w:r>
          </w:p>
        </w:tc>
      </w:tr>
      <w:tr>
        <w:trPr>
          <w:trHeight w:val="3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17.1.12.10</w:t>
            </w:r>
          </w:p>
        </w:tc>
        <w:tc>
          <w:tcPr>
            <w:tcW w:w="10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interest paid or payable on, and any damages, compensation or settlement paid or payable in respect of, any sum referred to above less any related fees and expenses incurred</w:t>
            </w:r>
          </w:p>
        </w:tc>
      </w:tr>
    </w:tbl>
    <w:p>
      <w:pPr>
        <w:ind w:left="1040"/>
        <w:spacing w:after="0"/>
        <w:rPr>
          <w:sz w:val="20"/>
          <w:szCs w:val="20"/>
          <w:color w:val="auto"/>
        </w:rPr>
      </w:pPr>
      <w:r>
        <w:rPr>
          <w:rFonts w:ascii="Times New Roman" w:cs="Times New Roman" w:eastAsia="Times New Roman" w:hAnsi="Times New Roman"/>
          <w:sz w:val="14"/>
          <w:szCs w:val="14"/>
          <w:color w:val="auto"/>
        </w:rPr>
        <w:t>(which have not been reimbursed by another person) by the Borrower,</w:t>
      </w:r>
    </w:p>
    <w:p>
      <w:pPr>
        <w:spacing w:after="0" w:line="1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but specifically excluding any VAT payable in respect of any such amounts.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06" w:name="page207"/>
    <w:bookmarkEnd w:id="206"/>
    <w:p>
      <w:pPr>
        <w:spacing w:after="0"/>
        <w:tabs>
          <w:tab w:leader="none" w:pos="500" w:val="left"/>
        </w:tabs>
        <w:rPr>
          <w:sz w:val="20"/>
          <w:szCs w:val="20"/>
          <w:color w:val="auto"/>
        </w:rPr>
      </w:pPr>
      <w:r>
        <w:rPr>
          <w:rFonts w:ascii="Times New Roman" w:cs="Times New Roman" w:eastAsia="Times New Roman" w:hAnsi="Times New Roman"/>
          <w:sz w:val="14"/>
          <w:szCs w:val="14"/>
          <w:color w:val="auto"/>
        </w:rPr>
        <w:t>17.2</w:t>
      </w:r>
      <w:r>
        <w:rPr>
          <w:sz w:val="20"/>
          <w:szCs w:val="20"/>
          <w:color w:val="auto"/>
        </w:rPr>
        <w:tab/>
      </w:r>
      <w:r>
        <w:rPr>
          <w:rFonts w:ascii="Times New Roman" w:cs="Times New Roman" w:eastAsia="Times New Roman" w:hAnsi="Times New Roman"/>
          <w:sz w:val="14"/>
          <w:szCs w:val="14"/>
          <w:b w:val="1"/>
          <w:bCs w:val="1"/>
          <w:color w:val="auto"/>
        </w:rPr>
        <w:t>Financial condition</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17.2.1</w:t>
      </w:r>
      <w:r>
        <w:rPr>
          <w:sz w:val="20"/>
          <w:szCs w:val="20"/>
          <w:color w:val="auto"/>
        </w:rPr>
        <w:tab/>
      </w:r>
      <w:r>
        <w:rPr>
          <w:rFonts w:ascii="Times New Roman" w:cs="Times New Roman" w:eastAsia="Times New Roman" w:hAnsi="Times New Roman"/>
          <w:sz w:val="14"/>
          <w:szCs w:val="14"/>
          <w:color w:val="auto"/>
        </w:rPr>
        <w:t>the Loan to Value Ratio shall not exceed: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60260" cy="1365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60260" cy="13652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the period commencing on the First Utilisation Date until the first anniversary of the First Utilisation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the period commencing on first calendar day following the first anniversary of the First Utilisation Date until the second anniversary of the First Utilisation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225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From the period commencing on the first calendar day following the second anniversary of the First Utilisation Date until the third anniversary of the First Utilisation Date. From the period commencing on the first calendar day following the third anniversary of the First Utilisation Date until the fourth anniversary date of the First Utilisation</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1225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From the period commencing on the first calendar day following the fourth anniversary of the First Utilisation Date until the Facility 2 Final Repayment Date.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17.2.2</w:t>
      </w:r>
      <w:r>
        <w:rPr>
          <w:sz w:val="20"/>
          <w:szCs w:val="20"/>
          <w:color w:val="auto"/>
        </w:rPr>
        <w:tab/>
      </w:r>
      <w:r>
        <w:rPr>
          <w:rFonts w:ascii="Times New Roman" w:cs="Times New Roman" w:eastAsia="Times New Roman" w:hAnsi="Times New Roman"/>
          <w:sz w:val="14"/>
          <w:szCs w:val="14"/>
          <w:color w:val="auto"/>
        </w:rPr>
        <w:t>the Interest Cover Ratio shall not be less than: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60260" cy="1225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the period commencing on the First Utilisation Date until the first anniversary of the First Utilisation Date.</w:t>
      </w:r>
    </w:p>
    <w:p>
      <w:pPr>
        <w:spacing w:after="0" w:line="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From the period commencing on first calendar day following the first anniversary of the First Utilisation Date until the second anniversary of the First Utilisation Date. From the period commencing on the first calendar day following the second anniversary of the First Utilisation Date until the third anniversary of the First Utilisation Date. From the period commencing on the first calendar day following the third anniversary of the First Utilisation Date until the fourth anniversary date of the First Utilisation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60260" cy="1092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Date.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the period commencing on the first calendar day following the fourth anniversary of the First Utilisation Date until the Facility 2 Final 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3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Percentage</w:t>
      </w:r>
    </w:p>
    <w:p>
      <w:pPr>
        <w:spacing w:after="0" w:line="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60%</w:t>
      </w:r>
    </w:p>
    <w:p>
      <w:pPr>
        <w:spacing w:after="0" w:line="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55%</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50%</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45%</w:t>
      </w:r>
    </w:p>
    <w:p>
      <w:pPr>
        <w:spacing w:after="0" w:line="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35%</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Ratio</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1.45 times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1.71 times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2.08 times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2.50 times</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2.50 times</w:t>
      </w:r>
    </w:p>
    <w:p>
      <w:pPr>
        <w:sectPr>
          <w:pgSz w:w="11900" w:h="16838" w:orient="portrait"/>
          <w:cols w:equalWidth="0" w:num="2">
            <w:col w:w="9920" w:space="560"/>
            <w:col w:w="800"/>
          </w:cols>
          <w:pgMar w:left="300" w:top="295" w:right="319" w:bottom="1440" w:gutter="0" w:footer="0" w:header="0"/>
        </w:sectPr>
      </w:pPr>
    </w:p>
    <w:bookmarkStart w:id="207" w:name="page208"/>
    <w:bookmarkEnd w:id="207"/>
    <w:p>
      <w:pPr>
        <w:spacing w:after="0"/>
        <w:tabs>
          <w:tab w:leader="none" w:pos="500" w:val="left"/>
        </w:tabs>
        <w:rPr>
          <w:sz w:val="20"/>
          <w:szCs w:val="20"/>
          <w:color w:val="auto"/>
        </w:rPr>
      </w:pPr>
      <w:r>
        <w:rPr>
          <w:rFonts w:ascii="Times New Roman" w:cs="Times New Roman" w:eastAsia="Times New Roman" w:hAnsi="Times New Roman"/>
          <w:sz w:val="14"/>
          <w:szCs w:val="14"/>
          <w:color w:val="auto"/>
        </w:rPr>
        <w:t>17.3</w:t>
      </w:r>
      <w:r>
        <w:rPr>
          <w:sz w:val="20"/>
          <w:szCs w:val="20"/>
          <w:color w:val="auto"/>
        </w:rPr>
        <w:tab/>
      </w:r>
      <w:r>
        <w:rPr>
          <w:rFonts w:ascii="Times New Roman" w:cs="Times New Roman" w:eastAsia="Times New Roman" w:hAnsi="Times New Roman"/>
          <w:sz w:val="14"/>
          <w:szCs w:val="14"/>
          <w:b w:val="1"/>
          <w:bCs w:val="1"/>
          <w:color w:val="auto"/>
        </w:rPr>
        <w:t>Financial testing</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The Financial Covenants set out in clause 17.3 (</w:t>
      </w:r>
      <w:r>
        <w:rPr>
          <w:rFonts w:ascii="Times New Roman" w:cs="Times New Roman" w:eastAsia="Times New Roman" w:hAnsi="Times New Roman"/>
          <w:sz w:val="14"/>
          <w:szCs w:val="14"/>
          <w:i w:val="1"/>
          <w:iCs w:val="1"/>
          <w:color w:val="auto"/>
        </w:rPr>
        <w:t>Financial condition</w:t>
      </w:r>
      <w:r>
        <w:rPr>
          <w:rFonts w:ascii="Times New Roman" w:cs="Times New Roman" w:eastAsia="Times New Roman" w:hAnsi="Times New Roman"/>
          <w:sz w:val="14"/>
          <w:szCs w:val="14"/>
          <w:color w:val="auto"/>
        </w:rPr>
        <w:t>) shall be calculated at any time in accordance with IFRS and tested by reference to information available to the Lender (including each of the financial statements delivered pursuant to clause 16.1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260" w:hanging="254"/>
        <w:spacing w:after="0"/>
        <w:tabs>
          <w:tab w:leader="none" w:pos="2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GENERAL UNDERTAKINGS</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undertakings in this clause 18 remain in force from the Signature Date for so long as any amount is outstanding under the Finance Documents.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18.1</w:t>
      </w:r>
      <w:r>
        <w:rPr>
          <w:sz w:val="20"/>
          <w:szCs w:val="20"/>
          <w:color w:val="auto"/>
        </w:rPr>
        <w:tab/>
      </w:r>
      <w:r>
        <w:rPr>
          <w:rFonts w:ascii="Times New Roman" w:cs="Times New Roman" w:eastAsia="Times New Roman" w:hAnsi="Times New Roman"/>
          <w:sz w:val="14"/>
          <w:szCs w:val="14"/>
          <w:b w:val="1"/>
          <w:bCs w:val="1"/>
          <w:color w:val="auto"/>
        </w:rPr>
        <w:t>Authorisations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promptly:</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18.1.1</w:t>
      </w:r>
      <w:r>
        <w:rPr>
          <w:sz w:val="20"/>
          <w:szCs w:val="20"/>
          <w:color w:val="auto"/>
        </w:rPr>
        <w:tab/>
      </w:r>
      <w:r>
        <w:rPr>
          <w:rFonts w:ascii="Times New Roman" w:cs="Times New Roman" w:eastAsia="Times New Roman" w:hAnsi="Times New Roman"/>
          <w:sz w:val="14"/>
          <w:szCs w:val="14"/>
          <w:color w:val="auto"/>
        </w:rPr>
        <w:t>obtain, comply with and do all that is necessary to maintain in full force and effect; and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18.1.2</w:t>
      </w:r>
      <w:r>
        <w:rPr>
          <w:sz w:val="20"/>
          <w:szCs w:val="20"/>
          <w:color w:val="auto"/>
        </w:rPr>
        <w:tab/>
      </w:r>
      <w:r>
        <w:rPr>
          <w:rFonts w:ascii="Times New Roman" w:cs="Times New Roman" w:eastAsia="Times New Roman" w:hAnsi="Times New Roman"/>
          <w:sz w:val="14"/>
          <w:szCs w:val="14"/>
          <w:color w:val="auto"/>
        </w:rPr>
        <w:t>supply certified copies to Lender of,</w:t>
      </w:r>
    </w:p>
    <w:p>
      <w:pPr>
        <w:spacing w:after="0" w:line="183"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any Authorisation required to enable the Borrower to perform its obligations under the Finance Documents and to ensure the legality, validity, enforceability or admissibility in evidence in its jurisdiction of incorporation of the Finance Documents.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18.2</w:t>
      </w:r>
      <w:r>
        <w:rPr>
          <w:sz w:val="20"/>
          <w:szCs w:val="20"/>
          <w:color w:val="auto"/>
        </w:rPr>
        <w:tab/>
      </w:r>
      <w:r>
        <w:rPr>
          <w:rFonts w:ascii="Times New Roman" w:cs="Times New Roman" w:eastAsia="Times New Roman" w:hAnsi="Times New Roman"/>
          <w:sz w:val="14"/>
          <w:szCs w:val="14"/>
          <w:b w:val="1"/>
          <w:bCs w:val="1"/>
          <w:color w:val="auto"/>
        </w:rPr>
        <w:t>Compliance with laws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at all times comply with all laws to which it may be subject from time to time.</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18.3</w:t>
      </w:r>
      <w:r>
        <w:rPr>
          <w:sz w:val="20"/>
          <w:szCs w:val="20"/>
          <w:color w:val="auto"/>
        </w:rPr>
        <w:tab/>
      </w:r>
      <w:r>
        <w:rPr>
          <w:rFonts w:ascii="Times New Roman" w:cs="Times New Roman" w:eastAsia="Times New Roman" w:hAnsi="Times New Roman"/>
          <w:sz w:val="14"/>
          <w:szCs w:val="14"/>
          <w:b w:val="1"/>
          <w:bCs w:val="1"/>
          <w:color w:val="auto"/>
        </w:rPr>
        <w:t>Environmental compliance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at all times: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18.3.1</w:t>
      </w:r>
      <w:r>
        <w:rPr>
          <w:sz w:val="20"/>
          <w:szCs w:val="20"/>
          <w:color w:val="auto"/>
        </w:rPr>
        <w:tab/>
      </w:r>
      <w:r>
        <w:rPr>
          <w:rFonts w:ascii="Times New Roman" w:cs="Times New Roman" w:eastAsia="Times New Roman" w:hAnsi="Times New Roman"/>
          <w:sz w:val="14"/>
          <w:szCs w:val="14"/>
          <w:color w:val="auto"/>
        </w:rPr>
        <w:t>comply with all Environmental Laws;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18.3.2</w:t>
      </w:r>
      <w:r>
        <w:rPr>
          <w:sz w:val="20"/>
          <w:szCs w:val="20"/>
          <w:color w:val="auto"/>
        </w:rPr>
        <w:tab/>
      </w:r>
      <w:r>
        <w:rPr>
          <w:rFonts w:ascii="Times New Roman" w:cs="Times New Roman" w:eastAsia="Times New Roman" w:hAnsi="Times New Roman"/>
          <w:sz w:val="14"/>
          <w:szCs w:val="14"/>
          <w:color w:val="auto"/>
        </w:rPr>
        <w:t>obtain, maintain and ensure compliance with all requisite Environmental Permits;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18.3.3</w:t>
      </w:r>
      <w:r>
        <w:rPr>
          <w:sz w:val="20"/>
          <w:szCs w:val="20"/>
          <w:color w:val="auto"/>
        </w:rPr>
        <w:tab/>
      </w:r>
      <w:r>
        <w:rPr>
          <w:rFonts w:ascii="Times New Roman" w:cs="Times New Roman" w:eastAsia="Times New Roman" w:hAnsi="Times New Roman"/>
          <w:sz w:val="14"/>
          <w:szCs w:val="14"/>
          <w:color w:val="auto"/>
        </w:rPr>
        <w:t>implement procedures to monitor compliance with and to prevent liability under any Environmental Laws.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8" w:name="page209"/>
    <w:bookmarkEnd w:id="208"/>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18.4</w:t>
      </w:r>
      <w:r>
        <w:rPr>
          <w:sz w:val="20"/>
          <w:szCs w:val="20"/>
          <w:color w:val="auto"/>
        </w:rPr>
        <w:tab/>
      </w:r>
      <w:r>
        <w:rPr>
          <w:rFonts w:ascii="Times New Roman" w:cs="Times New Roman" w:eastAsia="Times New Roman" w:hAnsi="Times New Roman"/>
          <w:sz w:val="14"/>
          <w:szCs w:val="14"/>
          <w:b w:val="1"/>
          <w:bCs w:val="1"/>
          <w:color w:val="auto"/>
        </w:rPr>
        <w:t>Environmental claims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promptly upon becoming aware of the same, inform the Lender in writing of:</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18.4.1</w:t>
      </w:r>
      <w:r>
        <w:rPr>
          <w:sz w:val="20"/>
          <w:szCs w:val="20"/>
          <w:color w:val="auto"/>
        </w:rPr>
        <w:tab/>
      </w:r>
      <w:r>
        <w:rPr>
          <w:rFonts w:ascii="Times New Roman" w:cs="Times New Roman" w:eastAsia="Times New Roman" w:hAnsi="Times New Roman"/>
          <w:sz w:val="14"/>
          <w:szCs w:val="14"/>
          <w:color w:val="auto"/>
        </w:rPr>
        <w:t>any Environmental Claim against it which is current, pending or threatened; and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18.4.2</w:t>
      </w:r>
      <w:r>
        <w:rPr>
          <w:sz w:val="20"/>
          <w:szCs w:val="20"/>
          <w:color w:val="auto"/>
        </w:rPr>
        <w:tab/>
      </w:r>
      <w:r>
        <w:rPr>
          <w:rFonts w:ascii="Times New Roman" w:cs="Times New Roman" w:eastAsia="Times New Roman" w:hAnsi="Times New Roman"/>
          <w:sz w:val="14"/>
          <w:szCs w:val="14"/>
          <w:color w:val="auto"/>
        </w:rPr>
        <w:t>any facts or circumstances which are reasonably likely to result in any Environmental Claim being commenced or threatened against it.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18.5</w:t>
      </w:r>
      <w:r>
        <w:rPr>
          <w:sz w:val="20"/>
          <w:szCs w:val="20"/>
          <w:color w:val="auto"/>
        </w:rPr>
        <w:tab/>
      </w:r>
      <w:r>
        <w:rPr>
          <w:rFonts w:ascii="Times New Roman" w:cs="Times New Roman" w:eastAsia="Times New Roman" w:hAnsi="Times New Roman"/>
          <w:sz w:val="14"/>
          <w:szCs w:val="14"/>
          <w:b w:val="1"/>
          <w:bCs w:val="1"/>
          <w:color w:val="auto"/>
        </w:rPr>
        <w:t>Taxation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18.5.1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shall pay and discharge all Taxes imposed upon it or its assets within the time period allowed without incurring penalties unless and only to the extent that: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18.5.1.1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such payment is being contested in good faith;</w:t>
            </w:r>
          </w:p>
        </w:tc>
      </w:tr>
      <w:tr>
        <w:trPr>
          <w:trHeight w:val="32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18.5.1.2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adequate reserves are being maintained for those Taxes and the costs required to contest them, which have been disclosed in its latest financial statements delivered to the Lender</w:t>
            </w:r>
          </w:p>
        </w:tc>
      </w:tr>
      <w:tr>
        <w:trPr>
          <w:trHeight w:val="188"/>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under clause 16.1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18.5.1.3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failure to pay those Taxes does not have or is not reasonably likely to have a Material Adverse Effect.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18.5.2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may not change its residence for Tax purposes.</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18.6</w:t>
      </w:r>
      <w:r>
        <w:rPr>
          <w:sz w:val="20"/>
          <w:szCs w:val="20"/>
          <w:color w:val="auto"/>
        </w:rPr>
        <w:tab/>
      </w:r>
      <w:r>
        <w:rPr>
          <w:rFonts w:ascii="Times New Roman" w:cs="Times New Roman" w:eastAsia="Times New Roman" w:hAnsi="Times New Roman"/>
          <w:sz w:val="14"/>
          <w:szCs w:val="14"/>
          <w:b w:val="1"/>
          <w:bCs w:val="1"/>
          <w:color w:val="auto"/>
        </w:rPr>
        <w:t>Municipal Fees</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shall pay and discharge all accounts relating to assessment rates and other municipal services in respect of the Property, including electricity and water, within the time period allowed without incurring penalties.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18.7</w:t>
      </w:r>
      <w:r>
        <w:rPr>
          <w:sz w:val="20"/>
          <w:szCs w:val="20"/>
          <w:color w:val="auto"/>
        </w:rPr>
        <w:tab/>
      </w:r>
      <w:r>
        <w:rPr>
          <w:rFonts w:ascii="Times New Roman" w:cs="Times New Roman" w:eastAsia="Times New Roman" w:hAnsi="Times New Roman"/>
          <w:sz w:val="14"/>
          <w:szCs w:val="14"/>
          <w:b w:val="1"/>
          <w:bCs w:val="1"/>
          <w:color w:val="auto"/>
        </w:rPr>
        <w:t>Preservation of Assets</w:t>
      </w:r>
    </w:p>
    <w:p>
      <w:pPr>
        <w:spacing w:after="0" w:line="185"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4"/>
          <w:szCs w:val="14"/>
          <w:color w:val="auto"/>
        </w:rPr>
        <w:t>The Borrower shall ensure that the Property is maintained in good working order and condition (ordinary wear and tear excepted) and for the purpose for which it is used from time to time.</w:t>
      </w:r>
    </w:p>
    <w:p>
      <w:pPr>
        <w:spacing w:after="0" w:line="33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18.8</w:t>
      </w:r>
      <w:r>
        <w:rPr>
          <w:sz w:val="20"/>
          <w:szCs w:val="20"/>
          <w:color w:val="auto"/>
        </w:rPr>
        <w:tab/>
      </w:r>
      <w:r>
        <w:rPr>
          <w:rFonts w:ascii="Times New Roman" w:cs="Times New Roman" w:eastAsia="Times New Roman" w:hAnsi="Times New Roman"/>
          <w:sz w:val="14"/>
          <w:szCs w:val="14"/>
          <w:b w:val="1"/>
          <w:bCs w:val="1"/>
          <w:color w:val="auto"/>
        </w:rPr>
        <w:t>Preservation of Security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do all things as are necessary to maintain, preserve and protect the Security created pursuant to the Security Documents, subject to the provisions of this Agreement.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18.9</w:t>
      </w:r>
      <w:r>
        <w:rPr>
          <w:sz w:val="20"/>
          <w:szCs w:val="20"/>
          <w:color w:val="auto"/>
        </w:rPr>
        <w:tab/>
      </w:r>
      <w:r>
        <w:rPr>
          <w:rFonts w:ascii="Times New Roman" w:cs="Times New Roman" w:eastAsia="Times New Roman" w:hAnsi="Times New Roman"/>
          <w:sz w:val="14"/>
          <w:szCs w:val="14"/>
          <w:b w:val="1"/>
          <w:bCs w:val="1"/>
          <w:color w:val="auto"/>
        </w:rPr>
        <w:t>Negative pledge</w:t>
      </w:r>
    </w:p>
    <w:p>
      <w:pPr>
        <w:spacing w:after="0" w:line="185"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18.9.1</w:t>
      </w:r>
      <w:r>
        <w:rPr>
          <w:sz w:val="20"/>
          <w:szCs w:val="20"/>
          <w:color w:val="auto"/>
        </w:rPr>
        <w:tab/>
      </w:r>
      <w:r>
        <w:rPr>
          <w:rFonts w:ascii="Times New Roman" w:cs="Times New Roman" w:eastAsia="Times New Roman" w:hAnsi="Times New Roman"/>
          <w:sz w:val="14"/>
          <w:szCs w:val="14"/>
          <w:color w:val="auto"/>
        </w:rPr>
        <w:t>The Borrower, by its signature hereto, undertakes to the Lender that it shall not create or permit to subsist any Security or Quasi Security over the Property (other than the mortgage bonds registered in favour of the Lender over the Property) and/or any of its other assets over which Security or Quasi Security has been granted in favour of the Lender, without the prior written consent of the Lender;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18.9.2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For the purpose of this clause 18.9 </w:t>
            </w:r>
            <w:r>
              <w:rPr>
                <w:rFonts w:ascii="Times New Roman" w:cs="Times New Roman" w:eastAsia="Times New Roman" w:hAnsi="Times New Roman"/>
                <w:sz w:val="14"/>
                <w:szCs w:val="14"/>
                <w:b w:val="1"/>
                <w:bCs w:val="1"/>
                <w:color w:val="auto"/>
              </w:rPr>
              <w:t>Quasi Security</w:t>
            </w:r>
            <w:r>
              <w:rPr>
                <w:rFonts w:ascii="Times New Roman" w:cs="Times New Roman" w:eastAsia="Times New Roman" w:hAnsi="Times New Roman"/>
                <w:sz w:val="14"/>
                <w:szCs w:val="14"/>
                <w:color w:val="auto"/>
              </w:rPr>
              <w:t xml:space="preserve"> means: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18.9.2.1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sale, transfer or other disposal of any of the Borrower’s assets on terms whereby they are or may be leased to or re-acquired by the Borrower or any of its Affiliates;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18.9.2.2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sale, transfer or other disposal of any of the Borrower receivables on recourse terms;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18.9.2.3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entering into of any arrangement under which money for the benefit of a bank or other account may be applied, set off or made subject to a combination of accounts; or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18.9.2.4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entering into of any preferential arrangement having a similar effect, in circumstances where the arrangement or transaction is entered into primarily as a method of raising</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Financial Indebtedness or of financing the acquisition of an asset.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18.9.3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Clause 18.9.1 above does not apply to any other Security approved in writing by the Lender from time to time.</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18.10</w:t>
      </w:r>
      <w:r>
        <w:rPr>
          <w:sz w:val="20"/>
          <w:szCs w:val="20"/>
          <w:color w:val="auto"/>
        </w:rPr>
        <w:tab/>
      </w:r>
      <w:r>
        <w:rPr>
          <w:rFonts w:ascii="Times New Roman" w:cs="Times New Roman" w:eastAsia="Times New Roman" w:hAnsi="Times New Roman"/>
          <w:sz w:val="14"/>
          <w:szCs w:val="14"/>
          <w:b w:val="1"/>
          <w:bCs w:val="1"/>
          <w:color w:val="auto"/>
        </w:rPr>
        <w:t>Auditors</w:t>
      </w:r>
    </w:p>
    <w:p>
      <w:pPr>
        <w:spacing w:after="0" w:line="18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4"/>
          <w:szCs w:val="14"/>
          <w:color w:val="auto"/>
        </w:rPr>
        <w:t>The Borrower shall not change its Auditor as at the Signature Date, without the prior written consent of the Lender, provided that the Borrower may change its auditors to any one of PricewaterhouseCoopers, Ernst &amp; Young, KPMG, SNG Grant Thornton or Deloitte &amp; Touche without the consent of the Lender. The Borrower shall notify the Lender promptly of any change to its auditors.</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18.11</w:t>
      </w:r>
      <w:r>
        <w:rPr>
          <w:sz w:val="20"/>
          <w:szCs w:val="20"/>
          <w:color w:val="auto"/>
        </w:rPr>
        <w:tab/>
      </w:r>
      <w:r>
        <w:rPr>
          <w:rFonts w:ascii="Times New Roman" w:cs="Times New Roman" w:eastAsia="Times New Roman" w:hAnsi="Times New Roman"/>
          <w:sz w:val="14"/>
          <w:szCs w:val="14"/>
          <w:b w:val="1"/>
          <w:bCs w:val="1"/>
          <w:color w:val="auto"/>
        </w:rPr>
        <w:t>Constitutional documents</w:t>
      </w:r>
    </w:p>
    <w:p>
      <w:pPr>
        <w:spacing w:after="0" w:line="185" w:lineRule="exact"/>
        <w:rPr>
          <w:sz w:val="20"/>
          <w:szCs w:val="20"/>
          <w:color w:val="auto"/>
        </w:rPr>
      </w:pPr>
    </w:p>
    <w:p>
      <w:pPr>
        <w:jc w:val="both"/>
        <w:ind w:left="520"/>
        <w:spacing w:after="0" w:line="292" w:lineRule="auto"/>
        <w:rPr>
          <w:sz w:val="20"/>
          <w:szCs w:val="20"/>
          <w:color w:val="auto"/>
        </w:rPr>
      </w:pPr>
      <w:r>
        <w:rPr>
          <w:rFonts w:ascii="Times New Roman" w:cs="Times New Roman" w:eastAsia="Times New Roman" w:hAnsi="Times New Roman"/>
          <w:sz w:val="14"/>
          <w:szCs w:val="14"/>
          <w:color w:val="auto"/>
        </w:rPr>
        <w:t>Save in respect of any changes required to be made in terms of any applicable law or regulation, the Borrower shall effect no change to its constitutional documents which adversely affects or is reasonably likely to adversely affect the rights of the Lender, without the prior written consent of the Lender.</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18.12</w:t>
      </w:r>
      <w:r>
        <w:rPr>
          <w:sz w:val="20"/>
          <w:szCs w:val="20"/>
          <w:color w:val="auto"/>
        </w:rPr>
        <w:tab/>
      </w:r>
      <w:r>
        <w:rPr>
          <w:rFonts w:ascii="Times New Roman" w:cs="Times New Roman" w:eastAsia="Times New Roman" w:hAnsi="Times New Roman"/>
          <w:sz w:val="14"/>
          <w:szCs w:val="14"/>
          <w:b w:val="1"/>
          <w:bCs w:val="1"/>
          <w:color w:val="auto"/>
        </w:rPr>
        <w:t>Change of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shall procure that no substantial change is made to the general nature of the business of the Borrower from that carried on at the Signature Date.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0" w:name="page211"/>
    <w:bookmarkEnd w:id="210"/>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18.13</w:t>
      </w:r>
      <w:r>
        <w:rPr>
          <w:sz w:val="20"/>
          <w:szCs w:val="20"/>
          <w:color w:val="auto"/>
        </w:rPr>
        <w:tab/>
      </w:r>
      <w:r>
        <w:rPr>
          <w:rFonts w:ascii="Times New Roman" w:cs="Times New Roman" w:eastAsia="Times New Roman" w:hAnsi="Times New Roman"/>
          <w:sz w:val="14"/>
          <w:szCs w:val="14"/>
          <w:b w:val="1"/>
          <w:bCs w:val="1"/>
          <w:color w:val="auto"/>
        </w:rPr>
        <w:t>Sanctions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Notwithstanding any other provision in this Agreement, the Borrower shall not:</w:t>
      </w:r>
    </w:p>
    <w:p>
      <w:pPr>
        <w:spacing w:after="0" w:line="183"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18.13.1</w:t>
      </w:r>
      <w:r>
        <w:rPr>
          <w:sz w:val="20"/>
          <w:szCs w:val="20"/>
          <w:color w:val="auto"/>
        </w:rPr>
        <w:tab/>
      </w:r>
      <w:r>
        <w:rPr>
          <w:rFonts w:ascii="Times New Roman" w:cs="Times New Roman" w:eastAsia="Times New Roman" w:hAnsi="Times New Roman"/>
          <w:sz w:val="14"/>
          <w:szCs w:val="14"/>
          <w:color w:val="auto"/>
        </w:rPr>
        <w:t>use the proceeds of any Loan for the purpose of financing directly or indirectly (or otherwise make available) the activities of any person or entity which is currently listed on any Sanctions List or in a country which is currently subject to any Sanctions, to the extent such financing would currently be prohibited by Sanctions if conducted by a person in the United States of America; and/or</w:t>
      </w:r>
    </w:p>
    <w:p>
      <w:pPr>
        <w:spacing w:after="0" w:line="136"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18.13.2</w:t>
      </w:r>
      <w:r>
        <w:rPr>
          <w:sz w:val="20"/>
          <w:szCs w:val="20"/>
          <w:color w:val="auto"/>
        </w:rPr>
        <w:tab/>
      </w:r>
      <w:r>
        <w:rPr>
          <w:rFonts w:ascii="Times New Roman" w:cs="Times New Roman" w:eastAsia="Times New Roman" w:hAnsi="Times New Roman"/>
          <w:sz w:val="14"/>
          <w:szCs w:val="14"/>
          <w:color w:val="auto"/>
        </w:rPr>
        <w:t>contribute or otherwise make available the proceeds of any Loan to any other person or entity if the Borrower has actual knowledge that such party intends to use such proceeds for the purpose of financing the activities of any person or entity which is currently on any Sanctions List or in a country which is subject to any Sanctions, to the extent such financing would currently be prohibited by Sanctions if conducted by a person in the United States of America.</w:t>
      </w:r>
    </w:p>
    <w:p>
      <w:pPr>
        <w:spacing w:after="0" w:line="1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18.14</w:t>
      </w:r>
      <w:r>
        <w:rPr>
          <w:sz w:val="20"/>
          <w:szCs w:val="20"/>
          <w:color w:val="auto"/>
        </w:rPr>
        <w:tab/>
      </w:r>
      <w:r>
        <w:rPr>
          <w:rFonts w:ascii="Times New Roman" w:cs="Times New Roman" w:eastAsia="Times New Roman" w:hAnsi="Times New Roman"/>
          <w:sz w:val="14"/>
          <w:szCs w:val="14"/>
          <w:b w:val="1"/>
          <w:bCs w:val="1"/>
          <w:color w:val="auto"/>
        </w:rPr>
        <w:t>Further Assurance</w:t>
      </w:r>
    </w:p>
    <w:p>
      <w:pPr>
        <w:spacing w:after="0" w:line="185" w:lineRule="exact"/>
        <w:rPr>
          <w:sz w:val="20"/>
          <w:szCs w:val="20"/>
          <w:color w:val="auto"/>
        </w:rPr>
      </w:pPr>
    </w:p>
    <w:p>
      <w:pPr>
        <w:jc w:val="both"/>
        <w:ind w:left="780" w:hanging="772"/>
        <w:spacing w:after="0" w:line="265" w:lineRule="auto"/>
        <w:tabs>
          <w:tab w:leader="none" w:pos="760" w:val="left"/>
        </w:tabs>
        <w:rPr>
          <w:sz w:val="20"/>
          <w:szCs w:val="20"/>
          <w:color w:val="auto"/>
        </w:rPr>
      </w:pPr>
      <w:r>
        <w:rPr>
          <w:rFonts w:ascii="Times New Roman" w:cs="Times New Roman" w:eastAsia="Times New Roman" w:hAnsi="Times New Roman"/>
          <w:sz w:val="14"/>
          <w:szCs w:val="14"/>
          <w:color w:val="auto"/>
        </w:rPr>
        <w:t>18.14.1</w:t>
      </w:r>
      <w:r>
        <w:rPr>
          <w:sz w:val="20"/>
          <w:szCs w:val="20"/>
          <w:color w:val="auto"/>
        </w:rPr>
        <w:tab/>
      </w:r>
      <w:r>
        <w:rPr>
          <w:rFonts w:ascii="Times New Roman" w:cs="Times New Roman" w:eastAsia="Times New Roman" w:hAnsi="Times New Roman"/>
          <w:sz w:val="14"/>
          <w:szCs w:val="14"/>
          <w:color w:val="auto"/>
        </w:rPr>
        <w:t>The Borrower shall promptly do all such acts or execute all such documents and shall procure that all such documents are executed (including cessions, assignments, transfers, mortgages, charges, notices and instructions) as the Lender may reasonably specify (and in such form as the Lender may reasonably require in favour of the Lender or its nominee(s)) to perfect the Security created or intended to be created under or evidenced by the Security Documents to which it the Lender is party (which may include the execution of a mortgage, charge, cession, assignment or other Security over all or any of the assets which are, or are intended to be, the subject of the Transaction Security) or for the exercise of any rights, powers and remedies of the Lender provided by or pursuant to the Finance Documents to which the Lender is party or by law.</w:t>
      </w:r>
    </w:p>
    <w:p>
      <w:pPr>
        <w:spacing w:after="0" w:line="142"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18.14.2</w:t>
      </w:r>
      <w:r>
        <w:rPr>
          <w:sz w:val="20"/>
          <w:szCs w:val="20"/>
          <w:color w:val="auto"/>
        </w:rPr>
        <w:tab/>
      </w:r>
      <w:r>
        <w:rPr>
          <w:rFonts w:ascii="Times New Roman" w:cs="Times New Roman" w:eastAsia="Times New Roman" w:hAnsi="Times New Roman"/>
          <w:sz w:val="14"/>
          <w:szCs w:val="14"/>
          <w:color w:val="auto"/>
        </w:rPr>
        <w:t>The Borrower shall take all such reasonable steps as are available (including making all filings and registrations) and as may be necessary for the purpose of the creation, perfection, protection or maintenance of any Security conferred or intended to be conferred on the Lender by or pursuant to the Finance Documents.</w:t>
      </w:r>
    </w:p>
    <w:p>
      <w:pPr>
        <w:spacing w:after="0" w:line="122" w:lineRule="exact"/>
        <w:rPr>
          <w:sz w:val="20"/>
          <w:szCs w:val="20"/>
          <w:color w:val="auto"/>
        </w:rPr>
      </w:pPr>
    </w:p>
    <w:p>
      <w:pPr>
        <w:ind w:left="260" w:hanging="254"/>
        <w:spacing w:after="0"/>
        <w:tabs>
          <w:tab w:leader="none" w:pos="2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PROPERTY UNDERTAKINGS</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undertakings in this clause 19 remain in force from the Signature Date for so long as any amount is outstanding under the Finance Documents.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1" w:name="page212"/>
    <w:bookmarkEnd w:id="211"/>
    <w:p>
      <w:pPr>
        <w:spacing w:after="0"/>
        <w:tabs>
          <w:tab w:leader="none" w:pos="500" w:val="left"/>
        </w:tabs>
        <w:rPr>
          <w:sz w:val="20"/>
          <w:szCs w:val="20"/>
          <w:color w:val="auto"/>
        </w:rPr>
      </w:pPr>
      <w:r>
        <w:rPr>
          <w:rFonts w:ascii="Times New Roman" w:cs="Times New Roman" w:eastAsia="Times New Roman" w:hAnsi="Times New Roman"/>
          <w:sz w:val="14"/>
          <w:szCs w:val="14"/>
          <w:color w:val="auto"/>
        </w:rPr>
        <w:t>19.1</w:t>
      </w:r>
      <w:r>
        <w:rPr>
          <w:sz w:val="20"/>
          <w:szCs w:val="20"/>
          <w:color w:val="auto"/>
        </w:rPr>
        <w:tab/>
      </w:r>
      <w:r>
        <w:rPr>
          <w:rFonts w:ascii="Times New Roman" w:cs="Times New Roman" w:eastAsia="Times New Roman" w:hAnsi="Times New Roman"/>
          <w:sz w:val="14"/>
          <w:szCs w:val="14"/>
          <w:b w:val="1"/>
          <w:bCs w:val="1"/>
          <w:color w:val="auto"/>
        </w:rPr>
        <w:t>Insurances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shall ensure that the following minimum Insurances are maintained for as long as the Mortgage Bond is registered, or any amount is available for Utilisation, or</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 (whichever is the later) under any Facility:</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property owners’ insurance of the buildings on the Property, including fixtures and fittings, walls, gates, posts and fences (excluding hedges) against the perils of fire, lightning,</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explosion, earthquake (fire and shock risks), riot, strike and malicious damage and special perils (storm, wind, water, hail, snow, aircraft and impact by animals or vehicles);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SASRIA cover (politically motivated damage) in respect of the Property; and</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business interruption insurance sufficient to cover any loss of income, damages, expenses, rent payable and/or receivable and all other sums payable under the Lease Agreement,</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 order to service the loan agreement”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property owners’ liability (being legal liability to third parties) with an indemnity limit of not less than R10,000,000 (ten million Rand) on any one occurrence in respect of the</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Property.</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shall:</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19.1.2.1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comply with the terms of the Insurances and not do or permit anything to be done which may make void or voidable any of the Insurances;</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19.1.2.2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ensure that each premium payable under the Insurance Policies is paid prior to the commencement of the period of insurance for which that premium is payable;</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19.1.2.3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ensure that the Lender’s interest is noted on the insurance Policies as first loss payee in the requisite mortgagee clause in the Insurance Policies;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19.1.2.4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provide the Lender with certified copies of the Insurance Policies contemplated in clauses 19.1.1.1 to 19.1.1.4 above for scrutiny by the Lender.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Borrower shall furnish the Lender with such documentary evidence as the Lender may require reflecting that the Insurances are in effect.</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19.1.4</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the Insurance is not maintained and the Borrower shall does not instruct the Lender to do so on its behalf, the Lender will have the right, but not an obligation, to insure the Property</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 any one of them on behalf of the Borrower, at the Borrower’s expense, with an insurance company nominated by the Lender.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19.1.5</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Lender shall be entitled to recover the expenses incurred in terms of clause 19.1.4 above by increasing the Loan Outstandings by the amount of any expenses incurred by the</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Lender on behalf of the Borrower and the Borrower hereby irrevocably authorises the Lender to do so.</w:t>
            </w:r>
          </w:p>
        </w:tc>
      </w:tr>
      <w:tr>
        <w:trPr>
          <w:trHeight w:val="518"/>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4"/>
                <w:szCs w:val="14"/>
                <w:color w:val="auto"/>
              </w:rPr>
              <w:t>48</w:t>
            </w:r>
          </w:p>
        </w:tc>
      </w:tr>
    </w:tbl>
    <w:p>
      <w:pPr>
        <w:sectPr>
          <w:pgSz w:w="11900" w:h="16838" w:orient="portrait"/>
          <w:cols w:equalWidth="0" w:num="1">
            <w:col w:w="11280"/>
          </w:cols>
          <w:pgMar w:left="300" w:top="295" w:right="319" w:bottom="1440" w:gutter="0" w:footer="0" w:header="0"/>
        </w:sectPr>
      </w:pPr>
    </w:p>
    <w:bookmarkStart w:id="212" w:name="page213"/>
    <w:bookmarkEnd w:id="212"/>
    <w:p>
      <w:pPr>
        <w:spacing w:after="0"/>
        <w:tabs>
          <w:tab w:leader="none" w:pos="500" w:val="left"/>
        </w:tabs>
        <w:rPr>
          <w:sz w:val="20"/>
          <w:szCs w:val="20"/>
          <w:color w:val="auto"/>
        </w:rPr>
      </w:pPr>
      <w:r>
        <w:rPr>
          <w:rFonts w:ascii="Times New Roman" w:cs="Times New Roman" w:eastAsia="Times New Roman" w:hAnsi="Times New Roman"/>
          <w:sz w:val="14"/>
          <w:szCs w:val="14"/>
          <w:color w:val="auto"/>
        </w:rPr>
        <w:t>19.2</w:t>
      </w:r>
      <w:r>
        <w:rPr>
          <w:sz w:val="20"/>
          <w:szCs w:val="20"/>
          <w:color w:val="auto"/>
        </w:rPr>
        <w:tab/>
      </w:r>
      <w:r>
        <w:rPr>
          <w:rFonts w:ascii="Times New Roman" w:cs="Times New Roman" w:eastAsia="Times New Roman" w:hAnsi="Times New Roman"/>
          <w:sz w:val="14"/>
          <w:szCs w:val="14"/>
          <w:b w:val="1"/>
          <w:bCs w:val="1"/>
          <w:color w:val="auto"/>
        </w:rPr>
        <w:t>Lease Agreement/s</w:t>
      </w:r>
    </w:p>
    <w:p>
      <w:pPr>
        <w:spacing w:after="0" w:line="18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19.3</w:t>
      </w:r>
      <w:r>
        <w:rPr>
          <w:sz w:val="20"/>
          <w:szCs w:val="20"/>
          <w:color w:val="auto"/>
        </w:rPr>
        <w:tab/>
      </w:r>
      <w:r>
        <w:rPr>
          <w:rFonts w:ascii="Times New Roman" w:cs="Times New Roman" w:eastAsia="Times New Roman" w:hAnsi="Times New Roman"/>
          <w:sz w:val="14"/>
          <w:szCs w:val="14"/>
          <w:color w:val="auto"/>
        </w:rPr>
        <w:t>The Borrower shall:</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19.3.1</w:t>
      </w:r>
      <w:r>
        <w:rPr>
          <w:sz w:val="20"/>
          <w:szCs w:val="20"/>
          <w:color w:val="auto"/>
        </w:rPr>
        <w:tab/>
      </w:r>
      <w:r>
        <w:rPr>
          <w:rFonts w:ascii="Times New Roman" w:cs="Times New Roman" w:eastAsia="Times New Roman" w:hAnsi="Times New Roman"/>
          <w:sz w:val="14"/>
          <w:szCs w:val="14"/>
          <w:color w:val="auto"/>
        </w:rPr>
        <w:t>furnish the Lender upon demand by the Lender, with such information as the Lender may reasonably require in respect of the Property, the Lease Agreement/s and/or the Lessees;</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19.3.2</w:t>
      </w:r>
      <w:r>
        <w:rPr>
          <w:sz w:val="20"/>
          <w:szCs w:val="20"/>
          <w:color w:val="auto"/>
        </w:rPr>
        <w:tab/>
      </w:r>
      <w:r>
        <w:rPr>
          <w:rFonts w:ascii="Times New Roman" w:cs="Times New Roman" w:eastAsia="Times New Roman" w:hAnsi="Times New Roman"/>
          <w:sz w:val="14"/>
          <w:szCs w:val="14"/>
          <w:color w:val="auto"/>
        </w:rPr>
        <w:t>provide the Lender with full details regarding any material change in tenancy of the Property at any time prior to the Facility 2 Final Repayment Date and shall, upon request, provide the Lender with copies of all Lease Agreement/s pertaining to such change in tenancy.</w:t>
      </w:r>
    </w:p>
    <w:p>
      <w:pPr>
        <w:spacing w:after="0" w:line="124"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19.3.3</w:t>
      </w:r>
      <w:r>
        <w:rPr>
          <w:sz w:val="20"/>
          <w:szCs w:val="20"/>
          <w:color w:val="auto"/>
        </w:rPr>
        <w:tab/>
      </w:r>
      <w:r>
        <w:rPr>
          <w:rFonts w:ascii="Times New Roman" w:cs="Times New Roman" w:eastAsia="Times New Roman" w:hAnsi="Times New Roman"/>
          <w:sz w:val="14"/>
          <w:szCs w:val="14"/>
          <w:color w:val="auto"/>
        </w:rPr>
        <w:t>The Borrower shall not agree to amend, vary, novate, supplement, supersede or waive any Lease Agreements term which change would adversely affect the Lease Agreement, the Lender or the Borrower’s position except in writing and without the prior approval of the Lender.</w:t>
      </w:r>
    </w:p>
    <w:p>
      <w:pPr>
        <w:spacing w:after="0" w:line="124"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19.3.4</w:t>
      </w:r>
      <w:r>
        <w:rPr>
          <w:sz w:val="20"/>
          <w:szCs w:val="20"/>
          <w:color w:val="auto"/>
        </w:rPr>
        <w:tab/>
      </w:r>
      <w:r>
        <w:rPr>
          <w:rFonts w:ascii="Times New Roman" w:cs="Times New Roman" w:eastAsia="Times New Roman" w:hAnsi="Times New Roman"/>
          <w:sz w:val="14"/>
          <w:szCs w:val="14"/>
          <w:color w:val="auto"/>
        </w:rPr>
        <w:t>The Borrower shall as soon as possible supply to the Lender a copy of any document relating to any amendment, variation, novation, supplement, supersession or waiver of any term of any Lease Agreement contemplated in clause 19.2 (</w:t>
      </w:r>
      <w:r>
        <w:rPr>
          <w:rFonts w:ascii="Times New Roman" w:cs="Times New Roman" w:eastAsia="Times New Roman" w:hAnsi="Times New Roman"/>
          <w:sz w:val="14"/>
          <w:szCs w:val="14"/>
          <w:i w:val="1"/>
          <w:iCs w:val="1"/>
          <w:color w:val="auto"/>
        </w:rPr>
        <w:t>Lease Agreement/s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19.4</w:t>
      </w:r>
      <w:r>
        <w:rPr>
          <w:sz w:val="20"/>
          <w:szCs w:val="20"/>
          <w:color w:val="auto"/>
        </w:rPr>
        <w:tab/>
      </w:r>
      <w:r>
        <w:rPr>
          <w:rFonts w:ascii="Times New Roman" w:cs="Times New Roman" w:eastAsia="Times New Roman" w:hAnsi="Times New Roman"/>
          <w:sz w:val="14"/>
          <w:szCs w:val="14"/>
          <w:b w:val="1"/>
          <w:bCs w:val="1"/>
          <w:color w:val="auto"/>
        </w:rPr>
        <w:t>Restitution or Expropriation</w:t>
      </w:r>
    </w:p>
    <w:p>
      <w:pPr>
        <w:spacing w:after="0" w:line="183" w:lineRule="exact"/>
        <w:rPr>
          <w:sz w:val="20"/>
          <w:szCs w:val="20"/>
          <w:color w:val="auto"/>
        </w:rPr>
      </w:pPr>
    </w:p>
    <w:p>
      <w:pPr>
        <w:jc w:val="both"/>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19.4.1</w:t>
      </w:r>
      <w:r>
        <w:rPr>
          <w:sz w:val="20"/>
          <w:szCs w:val="20"/>
          <w:color w:val="auto"/>
        </w:rPr>
        <w:tab/>
      </w:r>
      <w:r>
        <w:rPr>
          <w:rFonts w:ascii="Times New Roman" w:cs="Times New Roman" w:eastAsia="Times New Roman" w:hAnsi="Times New Roman"/>
          <w:sz w:val="14"/>
          <w:szCs w:val="14"/>
          <w:color w:val="auto"/>
        </w:rPr>
        <w:t>The Borrower shall be obliged, at any time after the Signature Date, to notify the Lender of any claim or pending claim for restitution or any notice contemplated in clause 19.4.1 (</w:t>
      </w:r>
      <w:r>
        <w:rPr>
          <w:rFonts w:ascii="Times New Roman" w:cs="Times New Roman" w:eastAsia="Times New Roman" w:hAnsi="Times New Roman"/>
          <w:sz w:val="14"/>
          <w:szCs w:val="14"/>
          <w:i w:val="1"/>
          <w:iCs w:val="1"/>
          <w:color w:val="auto"/>
        </w:rPr>
        <w:t>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Restitution or Expropriation</w:t>
      </w:r>
      <w:r>
        <w:rPr>
          <w:rFonts w:ascii="Times New Roman" w:cs="Times New Roman" w:eastAsia="Times New Roman" w:hAnsi="Times New Roman"/>
          <w:sz w:val="14"/>
          <w:szCs w:val="14"/>
          <w:color w:val="auto"/>
        </w:rPr>
        <w:t>) in respect of the Property as soon as the Borrower receives or becomes aware of such claim or notice.</w:t>
      </w:r>
    </w:p>
    <w:p>
      <w:pPr>
        <w:spacing w:after="0" w:line="120" w:lineRule="exact"/>
        <w:rPr>
          <w:sz w:val="20"/>
          <w:szCs w:val="20"/>
          <w:color w:val="auto"/>
        </w:rPr>
      </w:pPr>
    </w:p>
    <w:p>
      <w:pPr>
        <w:jc w:val="both"/>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19.4.2</w:t>
      </w:r>
      <w:r>
        <w:rPr>
          <w:sz w:val="20"/>
          <w:szCs w:val="20"/>
          <w:color w:val="auto"/>
        </w:rPr>
        <w:tab/>
      </w:r>
      <w:r>
        <w:rPr>
          <w:rFonts w:ascii="Times New Roman" w:cs="Times New Roman" w:eastAsia="Times New Roman" w:hAnsi="Times New Roman"/>
          <w:sz w:val="14"/>
          <w:szCs w:val="14"/>
          <w:color w:val="auto"/>
        </w:rPr>
        <w:t>The Borrower hereby indemnifies the Lender against any direct loss, damage or expense incurred by the Lender arising from any of the circumstances listed in clause 19.4.1 (</w:t>
      </w:r>
      <w:r>
        <w:rPr>
          <w:rFonts w:ascii="Times New Roman" w:cs="Times New Roman" w:eastAsia="Times New Roman" w:hAnsi="Times New Roman"/>
          <w:sz w:val="14"/>
          <w:szCs w:val="14"/>
          <w:i w:val="1"/>
          <w:iCs w:val="1"/>
          <w:color w:val="auto"/>
        </w:rPr>
        <w:t>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Restitution or Expropriation</w:t>
      </w:r>
      <w:r>
        <w:rPr>
          <w:rFonts w:ascii="Times New Roman" w:cs="Times New Roman" w:eastAsia="Times New Roman" w:hAnsi="Times New Roman"/>
          <w:sz w:val="14"/>
          <w:szCs w:val="14"/>
          <w:color w:val="auto"/>
        </w:rPr>
        <w:t>), other than any loss, damage or expense arising from the Lender’s wilful misconduct or gross negligence.</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19.5</w:t>
      </w:r>
      <w:r>
        <w:rPr>
          <w:sz w:val="20"/>
          <w:szCs w:val="20"/>
          <w:color w:val="auto"/>
        </w:rPr>
        <w:tab/>
      </w:r>
      <w:r>
        <w:rPr>
          <w:rFonts w:ascii="Times New Roman" w:cs="Times New Roman" w:eastAsia="Times New Roman" w:hAnsi="Times New Roman"/>
          <w:sz w:val="14"/>
          <w:szCs w:val="14"/>
          <w:b w:val="1"/>
          <w:bCs w:val="1"/>
          <w:color w:val="auto"/>
        </w:rPr>
        <w:t>Valuations and Inspections</w:t>
      </w:r>
    </w:p>
    <w:p>
      <w:pPr>
        <w:spacing w:after="0" w:line="185"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19.5.1</w:t>
      </w:r>
      <w:r>
        <w:rPr>
          <w:sz w:val="20"/>
          <w:szCs w:val="20"/>
          <w:color w:val="auto"/>
        </w:rPr>
        <w:tab/>
      </w:r>
      <w:r>
        <w:rPr>
          <w:rFonts w:ascii="Times New Roman" w:cs="Times New Roman" w:eastAsia="Times New Roman" w:hAnsi="Times New Roman"/>
          <w:sz w:val="14"/>
          <w:szCs w:val="14"/>
          <w:color w:val="auto"/>
        </w:rPr>
        <w:t>The Lender may in its sole discretion inspect and/or value the Property for as long as any amount under a Facility remains outstanding and at/ intervals determined by the Lender in its sole, absolute and unfettered discretion. The Borrower shall furnish to the Lender all information the Lender may reasonably request for this purpose.</w:t>
      </w:r>
    </w:p>
    <w:p>
      <w:pPr>
        <w:spacing w:after="0" w:line="124" w:lineRule="exact"/>
        <w:rPr>
          <w:sz w:val="20"/>
          <w:szCs w:val="20"/>
          <w:color w:val="auto"/>
        </w:rPr>
      </w:pPr>
    </w:p>
    <w:p>
      <w:pPr>
        <w:jc w:val="both"/>
        <w:ind w:left="780" w:hanging="772"/>
        <w:spacing w:after="0" w:line="265" w:lineRule="auto"/>
        <w:tabs>
          <w:tab w:leader="none" w:pos="760" w:val="left"/>
        </w:tabs>
        <w:rPr>
          <w:sz w:val="20"/>
          <w:szCs w:val="20"/>
          <w:color w:val="auto"/>
        </w:rPr>
      </w:pPr>
      <w:r>
        <w:rPr>
          <w:rFonts w:ascii="Times New Roman" w:cs="Times New Roman" w:eastAsia="Times New Roman" w:hAnsi="Times New Roman"/>
          <w:sz w:val="14"/>
          <w:szCs w:val="14"/>
          <w:color w:val="auto"/>
        </w:rPr>
        <w:t>19.5.2</w:t>
      </w:r>
      <w:r>
        <w:rPr>
          <w:sz w:val="20"/>
          <w:szCs w:val="20"/>
          <w:color w:val="auto"/>
        </w:rPr>
        <w:tab/>
      </w:r>
      <w:r>
        <w:rPr>
          <w:rFonts w:ascii="Times New Roman" w:cs="Times New Roman" w:eastAsia="Times New Roman" w:hAnsi="Times New Roman"/>
          <w:sz w:val="14"/>
          <w:szCs w:val="14"/>
          <w:color w:val="auto"/>
        </w:rPr>
        <w:t>The Parties agree that, should the Borrower provide Security over certain assets to the Lender (including but not limited to those secured by special notarial bonds, general notarial bonds, mortgage bonds (including the Mortgage Bond), cessions of mortgage bonds, pledges and cessions of listed or unlisted equities or participatory interests), then the value of these assets may be determined by the Valuer or the value of such assets may be determined by the Lender itself, in the Lender’s discretion (the Security Value), provided that in the event that there is dispute as to the Security Value as determined by each of the Valuer and the Lender, then the Security Value as determined by the Lender shall prevail. The Borrower agrees and shall procure that such assets may be valued to determine the Security Value for so long as any amount remains outstanding under a Facility.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3" w:name="page214"/>
    <w:bookmarkEnd w:id="213"/>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19.5.3</w:t>
      </w:r>
      <w:r>
        <w:rPr>
          <w:sz w:val="20"/>
          <w:szCs w:val="20"/>
          <w:color w:val="auto"/>
        </w:rPr>
        <w:tab/>
      </w:r>
      <w:r>
        <w:rPr>
          <w:rFonts w:ascii="Times New Roman" w:cs="Times New Roman" w:eastAsia="Times New Roman" w:hAnsi="Times New Roman"/>
          <w:sz w:val="14"/>
          <w:szCs w:val="14"/>
          <w:color w:val="auto"/>
        </w:rPr>
        <w:t>The Borrower agrees and shall procure that it will allow the Lender and, where applicable, the Valuer and their agents such access as such party may require to all of the Borrower’s books, documents and premises pertaining to the Property, including the right to take extracts therefrom and take copies thereof.</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19.5.4</w:t>
      </w:r>
      <w:r>
        <w:rPr>
          <w:sz w:val="20"/>
          <w:szCs w:val="20"/>
          <w:color w:val="auto"/>
        </w:rPr>
        <w:tab/>
      </w:r>
      <w:r>
        <w:rPr>
          <w:rFonts w:ascii="Times New Roman" w:cs="Times New Roman" w:eastAsia="Times New Roman" w:hAnsi="Times New Roman"/>
          <w:sz w:val="14"/>
          <w:szCs w:val="14"/>
          <w:color w:val="auto"/>
        </w:rPr>
        <w:t>The Borrower shall and will procure that, on demand, pay the Lender’s reasonable costs and charges for:</w:t>
      </w:r>
    </w:p>
    <w:p>
      <w:pPr>
        <w:spacing w:after="0" w:line="183" w:lineRule="exact"/>
        <w:rPr>
          <w:sz w:val="20"/>
          <w:szCs w:val="20"/>
          <w:color w:val="auto"/>
        </w:rPr>
      </w:pPr>
    </w:p>
    <w:p>
      <w:pPr>
        <w:jc w:val="both"/>
        <w:ind w:left="1040" w:hanging="1030"/>
        <w:spacing w:after="0" w:line="274" w:lineRule="auto"/>
        <w:tabs>
          <w:tab w:leader="none" w:pos="1020" w:val="left"/>
        </w:tabs>
        <w:rPr>
          <w:sz w:val="20"/>
          <w:szCs w:val="20"/>
          <w:color w:val="auto"/>
        </w:rPr>
      </w:pPr>
      <w:r>
        <w:rPr>
          <w:rFonts w:ascii="Times New Roman" w:cs="Times New Roman" w:eastAsia="Times New Roman" w:hAnsi="Times New Roman"/>
          <w:sz w:val="14"/>
          <w:szCs w:val="14"/>
          <w:color w:val="auto"/>
        </w:rPr>
        <w:t>19.5.4.1</w:t>
      </w:r>
      <w:r>
        <w:rPr>
          <w:sz w:val="20"/>
          <w:szCs w:val="20"/>
          <w:color w:val="auto"/>
        </w:rPr>
        <w:tab/>
      </w:r>
      <w:r>
        <w:rPr>
          <w:rFonts w:ascii="Times New Roman" w:cs="Times New Roman" w:eastAsia="Times New Roman" w:hAnsi="Times New Roman"/>
          <w:sz w:val="14"/>
          <w:szCs w:val="14"/>
          <w:color w:val="auto"/>
        </w:rPr>
        <w:t xml:space="preserve">any valuation undertaken in terms of this clause 19.1 (Valuations and Inspections) in the event that the Borrower does not provide a fully motivated valuation report (as contemplated in the publication entitled the </w:t>
      </w:r>
      <w:r>
        <w:rPr>
          <w:rFonts w:ascii="Times New Roman" w:cs="Times New Roman" w:eastAsia="Times New Roman" w:hAnsi="Times New Roman"/>
          <w:sz w:val="14"/>
          <w:szCs w:val="14"/>
          <w:i w:val="1"/>
          <w:iCs w:val="1"/>
          <w:color w:val="auto"/>
        </w:rPr>
        <w:t>“Valuers Manual”</w:t>
      </w:r>
      <w:r>
        <w:rPr>
          <w:rFonts w:ascii="Times New Roman" w:cs="Times New Roman" w:eastAsia="Times New Roman" w:hAnsi="Times New Roman"/>
          <w:sz w:val="14"/>
          <w:szCs w:val="14"/>
          <w:color w:val="auto"/>
        </w:rPr>
        <w:t xml:space="preserve"> (as updated from time to time) issued by the South African Council for the Property Valuers Profession) that satisfies the requirements of the Lender in its sole discretion; and/or</w:t>
      </w:r>
    </w:p>
    <w:p>
      <w:pPr>
        <w:spacing w:after="0" w:line="13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19.5.4.2</w:t>
      </w:r>
      <w:r>
        <w:rPr>
          <w:sz w:val="20"/>
          <w:szCs w:val="20"/>
          <w:color w:val="auto"/>
        </w:rPr>
        <w:tab/>
      </w:r>
      <w:r>
        <w:rPr>
          <w:rFonts w:ascii="Times New Roman" w:cs="Times New Roman" w:eastAsia="Times New Roman" w:hAnsi="Times New Roman"/>
          <w:sz w:val="14"/>
          <w:szCs w:val="14"/>
          <w:color w:val="auto"/>
        </w:rPr>
        <w:t>any inspection and/or valuation made by the Lender as a result of the occurrence of an Event of Default.</w:t>
      </w:r>
    </w:p>
    <w:p>
      <w:pPr>
        <w:spacing w:after="0" w:line="181" w:lineRule="exact"/>
        <w:rPr>
          <w:sz w:val="20"/>
          <w:szCs w:val="20"/>
          <w:color w:val="auto"/>
        </w:rPr>
      </w:pPr>
    </w:p>
    <w:p>
      <w:pPr>
        <w:ind w:left="260" w:hanging="254"/>
        <w:spacing w:after="0"/>
        <w:tabs>
          <w:tab w:leader="none" w:pos="2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EVENTS OF DEFAULT</w:t>
      </w:r>
    </w:p>
    <w:p>
      <w:pPr>
        <w:spacing w:after="0" w:line="182"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events or circumstances set out in clause 20 (other than clause 20.20 (</w:t>
      </w:r>
      <w:r>
        <w:rPr>
          <w:rFonts w:ascii="Times New Roman" w:cs="Times New Roman" w:eastAsia="Times New Roman" w:hAnsi="Times New Roman"/>
          <w:sz w:val="14"/>
          <w:szCs w:val="14"/>
          <w:i w:val="1"/>
          <w:iCs w:val="1"/>
          <w:color w:val="auto"/>
        </w:rPr>
        <w:t>Acceleration</w:t>
      </w:r>
      <w:r>
        <w:rPr>
          <w:rFonts w:ascii="Times New Roman" w:cs="Times New Roman" w:eastAsia="Times New Roman" w:hAnsi="Times New Roman"/>
          <w:sz w:val="14"/>
          <w:szCs w:val="14"/>
          <w:color w:val="auto"/>
        </w:rPr>
        <w:t>)) is an Event of Default.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w:t>
      </w:r>
      <w:r>
        <w:rPr>
          <w:sz w:val="20"/>
          <w:szCs w:val="20"/>
          <w:color w:val="auto"/>
        </w:rPr>
        <w:tab/>
      </w:r>
      <w:r>
        <w:rPr>
          <w:rFonts w:ascii="Times New Roman" w:cs="Times New Roman" w:eastAsia="Times New Roman" w:hAnsi="Times New Roman"/>
          <w:sz w:val="14"/>
          <w:szCs w:val="14"/>
          <w:b w:val="1"/>
          <w:bCs w:val="1"/>
          <w:color w:val="auto"/>
        </w:rPr>
        <w:t>Non-payment</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does not pay on the due date any amount payable pursuant to a Finance Document at the place and in the currency in which it is expressed to be payable unless its failure to pay is caused by administrative or technical error and a payment is made within 3 (three) Business Days of its due date.</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20.2</w:t>
      </w:r>
      <w:r>
        <w:rPr>
          <w:sz w:val="20"/>
          <w:szCs w:val="20"/>
          <w:color w:val="auto"/>
        </w:rPr>
        <w:tab/>
      </w:r>
      <w:r>
        <w:rPr>
          <w:rFonts w:ascii="Times New Roman" w:cs="Times New Roman" w:eastAsia="Times New Roman" w:hAnsi="Times New Roman"/>
          <w:sz w:val="14"/>
          <w:szCs w:val="14"/>
          <w:b w:val="1"/>
          <w:bCs w:val="1"/>
          <w:color w:val="auto"/>
        </w:rPr>
        <w:t>Security</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At any time, any of the Transaction Security created under or evidenced by any Security Document is or becomes unlawful or is not, or (other than any general notarial bond prior to its perfection) ceases to be a first ranking security, or to be legal, valid, binding and enforceable in accordance with its terms, or otherwise ceases to be effective.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14" w:name="page215"/>
    <w:bookmarkEnd w:id="214"/>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20.3</w:t>
      </w:r>
      <w:r>
        <w:rPr>
          <w:sz w:val="20"/>
          <w:szCs w:val="20"/>
          <w:color w:val="auto"/>
        </w:rPr>
        <w:tab/>
      </w:r>
      <w:r>
        <w:rPr>
          <w:rFonts w:ascii="Times New Roman" w:cs="Times New Roman" w:eastAsia="Times New Roman" w:hAnsi="Times New Roman"/>
          <w:sz w:val="14"/>
          <w:szCs w:val="14"/>
          <w:b w:val="1"/>
          <w:bCs w:val="1"/>
          <w:color w:val="auto"/>
        </w:rPr>
        <w:t>Other obligations</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The Borrower does not comply with any provision of this Agreement (other than those referred to in clause 20.1 (</w:t>
      </w:r>
      <w:r>
        <w:rPr>
          <w:rFonts w:ascii="Times New Roman" w:cs="Times New Roman" w:eastAsia="Times New Roman" w:hAnsi="Times New Roman"/>
          <w:sz w:val="14"/>
          <w:szCs w:val="14"/>
          <w:i w:val="1"/>
          <w:iCs w:val="1"/>
          <w:color w:val="auto"/>
        </w:rPr>
        <w:t>Non-payment</w:t>
      </w:r>
      <w:r>
        <w:rPr>
          <w:rFonts w:ascii="Times New Roman" w:cs="Times New Roman" w:eastAsia="Times New Roman" w:hAnsi="Times New Roman"/>
          <w:sz w:val="14"/>
          <w:szCs w:val="14"/>
          <w:color w:val="auto"/>
        </w:rPr>
        <w:t>)) and such non-compliance is not remedied within seven) Business Days of the Lender notifying the Borrower of such breach.</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20.4</w:t>
      </w:r>
      <w:r>
        <w:rPr>
          <w:sz w:val="20"/>
          <w:szCs w:val="20"/>
          <w:color w:val="auto"/>
        </w:rPr>
        <w:tab/>
      </w:r>
      <w:r>
        <w:rPr>
          <w:rFonts w:ascii="Times New Roman" w:cs="Times New Roman" w:eastAsia="Times New Roman" w:hAnsi="Times New Roman"/>
          <w:sz w:val="14"/>
          <w:szCs w:val="14"/>
          <w:b w:val="1"/>
          <w:bCs w:val="1"/>
          <w:color w:val="auto"/>
        </w:rPr>
        <w:t>Financial Covenants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breach of a Financial Covenant occurs.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20.5</w:t>
      </w:r>
      <w:r>
        <w:rPr>
          <w:sz w:val="20"/>
          <w:szCs w:val="20"/>
          <w:color w:val="auto"/>
        </w:rPr>
        <w:tab/>
      </w:r>
      <w:r>
        <w:rPr>
          <w:rFonts w:ascii="Times New Roman" w:cs="Times New Roman" w:eastAsia="Times New Roman" w:hAnsi="Times New Roman"/>
          <w:sz w:val="14"/>
          <w:szCs w:val="14"/>
          <w:b w:val="1"/>
          <w:bCs w:val="1"/>
          <w:color w:val="auto"/>
        </w:rPr>
        <w:t>Misrepresentation</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in any material respect when made or deemed to be made.</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20.6</w:t>
      </w:r>
      <w:r>
        <w:rPr>
          <w:sz w:val="20"/>
          <w:szCs w:val="20"/>
          <w:color w:val="auto"/>
        </w:rPr>
        <w:tab/>
      </w:r>
      <w:r>
        <w:rPr>
          <w:rFonts w:ascii="Times New Roman" w:cs="Times New Roman" w:eastAsia="Times New Roman" w:hAnsi="Times New Roman"/>
          <w:sz w:val="14"/>
          <w:szCs w:val="14"/>
          <w:b w:val="1"/>
          <w:bCs w:val="1"/>
          <w:color w:val="auto"/>
        </w:rPr>
        <w:t>Cross default</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20.6.1</w:t>
      </w:r>
      <w:r>
        <w:rPr>
          <w:sz w:val="20"/>
          <w:szCs w:val="20"/>
          <w:color w:val="auto"/>
        </w:rPr>
        <w:tab/>
      </w:r>
      <w:r>
        <w:rPr>
          <w:rFonts w:ascii="Times New Roman" w:cs="Times New Roman" w:eastAsia="Times New Roman" w:hAnsi="Times New Roman"/>
          <w:sz w:val="14"/>
          <w:szCs w:val="14"/>
          <w:color w:val="auto"/>
        </w:rPr>
        <w:t>Any Financial Indebtedness of the Borrower is not paid when due nor within any originally applicable grace period.</w:t>
      </w:r>
    </w:p>
    <w:p>
      <w:pPr>
        <w:spacing w:after="0" w:line="183" w:lineRule="exact"/>
        <w:rPr>
          <w:sz w:val="20"/>
          <w:szCs w:val="20"/>
          <w:color w:val="auto"/>
        </w:rPr>
      </w:pPr>
    </w:p>
    <w:p>
      <w:pPr>
        <w:jc w:val="both"/>
        <w:ind w:left="780" w:hanging="772"/>
        <w:spacing w:after="0" w:line="266" w:lineRule="auto"/>
        <w:tabs>
          <w:tab w:leader="none" w:pos="760" w:val="left"/>
        </w:tabs>
        <w:rPr>
          <w:sz w:val="20"/>
          <w:szCs w:val="20"/>
          <w:color w:val="auto"/>
        </w:rPr>
      </w:pPr>
      <w:r>
        <w:rPr>
          <w:rFonts w:ascii="Times New Roman" w:cs="Times New Roman" w:eastAsia="Times New Roman" w:hAnsi="Times New Roman"/>
          <w:sz w:val="14"/>
          <w:szCs w:val="14"/>
          <w:color w:val="auto"/>
        </w:rPr>
        <w:t>20.6.2</w:t>
      </w:r>
      <w:r>
        <w:rPr>
          <w:sz w:val="20"/>
          <w:szCs w:val="20"/>
          <w:color w:val="auto"/>
        </w:rPr>
        <w:tab/>
      </w:r>
      <w:r>
        <w:rPr>
          <w:rFonts w:ascii="Times New Roman" w:cs="Times New Roman" w:eastAsia="Times New Roman" w:hAnsi="Times New Roman"/>
          <w:sz w:val="14"/>
          <w:szCs w:val="14"/>
          <w:color w:val="auto"/>
        </w:rPr>
        <w:t>Any Financial Indebtedness of the Borrower is declared to be or otherwise becomes due and payable prior to its specified maturity as a result of an event of default (however described).</w:t>
      </w:r>
    </w:p>
    <w:p>
      <w:pPr>
        <w:spacing w:after="0" w:line="3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20.6.3</w:t>
      </w:r>
      <w:r>
        <w:rPr>
          <w:sz w:val="20"/>
          <w:szCs w:val="20"/>
          <w:color w:val="auto"/>
        </w:rPr>
        <w:tab/>
      </w:r>
      <w:r>
        <w:rPr>
          <w:rFonts w:ascii="Times New Roman" w:cs="Times New Roman" w:eastAsia="Times New Roman" w:hAnsi="Times New Roman"/>
          <w:sz w:val="14"/>
          <w:szCs w:val="14"/>
          <w:color w:val="auto"/>
        </w:rPr>
        <w:t>Any commitment for any Financial Indebtedness of the Borrower is cancelled or suspended by a creditor of the Borrower as a result of an event of default (however described).</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20.6.4</w:t>
      </w:r>
      <w:r>
        <w:rPr>
          <w:sz w:val="20"/>
          <w:szCs w:val="20"/>
          <w:color w:val="auto"/>
        </w:rPr>
        <w:tab/>
      </w:r>
      <w:r>
        <w:rPr>
          <w:rFonts w:ascii="Times New Roman" w:cs="Times New Roman" w:eastAsia="Times New Roman" w:hAnsi="Times New Roman"/>
          <w:sz w:val="14"/>
          <w:szCs w:val="14"/>
          <w:color w:val="auto"/>
        </w:rPr>
        <w:t>Any creditor of the Borrower becomes entitled to declare any Financial Indebtedness of the Borrower due and payable prior to its specified maturity as a result of an event of default (however described).</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20.7</w:t>
      </w:r>
      <w:r>
        <w:rPr>
          <w:sz w:val="20"/>
          <w:szCs w:val="20"/>
          <w:color w:val="auto"/>
        </w:rPr>
        <w:tab/>
      </w:r>
      <w:r>
        <w:rPr>
          <w:rFonts w:ascii="Times New Roman" w:cs="Times New Roman" w:eastAsia="Times New Roman" w:hAnsi="Times New Roman"/>
          <w:sz w:val="14"/>
          <w:szCs w:val="14"/>
          <w:b w:val="1"/>
          <w:bCs w:val="1"/>
          <w:color w:val="auto"/>
        </w:rPr>
        <w:t>Insolvency</w:t>
      </w:r>
    </w:p>
    <w:p>
      <w:pPr>
        <w:spacing w:after="0" w:line="185"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20.7.1</w:t>
      </w:r>
      <w:r>
        <w:rPr>
          <w:sz w:val="20"/>
          <w:szCs w:val="20"/>
          <w:color w:val="auto"/>
        </w:rPr>
        <w:tab/>
      </w:r>
      <w:r>
        <w:rPr>
          <w:rFonts w:ascii="Times New Roman" w:cs="Times New Roman" w:eastAsia="Times New Roman" w:hAnsi="Times New Roman"/>
          <w:sz w:val="14"/>
          <w:szCs w:val="14"/>
          <w:color w:val="auto"/>
        </w:rPr>
        <w:t>The Borrower is or is deemed by any authority or legislation to be unable or admits inability to pay its debts as they fall due, suspends, by reason of actual or anticipated financial difficulties, making payments on any of its debts or, by reason of actual or anticipated financial difficulties, commences negotiations with one or more of its creditors with a view to rescheduling any of its indebtedness.</w:t>
      </w:r>
    </w:p>
    <w:p>
      <w:pPr>
        <w:spacing w:after="0" w:line="13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20.7.2</w:t>
      </w:r>
      <w:r>
        <w:rPr>
          <w:sz w:val="20"/>
          <w:szCs w:val="20"/>
          <w:color w:val="auto"/>
        </w:rPr>
        <w:tab/>
      </w:r>
      <w:r>
        <w:rPr>
          <w:rFonts w:ascii="Times New Roman" w:cs="Times New Roman" w:eastAsia="Times New Roman" w:hAnsi="Times New Roman"/>
          <w:sz w:val="14"/>
          <w:szCs w:val="14"/>
          <w:color w:val="auto"/>
        </w:rPr>
        <w:t xml:space="preserve">The Borrower is or is deemed by any authority or legislation to be </w:t>
      </w:r>
      <w:r>
        <w:rPr>
          <w:rFonts w:ascii="Times New Roman" w:cs="Times New Roman" w:eastAsia="Times New Roman" w:hAnsi="Times New Roman"/>
          <w:sz w:val="14"/>
          <w:szCs w:val="14"/>
          <w:i w:val="1"/>
          <w:iCs w:val="1"/>
          <w:color w:val="auto"/>
        </w:rPr>
        <w:t>“Financially Distressed”</w:t>
      </w:r>
      <w:r>
        <w:rPr>
          <w:rFonts w:ascii="Times New Roman" w:cs="Times New Roman" w:eastAsia="Times New Roman" w:hAnsi="Times New Roman"/>
          <w:sz w:val="14"/>
          <w:szCs w:val="14"/>
          <w:color w:val="auto"/>
        </w:rPr>
        <w:t xml:space="preserve"> (as defined in the Companies Act).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5" w:name="page216"/>
    <w:bookmarkEnd w:id="215"/>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20.7.3</w:t>
      </w:r>
      <w:r>
        <w:rPr>
          <w:sz w:val="20"/>
          <w:szCs w:val="20"/>
          <w:color w:val="auto"/>
        </w:rPr>
        <w:tab/>
      </w:r>
      <w:r>
        <w:rPr>
          <w:rFonts w:ascii="Times New Roman" w:cs="Times New Roman" w:eastAsia="Times New Roman" w:hAnsi="Times New Roman"/>
          <w:sz w:val="14"/>
          <w:szCs w:val="14"/>
          <w:color w:val="auto"/>
        </w:rPr>
        <w:t>The value of the assets of the Borrower is less than its liabilities (taking into account contingent and prospective liabilities).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20.7.4</w:t>
      </w:r>
      <w:r>
        <w:rPr>
          <w:sz w:val="20"/>
          <w:szCs w:val="20"/>
          <w:color w:val="auto"/>
        </w:rPr>
        <w:tab/>
      </w:r>
      <w:r>
        <w:rPr>
          <w:rFonts w:ascii="Times New Roman" w:cs="Times New Roman" w:eastAsia="Times New Roman" w:hAnsi="Times New Roman"/>
          <w:sz w:val="14"/>
          <w:szCs w:val="14"/>
          <w:color w:val="auto"/>
        </w:rPr>
        <w:t>A moratorium is declared in respect of any indebtedness of the Borrower.</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20.8</w:t>
      </w:r>
      <w:r>
        <w:rPr>
          <w:sz w:val="20"/>
          <w:szCs w:val="20"/>
          <w:color w:val="auto"/>
        </w:rPr>
        <w:tab/>
      </w:r>
      <w:r>
        <w:rPr>
          <w:rFonts w:ascii="Times New Roman" w:cs="Times New Roman" w:eastAsia="Times New Roman" w:hAnsi="Times New Roman"/>
          <w:sz w:val="14"/>
          <w:szCs w:val="14"/>
          <w:b w:val="1"/>
          <w:bCs w:val="1"/>
          <w:color w:val="auto"/>
        </w:rPr>
        <w:t>Insolvency and Business Rescue Proceedings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20.8.1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Any corporate action, legal proceedings, business rescue proceedings or other procedure or step is taken in relation to:</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20.8.1.1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suspension of payments, a moratorium of any indebtedness, liquidation, winding-up, dissolution, administration, judicial management, business rescue or reorganisation (by</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way of voluntary arrangement, scheme of arrangement or otherwise) of the Borrower;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20.8.1.2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 composition, compromise, assignment or arrangement with any creditor of the Borrower;</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20.8.1.3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appointment of a liquidator, receiver, administrative receiver, administrator, compulsory manager, judicial manager, business rescue practitioner or other similar officer in</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respect of the Borrower; or any of its assets; or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20.8.1.4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enforcement of any Security over any assets of the Borrower, or any analogous procedure or step is taken in any jurisdiction;</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20.8.2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 meeting is proposed or convened by the directors of the Borrower, a resolution is proposed or passed, application is made or an order is applied for or granted, to authorise the entry</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into or implementation of any business rescue proceedings (or similar proceedings) in respect of the Borrower or any analogous procedure or step is taken in any jurisdiction.</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20.9</w:t>
      </w:r>
      <w:r>
        <w:rPr>
          <w:sz w:val="20"/>
          <w:szCs w:val="20"/>
          <w:color w:val="auto"/>
        </w:rPr>
        <w:tab/>
      </w:r>
      <w:r>
        <w:rPr>
          <w:rFonts w:ascii="Times New Roman" w:cs="Times New Roman" w:eastAsia="Times New Roman" w:hAnsi="Times New Roman"/>
          <w:sz w:val="14"/>
          <w:szCs w:val="14"/>
          <w:b w:val="1"/>
          <w:bCs w:val="1"/>
          <w:color w:val="auto"/>
        </w:rPr>
        <w:t>Creditors’ process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expropriation, attachment, sequestration, implementation of any business rescue plan, distress or execution affects any asset or assets of the Borrower.</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20.10</w:t>
      </w:r>
      <w:r>
        <w:rPr>
          <w:sz w:val="20"/>
          <w:szCs w:val="20"/>
          <w:color w:val="auto"/>
        </w:rPr>
        <w:tab/>
      </w:r>
      <w:r>
        <w:rPr>
          <w:rFonts w:ascii="Times New Roman" w:cs="Times New Roman" w:eastAsia="Times New Roman" w:hAnsi="Times New Roman"/>
          <w:sz w:val="14"/>
          <w:szCs w:val="14"/>
          <w:b w:val="1"/>
          <w:bCs w:val="1"/>
          <w:color w:val="auto"/>
        </w:rPr>
        <w:t>Unlawfulness</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20.10.1</w:t>
      </w:r>
      <w:r>
        <w:rPr>
          <w:sz w:val="20"/>
          <w:szCs w:val="20"/>
          <w:color w:val="auto"/>
        </w:rPr>
        <w:tab/>
      </w:r>
      <w:r>
        <w:rPr>
          <w:rFonts w:ascii="Times New Roman" w:cs="Times New Roman" w:eastAsia="Times New Roman" w:hAnsi="Times New Roman"/>
          <w:sz w:val="14"/>
          <w:szCs w:val="14"/>
          <w:color w:val="auto"/>
        </w:rPr>
        <w:t>It is or becomes unlawful for the Borrower to perform any of its obligations under the Finance Documents.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20.10.2</w:t>
      </w:r>
      <w:r>
        <w:rPr>
          <w:sz w:val="20"/>
          <w:szCs w:val="20"/>
          <w:color w:val="auto"/>
        </w:rPr>
        <w:tab/>
      </w:r>
      <w:r>
        <w:rPr>
          <w:rFonts w:ascii="Times New Roman" w:cs="Times New Roman" w:eastAsia="Times New Roman" w:hAnsi="Times New Roman"/>
          <w:sz w:val="14"/>
          <w:szCs w:val="14"/>
          <w:color w:val="auto"/>
        </w:rPr>
        <w:t>Any Finance Document ceases to be in full force and effect.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16" w:name="page217"/>
    <w:bookmarkEnd w:id="216"/>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20.11</w:t>
      </w:r>
      <w:r>
        <w:rPr>
          <w:sz w:val="20"/>
          <w:szCs w:val="20"/>
          <w:color w:val="auto"/>
        </w:rPr>
        <w:tab/>
      </w:r>
      <w:r>
        <w:rPr>
          <w:rFonts w:ascii="Times New Roman" w:cs="Times New Roman" w:eastAsia="Times New Roman" w:hAnsi="Times New Roman"/>
          <w:sz w:val="14"/>
          <w:szCs w:val="14"/>
          <w:b w:val="1"/>
          <w:bCs w:val="1"/>
          <w:color w:val="auto"/>
        </w:rPr>
        <w:t>Expropriation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20.11.1</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authority or ability of the Borrower to conduct its business is wholly or substantially curtailed by any seizure, expropriation, nationalisation, intervention, restriction or other</w:t>
            </w:r>
          </w:p>
        </w:tc>
      </w:tr>
      <w:tr>
        <w:trPr>
          <w:trHeight w:val="186"/>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action by or on behalf of any governmental, regulatory or other authority or other person.</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20.11.2</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By the authority of any governmental, regulatory or other authority or other person:</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20.11.2.1</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material part of the Property is compulsorily purchased or the applicable local authority makes an order for the compulsory purchase of all or any material part of the Property</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 less than market-value;</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20.11.2.2</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management of the Borrower is wholly or substantially replaced; or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20.11.2.3</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 or a majority of the shares of the Borrower or the whole or any part of its assets or revenues is seized, expropriated or compulsorily acquired.</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20.12</w:t>
      </w:r>
      <w:r>
        <w:rPr>
          <w:sz w:val="20"/>
          <w:szCs w:val="20"/>
          <w:color w:val="auto"/>
        </w:rPr>
        <w:tab/>
      </w:r>
      <w:r>
        <w:rPr>
          <w:rFonts w:ascii="Times New Roman" w:cs="Times New Roman" w:eastAsia="Times New Roman" w:hAnsi="Times New Roman"/>
          <w:sz w:val="14"/>
          <w:szCs w:val="14"/>
          <w:b w:val="1"/>
          <w:bCs w:val="1"/>
          <w:color w:val="auto"/>
        </w:rPr>
        <w:t>Cessation of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suspends or ceases to carry on (or threatens to suspend or cease to carry on) all or a material part of its business.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20.13</w:t>
      </w:r>
      <w:r>
        <w:rPr>
          <w:sz w:val="20"/>
          <w:szCs w:val="20"/>
          <w:color w:val="auto"/>
        </w:rPr>
        <w:tab/>
      </w:r>
      <w:r>
        <w:rPr>
          <w:rFonts w:ascii="Times New Roman" w:cs="Times New Roman" w:eastAsia="Times New Roman" w:hAnsi="Times New Roman"/>
          <w:sz w:val="14"/>
          <w:szCs w:val="14"/>
          <w:b w:val="1"/>
          <w:bCs w:val="1"/>
          <w:color w:val="auto"/>
        </w:rPr>
        <w:t>Major Damage</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20.13.1</w:t>
      </w:r>
      <w:r>
        <w:rPr>
          <w:sz w:val="20"/>
          <w:szCs w:val="20"/>
          <w:color w:val="auto"/>
        </w:rPr>
        <w:tab/>
      </w:r>
      <w:r>
        <w:rPr>
          <w:rFonts w:ascii="Times New Roman" w:cs="Times New Roman" w:eastAsia="Times New Roman" w:hAnsi="Times New Roman"/>
          <w:sz w:val="14"/>
          <w:szCs w:val="14"/>
          <w:color w:val="auto"/>
        </w:rPr>
        <w:t>Any part of the Property is destroyed or damaged; and</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20.13.2</w:t>
      </w:r>
      <w:r>
        <w:rPr>
          <w:sz w:val="20"/>
          <w:szCs w:val="20"/>
          <w:color w:val="auto"/>
        </w:rPr>
        <w:tab/>
      </w:r>
      <w:r>
        <w:rPr>
          <w:rFonts w:ascii="Times New Roman" w:cs="Times New Roman" w:eastAsia="Times New Roman" w:hAnsi="Times New Roman"/>
          <w:sz w:val="14"/>
          <w:szCs w:val="14"/>
          <w:color w:val="auto"/>
        </w:rPr>
        <w:t>In the reasonable opinion of the Lender, taking into account the amount and timing of receipt of the proceeds of insurance maintained in accordance with the terms of this Agreement, the destruction or damage has or will have a Material Adverse Effect.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20.14</w:t>
      </w:r>
      <w:r>
        <w:rPr>
          <w:sz w:val="20"/>
          <w:szCs w:val="20"/>
          <w:color w:val="auto"/>
        </w:rPr>
        <w:tab/>
      </w:r>
      <w:r>
        <w:rPr>
          <w:rFonts w:ascii="Times New Roman" w:cs="Times New Roman" w:eastAsia="Times New Roman" w:hAnsi="Times New Roman"/>
          <w:sz w:val="14"/>
          <w:szCs w:val="14"/>
          <w:b w:val="1"/>
          <w:bCs w:val="1"/>
          <w:color w:val="auto"/>
        </w:rPr>
        <w:t>Lease Agreement/s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Lease Agreement/s are terminated prior to the expiry or any material terms of such Lease Agreement/s is amended without the prior written consent of the Lender.</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b w:val="1"/>
          <w:bCs w:val="1"/>
          <w:color w:val="auto"/>
        </w:rPr>
        <w:t>Audit Qualification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Auditors of the Borrower qualify the audited annual consolidated financial statements of the Borrower.</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b w:val="1"/>
          <w:bCs w:val="1"/>
          <w:color w:val="auto"/>
        </w:rPr>
        <w:t>Repudiation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Borrower repudiates a Finance Document or evidences an intention to repudiate a Finance Document.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7" w:name="page218"/>
    <w:bookmarkEnd w:id="217"/>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20.17</w:t>
      </w:r>
      <w:r>
        <w:rPr>
          <w:sz w:val="20"/>
          <w:szCs w:val="20"/>
          <w:color w:val="auto"/>
        </w:rPr>
        <w:tab/>
      </w:r>
      <w:r>
        <w:rPr>
          <w:rFonts w:ascii="Times New Roman" w:cs="Times New Roman" w:eastAsia="Times New Roman" w:hAnsi="Times New Roman"/>
          <w:sz w:val="14"/>
          <w:szCs w:val="14"/>
          <w:b w:val="1"/>
          <w:bCs w:val="1"/>
          <w:color w:val="auto"/>
        </w:rPr>
        <w:t>Litigation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litigation, arbitration, administrative, governmental, regulatory or other investigations, proceedings or disputes are commenced or threatened: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20.17.1</w:t>
      </w:r>
      <w:r>
        <w:rPr>
          <w:sz w:val="20"/>
          <w:szCs w:val="20"/>
          <w:color w:val="auto"/>
        </w:rPr>
        <w:tab/>
      </w:r>
      <w:r>
        <w:rPr>
          <w:rFonts w:ascii="Times New Roman" w:cs="Times New Roman" w:eastAsia="Times New Roman" w:hAnsi="Times New Roman"/>
          <w:sz w:val="14"/>
          <w:szCs w:val="14"/>
          <w:color w:val="auto"/>
        </w:rPr>
        <w:t>in relation to the Finance Documents or transactions contemplated in the Finance Documents; or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20.17.2</w:t>
      </w:r>
      <w:r>
        <w:rPr>
          <w:sz w:val="20"/>
          <w:szCs w:val="20"/>
          <w:color w:val="auto"/>
        </w:rPr>
        <w:tab/>
      </w:r>
      <w:r>
        <w:rPr>
          <w:rFonts w:ascii="Times New Roman" w:cs="Times New Roman" w:eastAsia="Times New Roman" w:hAnsi="Times New Roman"/>
          <w:sz w:val="14"/>
          <w:szCs w:val="14"/>
          <w:color w:val="auto"/>
        </w:rPr>
        <w:t>against the Borrower or its assets, which has or is reasonably likely to have a Material Adverse Effect.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20.18</w:t>
      </w:r>
      <w:r>
        <w:rPr>
          <w:sz w:val="20"/>
          <w:szCs w:val="20"/>
          <w:color w:val="auto"/>
        </w:rPr>
        <w:tab/>
      </w:r>
      <w:r>
        <w:rPr>
          <w:rFonts w:ascii="Times New Roman" w:cs="Times New Roman" w:eastAsia="Times New Roman" w:hAnsi="Times New Roman"/>
          <w:sz w:val="14"/>
          <w:szCs w:val="14"/>
          <w:b w:val="1"/>
          <w:bCs w:val="1"/>
          <w:color w:val="auto"/>
        </w:rPr>
        <w:t>Failure to comply with final judgement</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The Borrower fails, within 10 (ten) Business Days of the due date, to comply with, or pay any sum in excess of R1,000,000 due by it under, any final judgment (after the conclusion of any rescission or appeal procedures and/or expiry of any time periods allowed therefor) or any final order made or given by any arbitral body or court of competent jurisdiction.</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20.19</w:t>
      </w:r>
      <w:r>
        <w:rPr>
          <w:sz w:val="20"/>
          <w:szCs w:val="20"/>
          <w:color w:val="auto"/>
        </w:rPr>
        <w:tab/>
      </w:r>
      <w:r>
        <w:rPr>
          <w:rFonts w:ascii="Times New Roman" w:cs="Times New Roman" w:eastAsia="Times New Roman" w:hAnsi="Times New Roman"/>
          <w:sz w:val="14"/>
          <w:szCs w:val="14"/>
          <w:b w:val="1"/>
          <w:bCs w:val="1"/>
          <w:color w:val="auto"/>
        </w:rPr>
        <w:t>Material Adverse Effect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event or circumstance occurs which Lender reasonably believes has or is reasonably likely to have a Material Adverse Effect.</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20.20</w:t>
      </w:r>
      <w:r>
        <w:rPr>
          <w:sz w:val="20"/>
          <w:szCs w:val="20"/>
          <w:color w:val="auto"/>
        </w:rPr>
        <w:tab/>
      </w:r>
      <w:r>
        <w:rPr>
          <w:rFonts w:ascii="Times New Roman" w:cs="Times New Roman" w:eastAsia="Times New Roman" w:hAnsi="Times New Roman"/>
          <w:sz w:val="14"/>
          <w:szCs w:val="14"/>
          <w:b w:val="1"/>
          <w:bCs w:val="1"/>
          <w:color w:val="auto"/>
        </w:rPr>
        <w:t>Acceleration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20.20.1</w:t>
            </w: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Upon the occurrence of an Event of Default or at any time thereafter whilst it is continuing, the Lender may, without prejudice to any other rights it may have in terms of this</w:t>
            </w:r>
          </w:p>
        </w:tc>
      </w:tr>
      <w:tr>
        <w:trPr>
          <w:trHeight w:val="186"/>
        </w:trPr>
        <w:tc>
          <w:tcPr>
            <w:tcW w:w="660" w:type="dxa"/>
            <w:vAlign w:val="bottom"/>
          </w:tcPr>
          <w:p>
            <w:pPr>
              <w:spacing w:after="0"/>
              <w:rPr>
                <w:sz w:val="16"/>
                <w:szCs w:val="16"/>
                <w:color w:val="auto"/>
              </w:rPr>
            </w:pPr>
          </w:p>
        </w:tc>
        <w:tc>
          <w:tcPr>
            <w:tcW w:w="10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Agreement or at law, by written notice to the Borrower: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20.20.1.1</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cancel all or any part of a Facility whereupon it shall immediately be cancelled;</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20.20.1.2</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levy interest at the Default Interest Rate on the Loan Outstandings;</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20.20.1.3</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declare that all or part of the Loans, together with accrued interest, and all other amounts accrued or outstanding under the Finance Documents be immediately due and payable,</w:t>
            </w:r>
          </w:p>
        </w:tc>
      </w:tr>
      <w:tr>
        <w:trPr>
          <w:trHeight w:val="186"/>
        </w:trPr>
        <w:tc>
          <w:tcPr>
            <w:tcW w:w="660" w:type="dxa"/>
            <w:vAlign w:val="bottom"/>
          </w:tcPr>
          <w:p>
            <w:pPr>
              <w:spacing w:after="0"/>
              <w:rPr>
                <w:sz w:val="16"/>
                <w:szCs w:val="16"/>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whereupon they shall become immediately due and payable; and/or</w:t>
            </w:r>
          </w:p>
        </w:tc>
      </w:tr>
      <w:tr>
        <w:trPr>
          <w:trHeight w:val="34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20.20.1.4</w:t>
            </w:r>
          </w:p>
        </w:tc>
        <w:tc>
          <w:tcPr>
            <w:tcW w:w="10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declare that all or part of the Loans be payable on demand, whereupon they shall immediately become payable on demand by the Lender.</w:t>
            </w:r>
          </w:p>
        </w:tc>
      </w:tr>
    </w:tbl>
    <w:p>
      <w:pPr>
        <w:spacing w:after="0" w:line="156" w:lineRule="exact"/>
        <w:rPr>
          <w:sz w:val="20"/>
          <w:szCs w:val="20"/>
          <w:color w:val="auto"/>
        </w:rPr>
      </w:pPr>
    </w:p>
    <w:p>
      <w:pPr>
        <w:ind w:left="260" w:hanging="254"/>
        <w:spacing w:after="0"/>
        <w:tabs>
          <w:tab w:leader="none" w:pos="2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CESSION AND DELEGATION BY THE LENDER</w:t>
      </w:r>
    </w:p>
    <w:p>
      <w:pPr>
        <w:spacing w:after="0" w:line="184" w:lineRule="exact"/>
        <w:rPr>
          <w:rFonts w:ascii="Times New Roman" w:cs="Times New Roman" w:eastAsia="Times New Roman" w:hAnsi="Times New Roman"/>
          <w:sz w:val="14"/>
          <w:szCs w:val="14"/>
          <w:color w:val="auto"/>
        </w:rPr>
      </w:pPr>
    </w:p>
    <w:p>
      <w:pPr>
        <w:jc w:val="both"/>
        <w:ind w:left="26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may cede and/or delegate any or all of its rights and/or obligations under this Agreement and/or under any other Finance Document to another bank or financial institution or to a trust, fund or other entity which is regularly engages in or established for the purpose of making, purchasing or investing in loans, securities or other financial assets without the consent of the Borrower. The Borrower consents to any splitting of claims which may arise as a result of such cession and delegation.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8" w:name="page219"/>
    <w:bookmarkEnd w:id="218"/>
    <w:p>
      <w:pPr>
        <w:ind w:left="260" w:hanging="254"/>
        <w:spacing w:after="0"/>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CESSION AND DELEGATION</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not cede any of its rights or delegate any of its obligations under this Agreement.</w:t>
      </w:r>
    </w:p>
    <w:p>
      <w:pPr>
        <w:spacing w:after="0" w:line="18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PAYMENT MECHANICS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b w:val="1"/>
          <w:bCs w:val="1"/>
          <w:color w:val="auto"/>
        </w:rPr>
        <w:t>Partial payments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the Lender receives a payment that is insufficient to discharge all the amounts then due and payable by the Borrower under this Agreement, the Lender shall apply that payment</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towards the obligations of the Borrower under this Agreement in the following order:</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23.1.1.1</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first</w:t>
            </w:r>
            <w:r>
              <w:rPr>
                <w:rFonts w:ascii="Times New Roman" w:cs="Times New Roman" w:eastAsia="Times New Roman" w:hAnsi="Times New Roman"/>
                <w:sz w:val="14"/>
                <w:szCs w:val="14"/>
                <w:color w:val="auto"/>
              </w:rPr>
              <w:t>, in or towards payment pro rata of any unpaid fees, costs and expenses of the Lender under this Agreement;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23.1.1.2</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secondly, </w:t>
            </w:r>
            <w:r>
              <w:rPr>
                <w:rFonts w:ascii="Times New Roman" w:cs="Times New Roman" w:eastAsia="Times New Roman" w:hAnsi="Times New Roman"/>
                <w:sz w:val="14"/>
                <w:szCs w:val="14"/>
                <w:color w:val="auto"/>
              </w:rPr>
              <w:t>in or towards payment pro rata of any accrued interest, fees or commission due but unpaid under this Agreement;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23.1.1.3</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thirdly, </w:t>
            </w:r>
            <w:r>
              <w:rPr>
                <w:rFonts w:ascii="Times New Roman" w:cs="Times New Roman" w:eastAsia="Times New Roman" w:hAnsi="Times New Roman"/>
                <w:sz w:val="14"/>
                <w:szCs w:val="14"/>
                <w:color w:val="auto"/>
              </w:rPr>
              <w:t>in or towards payment pro rata of any principal due but unpaid under this Agreement; and</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23.1.1.4</w:t>
            </w: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fourthly</w:t>
            </w:r>
            <w:r>
              <w:rPr>
                <w:rFonts w:ascii="Times New Roman" w:cs="Times New Roman" w:eastAsia="Times New Roman" w:hAnsi="Times New Roman"/>
                <w:sz w:val="14"/>
                <w:szCs w:val="14"/>
                <w:color w:val="auto"/>
              </w:rPr>
              <w:t>, in or towards payment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any other sum due but unpaid under this Agreement.</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Lender may vary the order set out in clauses 23.1.1.1 to 23.1.1.4 above in its sole discretion.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23.1.3</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Clauses 23.1.1 and 23.1.2 above will override any appropriation made by the Borrower.</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b w:val="1"/>
          <w:bCs w:val="1"/>
          <w:color w:val="auto"/>
        </w:rPr>
        <w:t>No set-off by the Borrower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payments to be made by the Borrower under the Finance Documents shall be calculated and be made without (and free and clear of any deduction for) set-off or counterclaim.</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4"/>
          <w:szCs w:val="14"/>
          <w:b w:val="1"/>
          <w:bCs w:val="1"/>
          <w:color w:val="auto"/>
        </w:rPr>
        <w:t>Business Days</w:t>
      </w:r>
    </w:p>
    <w:p>
      <w:pPr>
        <w:spacing w:after="0" w:line="185"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23.3.1</w:t>
      </w:r>
      <w:r>
        <w:rPr>
          <w:sz w:val="20"/>
          <w:szCs w:val="20"/>
          <w:color w:val="auto"/>
        </w:rPr>
        <w:tab/>
      </w:r>
      <w:r>
        <w:rPr>
          <w:rFonts w:ascii="Times New Roman" w:cs="Times New Roman" w:eastAsia="Times New Roman" w:hAnsi="Times New Roman"/>
          <w:sz w:val="14"/>
          <w:szCs w:val="14"/>
          <w:color w:val="auto"/>
        </w:rPr>
        <w:t>Any payment which is due to be made on a day that is not a Business Day shall be made on the next Business Day in the same calendar month (if there is one) or the preceding Business Day (if there is not). In the event that the day for performance of any obligation to be performed in terms of this Agreement should fall on a day which is not a Business Day, the relevant day for performance shall be the succeeding Business Day.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9" w:name="page220"/>
    <w:bookmarkEnd w:id="219"/>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23.3.2</w:t>
      </w:r>
      <w:r>
        <w:rPr>
          <w:sz w:val="20"/>
          <w:szCs w:val="20"/>
          <w:color w:val="auto"/>
        </w:rPr>
        <w:tab/>
      </w:r>
      <w:r>
        <w:rPr>
          <w:rFonts w:ascii="Times New Roman" w:cs="Times New Roman" w:eastAsia="Times New Roman" w:hAnsi="Times New Roman"/>
          <w:sz w:val="14"/>
          <w:szCs w:val="14"/>
          <w:color w:val="auto"/>
        </w:rPr>
        <w:t>During any extension of the due date for payment of any principal or Unpaid Sum under this Agreement interest is payable on the principal or Unpaid Sum at the rate calculated in accordance with the provisions of clause 9.4 (</w:t>
      </w:r>
      <w:r>
        <w:rPr>
          <w:rFonts w:ascii="Times New Roman" w:cs="Times New Roman" w:eastAsia="Times New Roman" w:hAnsi="Times New Roman"/>
          <w:sz w:val="14"/>
          <w:szCs w:val="14"/>
          <w:i w:val="1"/>
          <w:iCs w:val="1"/>
          <w:color w:val="auto"/>
        </w:rPr>
        <w:t>Default interest</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23.4</w:t>
      </w:r>
      <w:r>
        <w:rPr>
          <w:sz w:val="20"/>
          <w:szCs w:val="20"/>
          <w:color w:val="auto"/>
        </w:rPr>
        <w:tab/>
      </w:r>
      <w:r>
        <w:rPr>
          <w:rFonts w:ascii="Times New Roman" w:cs="Times New Roman" w:eastAsia="Times New Roman" w:hAnsi="Times New Roman"/>
          <w:sz w:val="14"/>
          <w:szCs w:val="14"/>
          <w:b w:val="1"/>
          <w:bCs w:val="1"/>
          <w:color w:val="auto"/>
        </w:rPr>
        <w:t>Currency of account</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23.4.1</w:t>
      </w:r>
      <w:r>
        <w:rPr>
          <w:sz w:val="20"/>
          <w:szCs w:val="20"/>
          <w:color w:val="auto"/>
        </w:rPr>
        <w:tab/>
      </w:r>
      <w:r>
        <w:rPr>
          <w:rFonts w:ascii="Times New Roman" w:cs="Times New Roman" w:eastAsia="Times New Roman" w:hAnsi="Times New Roman"/>
          <w:sz w:val="14"/>
          <w:szCs w:val="14"/>
          <w:color w:val="auto"/>
        </w:rPr>
        <w:t>Subject to clauses 23.4.2 and 23.4.3 below, Rand is the currency of account and payment for any sum due from the Borrower under this Agreement.</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23.4.2</w:t>
      </w:r>
      <w:r>
        <w:rPr>
          <w:sz w:val="20"/>
          <w:szCs w:val="20"/>
          <w:color w:val="auto"/>
        </w:rPr>
        <w:tab/>
      </w:r>
      <w:r>
        <w:rPr>
          <w:rFonts w:ascii="Times New Roman" w:cs="Times New Roman" w:eastAsia="Times New Roman" w:hAnsi="Times New Roman"/>
          <w:sz w:val="14"/>
          <w:szCs w:val="14"/>
          <w:color w:val="auto"/>
        </w:rPr>
        <w:t>Each payment in respect of costs, expenses or Taxes shall be made in the currency in which the costs, expenses or Taxes are incurred.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23.4.3</w:t>
      </w:r>
      <w:r>
        <w:rPr>
          <w:sz w:val="20"/>
          <w:szCs w:val="20"/>
          <w:color w:val="auto"/>
        </w:rPr>
        <w:tab/>
      </w:r>
      <w:r>
        <w:rPr>
          <w:rFonts w:ascii="Times New Roman" w:cs="Times New Roman" w:eastAsia="Times New Roman" w:hAnsi="Times New Roman"/>
          <w:sz w:val="14"/>
          <w:szCs w:val="14"/>
          <w:color w:val="auto"/>
        </w:rPr>
        <w:t>Any amount expressed to be payable in a currency other than Rand shall be paid in that other currency.</w:t>
      </w:r>
    </w:p>
    <w:p>
      <w:pPr>
        <w:spacing w:after="0" w:line="181" w:lineRule="exact"/>
        <w:rPr>
          <w:sz w:val="20"/>
          <w:szCs w:val="20"/>
          <w:color w:val="auto"/>
        </w:rPr>
      </w:pPr>
    </w:p>
    <w:p>
      <w:pPr>
        <w:ind w:left="260" w:hanging="254"/>
        <w:spacing w:after="0"/>
        <w:tabs>
          <w:tab w:leader="none" w:pos="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SET-OFF</w:t>
      </w:r>
    </w:p>
    <w:p>
      <w:pPr>
        <w:spacing w:after="0" w:line="184" w:lineRule="exact"/>
        <w:rPr>
          <w:rFonts w:ascii="Times New Roman" w:cs="Times New Roman" w:eastAsia="Times New Roman" w:hAnsi="Times New Roman"/>
          <w:sz w:val="14"/>
          <w:szCs w:val="14"/>
          <w:color w:val="auto"/>
        </w:rPr>
      </w:pPr>
    </w:p>
    <w:p>
      <w:pPr>
        <w:jc w:val="both"/>
        <w:ind w:left="26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may set off any matured obligation due from the Borrower under this Agreement against any matured obligation owed by the Lender to the Borrower, regardless of the place of payment, booking branch or currency of either obligation. If the obligations are in different currencies, the Lender may convert either obligation at a market rate of exchange in its usual course of business for the purpose of the set-off.</w:t>
      </w:r>
    </w:p>
    <w:p>
      <w:pPr>
        <w:spacing w:after="0" w:line="13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 AND DOMICILIA</w:t>
      </w:r>
    </w:p>
    <w:p>
      <w:pPr>
        <w:spacing w:after="0" w:line="183" w:lineRule="exact"/>
        <w:rPr>
          <w:sz w:val="20"/>
          <w:szCs w:val="20"/>
          <w:color w:val="auto"/>
        </w:rPr>
      </w:pPr>
    </w:p>
    <w:p>
      <w:pPr>
        <w:ind w:left="520" w:hanging="514"/>
        <w:spacing w:after="0" w:line="295" w:lineRule="auto"/>
        <w:tabs>
          <w:tab w:leader="none" w:pos="500" w:val="left"/>
        </w:tabs>
        <w:rPr>
          <w:sz w:val="20"/>
          <w:szCs w:val="20"/>
          <w:color w:val="auto"/>
        </w:rPr>
      </w:pPr>
      <w:r>
        <w:rPr>
          <w:rFonts w:ascii="Times New Roman" w:cs="Times New Roman" w:eastAsia="Times New Roman" w:hAnsi="Times New Roman"/>
          <w:sz w:val="14"/>
          <w:szCs w:val="14"/>
          <w:color w:val="auto"/>
        </w:rPr>
        <w:t>25.1</w:t>
      </w:r>
      <w:r>
        <w:rPr>
          <w:sz w:val="20"/>
          <w:szCs w:val="20"/>
          <w:color w:val="auto"/>
        </w:rPr>
        <w:tab/>
      </w:r>
      <w:r>
        <w:rPr>
          <w:rFonts w:ascii="Times New Roman" w:cs="Times New Roman" w:eastAsia="Times New Roman" w:hAnsi="Times New Roman"/>
          <w:sz w:val="14"/>
          <w:szCs w:val="14"/>
          <w:color w:val="auto"/>
        </w:rPr>
        <w:t xml:space="preserve">The Parties select as their respective </w:t>
      </w:r>
      <w:r>
        <w:rPr>
          <w:rFonts w:ascii="Times New Roman" w:cs="Times New Roman" w:eastAsia="Times New Roman" w:hAnsi="Times New Roman"/>
          <w:sz w:val="14"/>
          <w:szCs w:val="14"/>
          <w:i w:val="1"/>
          <w:iCs w:val="1"/>
          <w:color w:val="auto"/>
        </w:rPr>
        <w:t>domicilia citandi et executandi</w:t>
      </w:r>
      <w:r>
        <w:rPr>
          <w:rFonts w:ascii="Times New Roman" w:cs="Times New Roman" w:eastAsia="Times New Roman" w:hAnsi="Times New Roman"/>
          <w:sz w:val="14"/>
          <w:szCs w:val="14"/>
          <w:color w:val="auto"/>
        </w:rPr>
        <w:t xml:space="preserve"> the following physical addresses, and for the purposes of giving or sending any notice provided for or required under this Agreement, the said physical addresses as well as the following email addresses:</w:t>
      </w:r>
    </w:p>
    <w:p>
      <w:pPr>
        <w:spacing w:after="0" w:line="120" w:lineRule="exact"/>
        <w:rPr>
          <w:sz w:val="20"/>
          <w:szCs w:val="20"/>
          <w:color w:val="auto"/>
        </w:rPr>
      </w:pPr>
    </w:p>
    <w:tbl>
      <w:tblPr>
        <w:tblLayout w:type="fixed"/>
        <w:tblInd w:w="520" w:type="dxa"/>
        <w:tblCellMar>
          <w:top w:w="0" w:type="dxa"/>
          <w:left w:w="0" w:type="dxa"/>
          <w:bottom w:w="0" w:type="dxa"/>
          <w:right w:w="0" w:type="dxa"/>
        </w:tblCellMar>
      </w:tblPr>
      <w:tr>
        <w:trPr>
          <w:trHeight w:val="20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Physical Address</w:t>
            </w:r>
          </w:p>
        </w:tc>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Email Address</w:t>
            </w:r>
          </w:p>
        </w:tc>
      </w:tr>
      <w:tr>
        <w:trPr>
          <w:trHeight w:val="157"/>
        </w:trPr>
        <w:tc>
          <w:tcPr>
            <w:tcW w:w="104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Borrower</w:t>
            </w:r>
          </w:p>
        </w:tc>
        <w:tc>
          <w:tcPr>
            <w:tcW w:w="120" w:type="dxa"/>
            <w:vAlign w:val="bottom"/>
          </w:tcPr>
          <w:p>
            <w:pPr>
              <w:spacing w:after="0"/>
              <w:rPr>
                <w:sz w:val="13"/>
                <w:szCs w:val="13"/>
                <w:color w:val="auto"/>
              </w:rPr>
            </w:pPr>
          </w:p>
        </w:tc>
        <w:tc>
          <w:tcPr>
            <w:tcW w:w="206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Address:</w:t>
            </w:r>
          </w:p>
        </w:tc>
        <w:tc>
          <w:tcPr>
            <w:tcW w:w="140" w:type="dxa"/>
            <w:vAlign w:val="bottom"/>
          </w:tcPr>
          <w:p>
            <w:pPr>
              <w:spacing w:after="0"/>
              <w:rPr>
                <w:sz w:val="13"/>
                <w:szCs w:val="13"/>
                <w:color w:val="auto"/>
              </w:rPr>
            </w:pPr>
          </w:p>
        </w:tc>
        <w:tc>
          <w:tcPr>
            <w:tcW w:w="740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zak.calisto@cartrack.com</w:t>
            </w:r>
          </w:p>
        </w:tc>
      </w:tr>
      <w:tr>
        <w:trPr>
          <w:trHeight w:val="172"/>
        </w:trPr>
        <w:tc>
          <w:tcPr>
            <w:tcW w:w="1040" w:type="dxa"/>
            <w:vAlign w:val="bottom"/>
          </w:tcPr>
          <w:p>
            <w:pPr>
              <w:spacing w:after="0"/>
              <w:rPr>
                <w:sz w:val="14"/>
                <w:szCs w:val="14"/>
                <w:color w:val="auto"/>
              </w:rPr>
            </w:pPr>
          </w:p>
        </w:tc>
        <w:tc>
          <w:tcPr>
            <w:tcW w:w="2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11 Keyes Avenue</w:t>
            </w:r>
          </w:p>
        </w:tc>
        <w:tc>
          <w:tcPr>
            <w:tcW w:w="740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2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Rosebank</w:t>
            </w:r>
          </w:p>
        </w:tc>
        <w:tc>
          <w:tcPr>
            <w:tcW w:w="740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2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Johannesburg</w:t>
            </w:r>
          </w:p>
        </w:tc>
        <w:tc>
          <w:tcPr>
            <w:tcW w:w="7400" w:type="dxa"/>
            <w:vAlign w:val="bottom"/>
          </w:tcPr>
          <w:p>
            <w:pPr>
              <w:spacing w:after="0"/>
              <w:rPr>
                <w:sz w:val="14"/>
                <w:szCs w:val="14"/>
                <w:color w:val="auto"/>
              </w:rPr>
            </w:pPr>
          </w:p>
        </w:tc>
      </w:tr>
      <w:tr>
        <w:trPr>
          <w:trHeight w:val="186"/>
        </w:trPr>
        <w:tc>
          <w:tcPr>
            <w:tcW w:w="1040" w:type="dxa"/>
            <w:vAlign w:val="bottom"/>
          </w:tcPr>
          <w:p>
            <w:pPr>
              <w:spacing w:after="0"/>
              <w:rPr>
                <w:sz w:val="16"/>
                <w:szCs w:val="16"/>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2196</w:t>
            </w:r>
          </w:p>
        </w:tc>
        <w:tc>
          <w:tcPr>
            <w:tcW w:w="140" w:type="dxa"/>
            <w:vAlign w:val="bottom"/>
          </w:tcPr>
          <w:p>
            <w:pPr>
              <w:spacing w:after="0"/>
              <w:rPr>
                <w:sz w:val="16"/>
                <w:szCs w:val="16"/>
                <w:color w:val="auto"/>
              </w:rPr>
            </w:pPr>
          </w:p>
        </w:tc>
        <w:tc>
          <w:tcPr>
            <w:tcW w:w="7400" w:type="dxa"/>
            <w:vAlign w:val="bottom"/>
          </w:tcPr>
          <w:p>
            <w:pPr>
              <w:spacing w:after="0"/>
              <w:rPr>
                <w:sz w:val="16"/>
                <w:szCs w:val="16"/>
                <w:color w:val="auto"/>
              </w:rPr>
            </w:pPr>
          </w:p>
        </w:tc>
      </w:tr>
      <w:tr>
        <w:trPr>
          <w:trHeight w:val="344"/>
        </w:trPr>
        <w:tc>
          <w:tcPr>
            <w:tcW w:w="3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Marked for the attention of: </w:t>
            </w:r>
            <w:r>
              <w:rPr>
                <w:rFonts w:ascii="Times New Roman" w:cs="Times New Roman" w:eastAsia="Times New Roman" w:hAnsi="Times New Roman"/>
                <w:sz w:val="14"/>
                <w:szCs w:val="14"/>
                <w:b w:val="1"/>
                <w:bCs w:val="1"/>
                <w:color w:val="auto"/>
              </w:rPr>
              <w:t>Isaias Jose Calisto</w:t>
            </w:r>
          </w:p>
        </w:tc>
        <w:tc>
          <w:tcPr>
            <w:tcW w:w="7400" w:type="dxa"/>
            <w:vAlign w:val="bottom"/>
          </w:tcPr>
          <w:p>
            <w:pPr>
              <w:spacing w:after="0"/>
              <w:rPr>
                <w:sz w:val="24"/>
                <w:szCs w:val="24"/>
                <w:color w:val="auto"/>
              </w:rPr>
            </w:pPr>
          </w:p>
        </w:tc>
      </w:tr>
      <w:tr>
        <w:trPr>
          <w:trHeight w:val="35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Physical Address</w:t>
            </w:r>
          </w:p>
        </w:tc>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Email Address</w:t>
            </w:r>
          </w:p>
        </w:tc>
      </w:tr>
      <w:tr>
        <w:trPr>
          <w:trHeight w:val="173"/>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Lender</w:t>
            </w:r>
          </w:p>
        </w:tc>
        <w:tc>
          <w:tcPr>
            <w:tcW w:w="120" w:type="dxa"/>
            <w:vAlign w:val="bottom"/>
          </w:tcPr>
          <w:p>
            <w:pPr>
              <w:spacing w:after="0"/>
              <w:rPr>
                <w:sz w:val="15"/>
                <w:szCs w:val="15"/>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Third Floor, East Wing</w:t>
            </w:r>
          </w:p>
        </w:tc>
        <w:tc>
          <w:tcPr>
            <w:tcW w:w="140" w:type="dxa"/>
            <w:vAlign w:val="bottom"/>
          </w:tcPr>
          <w:p>
            <w:pPr>
              <w:spacing w:after="0"/>
              <w:rPr>
                <w:sz w:val="15"/>
                <w:szCs w:val="15"/>
                <w:color w:val="auto"/>
              </w:rPr>
            </w:pPr>
          </w:p>
        </w:tc>
        <w:tc>
          <w:tcPr>
            <w:tcW w:w="7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RealEstateLegal@standardbank.co.za</w:t>
            </w:r>
          </w:p>
        </w:tc>
      </w:tr>
    </w:tbl>
    <w:p>
      <w:pPr>
        <w:ind w:left="1680"/>
        <w:spacing w:after="0"/>
        <w:rPr>
          <w:sz w:val="20"/>
          <w:szCs w:val="20"/>
          <w:color w:val="auto"/>
        </w:rPr>
      </w:pPr>
      <w:r>
        <w:rPr>
          <w:rFonts w:ascii="Times New Roman" w:cs="Times New Roman" w:eastAsia="Times New Roman" w:hAnsi="Times New Roman"/>
          <w:sz w:val="14"/>
          <w:szCs w:val="14"/>
          <w:color w:val="auto"/>
        </w:rPr>
        <w:t>30 Baker Street</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Rosebank</w:t>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2196</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Marked for the attention of: </w:t>
      </w:r>
      <w:r>
        <w:rPr>
          <w:rFonts w:ascii="Times New Roman" w:cs="Times New Roman" w:eastAsia="Times New Roman" w:hAnsi="Times New Roman"/>
          <w:sz w:val="14"/>
          <w:szCs w:val="14"/>
          <w:b w:val="1"/>
          <w:bCs w:val="1"/>
          <w:color w:val="auto"/>
        </w:rPr>
        <w:t>Head: Real Estate Finance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20" w:name="page221"/>
    <w:bookmarkEnd w:id="220"/>
    <w:p>
      <w:pPr>
        <w:jc w:val="both"/>
        <w:ind w:left="520"/>
        <w:spacing w:after="0" w:line="275" w:lineRule="auto"/>
        <w:rPr>
          <w:sz w:val="20"/>
          <w:szCs w:val="20"/>
          <w:color w:val="auto"/>
        </w:rPr>
      </w:pPr>
      <w:r>
        <w:rPr>
          <w:rFonts w:ascii="Times New Roman" w:cs="Times New Roman" w:eastAsia="Times New Roman" w:hAnsi="Times New Roman"/>
          <w:sz w:val="14"/>
          <w:szCs w:val="14"/>
          <w:color w:val="auto"/>
        </w:rPr>
        <w:t xml:space="preserve">provided that a Party may change its </w:t>
      </w:r>
      <w:r>
        <w:rPr>
          <w:rFonts w:ascii="Times New Roman" w:cs="Times New Roman" w:eastAsia="Times New Roman" w:hAnsi="Times New Roman"/>
          <w:sz w:val="14"/>
          <w:szCs w:val="14"/>
          <w:i w:val="1"/>
          <w:iCs w:val="1"/>
          <w:color w:val="auto"/>
        </w:rPr>
        <w:t>domicilium</w:t>
      </w:r>
      <w:r>
        <w:rPr>
          <w:rFonts w:ascii="Times New Roman" w:cs="Times New Roman" w:eastAsia="Times New Roman" w:hAnsi="Times New Roman"/>
          <w:sz w:val="14"/>
          <w:szCs w:val="14"/>
          <w:color w:val="auto"/>
        </w:rPr>
        <w:t xml:space="preserve"> to another physical address in the Republic of South Africa] (provided that such physical address is not a post office box or </w:t>
      </w:r>
      <w:r>
        <w:rPr>
          <w:rFonts w:ascii="Times New Roman" w:cs="Times New Roman" w:eastAsia="Times New Roman" w:hAnsi="Times New Roman"/>
          <w:sz w:val="14"/>
          <w:szCs w:val="14"/>
          <w:i w:val="1"/>
          <w:iCs w:val="1"/>
          <w:color w:val="auto"/>
        </w:rPr>
        <w:t>poste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restante</w:t>
      </w:r>
      <w:r>
        <w:rPr>
          <w:rFonts w:ascii="Times New Roman" w:cs="Times New Roman" w:eastAsia="Times New Roman" w:hAnsi="Times New Roman"/>
          <w:sz w:val="14"/>
          <w:szCs w:val="14"/>
          <w:color w:val="auto"/>
        </w:rPr>
        <w:t>), or may change its address for the purposes of notices to any other physical address or email address by written notice to the other Party to that effect. Such change of address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effective 5 business days after receipt of the notice of the change.</w:t>
      </w:r>
    </w:p>
    <w:p>
      <w:pPr>
        <w:spacing w:after="0" w:line="1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25.2</w:t>
      </w:r>
      <w:r>
        <w:rPr>
          <w:sz w:val="20"/>
          <w:szCs w:val="20"/>
          <w:color w:val="auto"/>
        </w:rPr>
        <w:tab/>
      </w:r>
      <w:r>
        <w:rPr>
          <w:rFonts w:ascii="Times New Roman" w:cs="Times New Roman" w:eastAsia="Times New Roman" w:hAnsi="Times New Roman"/>
          <w:sz w:val="14"/>
          <w:szCs w:val="14"/>
          <w:color w:val="auto"/>
        </w:rPr>
        <w:t>All notices to be given in terms of this Agreement will be given in writing and will:</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25.2.1</w:t>
      </w:r>
      <w:r>
        <w:rPr>
          <w:sz w:val="20"/>
          <w:szCs w:val="20"/>
          <w:color w:val="auto"/>
        </w:rPr>
        <w:tab/>
      </w:r>
      <w:r>
        <w:rPr>
          <w:rFonts w:ascii="Times New Roman" w:cs="Times New Roman" w:eastAsia="Times New Roman" w:hAnsi="Times New Roman"/>
          <w:sz w:val="14"/>
          <w:szCs w:val="14"/>
          <w:color w:val="auto"/>
        </w:rPr>
        <w:t>be delivered by hand or sent by email;</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25.2.2</w:t>
      </w:r>
      <w:r>
        <w:rPr>
          <w:sz w:val="20"/>
          <w:szCs w:val="20"/>
          <w:color w:val="auto"/>
        </w:rPr>
        <w:tab/>
      </w:r>
      <w:r>
        <w:rPr>
          <w:rFonts w:ascii="Times New Roman" w:cs="Times New Roman" w:eastAsia="Times New Roman" w:hAnsi="Times New Roman"/>
          <w:sz w:val="14"/>
          <w:szCs w:val="14"/>
          <w:color w:val="auto"/>
        </w:rPr>
        <w:t>if delivered by hand during business hours, be presumed to have been received on the date of delivery. Any notice delivered after business hours or on a day which is not a business day will be presumed to have been received on the following business day; and</w:t>
      </w:r>
    </w:p>
    <w:p>
      <w:pPr>
        <w:spacing w:after="0" w:line="124"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25.2.3</w:t>
      </w:r>
      <w:r>
        <w:rPr>
          <w:sz w:val="20"/>
          <w:szCs w:val="20"/>
          <w:color w:val="auto"/>
        </w:rPr>
        <w:tab/>
      </w:r>
      <w:r>
        <w:rPr>
          <w:rFonts w:ascii="Times New Roman" w:cs="Times New Roman" w:eastAsia="Times New Roman" w:hAnsi="Times New Roman"/>
          <w:sz w:val="14"/>
          <w:szCs w:val="14"/>
          <w:color w:val="auto"/>
        </w:rPr>
        <w:t>if sent by email during business hours, be presumed to have been received on the date of successful transmission of the email. Any email sent after business hours or on a day which is not a business day will be presumed to have been received on the following business day.</w:t>
      </w:r>
    </w:p>
    <w:p>
      <w:pPr>
        <w:spacing w:after="0" w:line="124" w:lineRule="exact"/>
        <w:rPr>
          <w:sz w:val="20"/>
          <w:szCs w:val="20"/>
          <w:color w:val="auto"/>
        </w:rPr>
      </w:pPr>
    </w:p>
    <w:p>
      <w:pPr>
        <w:ind w:left="520" w:hanging="514"/>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25.3</w:t>
      </w:r>
      <w:r>
        <w:rPr>
          <w:sz w:val="20"/>
          <w:szCs w:val="20"/>
          <w:color w:val="auto"/>
        </w:rPr>
        <w:tab/>
      </w:r>
      <w:r>
        <w:rPr>
          <w:rFonts w:ascii="Times New Roman" w:cs="Times New Roman" w:eastAsia="Times New Roman" w:hAnsi="Times New Roman"/>
          <w:sz w:val="14"/>
          <w:szCs w:val="14"/>
          <w:color w:val="auto"/>
        </w:rPr>
        <w:t>Notwithstanding the above, any notice given in writing, and actually received by the Party to whom the notice is addressed, will be deemed to have been properly given and received, notwithstanding that such notice has not been given in accordance with this clause 25.</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25.4</w:t>
      </w:r>
      <w:r>
        <w:rPr>
          <w:sz w:val="20"/>
          <w:szCs w:val="20"/>
          <w:color w:val="auto"/>
        </w:rPr>
        <w:tab/>
      </w:r>
      <w:r>
        <w:rPr>
          <w:rFonts w:ascii="Times New Roman" w:cs="Times New Roman" w:eastAsia="Times New Roman" w:hAnsi="Times New Roman"/>
          <w:sz w:val="14"/>
          <w:szCs w:val="14"/>
          <w:b w:val="1"/>
          <w:bCs w:val="1"/>
          <w:color w:val="auto"/>
        </w:rPr>
        <w:t>Electronic communication</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25.4.1</w:t>
      </w:r>
      <w:r>
        <w:rPr>
          <w:sz w:val="20"/>
          <w:szCs w:val="20"/>
          <w:color w:val="auto"/>
        </w:rPr>
        <w:tab/>
      </w:r>
      <w:r>
        <w:rPr>
          <w:rFonts w:ascii="Times New Roman" w:cs="Times New Roman" w:eastAsia="Times New Roman" w:hAnsi="Times New Roman"/>
          <w:sz w:val="14"/>
          <w:szCs w:val="14"/>
          <w:color w:val="auto"/>
        </w:rPr>
        <w:t>Any communication to be made between the Lender and a Lender under or in connection with the Finance Documents may be made by electronic mail or other electronic means.</w:t>
      </w:r>
    </w:p>
    <w:p>
      <w:pPr>
        <w:spacing w:after="0" w:line="183" w:lineRule="exact"/>
        <w:rPr>
          <w:sz w:val="20"/>
          <w:szCs w:val="20"/>
          <w:color w:val="auto"/>
        </w:rPr>
      </w:pPr>
    </w:p>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25.4.2</w:t>
      </w:r>
      <w:r>
        <w:rPr>
          <w:sz w:val="20"/>
          <w:szCs w:val="20"/>
          <w:color w:val="auto"/>
        </w:rPr>
        <w:tab/>
      </w:r>
      <w:r>
        <w:rPr>
          <w:rFonts w:ascii="Times New Roman" w:cs="Times New Roman" w:eastAsia="Times New Roman" w:hAnsi="Times New Roman"/>
          <w:sz w:val="14"/>
          <w:szCs w:val="14"/>
          <w:color w:val="auto"/>
        </w:rPr>
        <w:t>Any communication to be made between the Borrower and the Lender under or in connection with the Finance Documents may be made by electronic mail or other electronic means, provided that the Borrower and the Lender —</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25.4.3</w:t>
      </w:r>
      <w:r>
        <w:rPr>
          <w:sz w:val="20"/>
          <w:szCs w:val="20"/>
          <w:color w:val="auto"/>
        </w:rPr>
        <w:tab/>
      </w:r>
      <w:r>
        <w:rPr>
          <w:rFonts w:ascii="Times New Roman" w:cs="Times New Roman" w:eastAsia="Times New Roman" w:hAnsi="Times New Roman"/>
          <w:sz w:val="14"/>
          <w:szCs w:val="14"/>
          <w:color w:val="auto"/>
        </w:rPr>
        <w:t>agree that, unless and until notified to the contrary, this is to be an accepted form of communication; and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25.4.4</w:t>
      </w:r>
      <w:r>
        <w:rPr>
          <w:sz w:val="20"/>
          <w:szCs w:val="20"/>
          <w:color w:val="auto"/>
        </w:rPr>
        <w:tab/>
      </w:r>
      <w:r>
        <w:rPr>
          <w:rFonts w:ascii="Times New Roman" w:cs="Times New Roman" w:eastAsia="Times New Roman" w:hAnsi="Times New Roman"/>
          <w:sz w:val="14"/>
          <w:szCs w:val="14"/>
          <w:color w:val="auto"/>
        </w:rPr>
        <w:t>notify each other in writing of their electronic mail address and/or any other information required to enable the sending and receipt of information by that means.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1" w:name="page222"/>
    <w:bookmarkEnd w:id="221"/>
    <w:p>
      <w:pPr>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25.4.5</w:t>
      </w:r>
      <w:r>
        <w:rPr>
          <w:sz w:val="20"/>
          <w:szCs w:val="20"/>
          <w:color w:val="auto"/>
        </w:rPr>
        <w:tab/>
      </w:r>
      <w:r>
        <w:rPr>
          <w:rFonts w:ascii="Times New Roman" w:cs="Times New Roman" w:eastAsia="Times New Roman" w:hAnsi="Times New Roman"/>
          <w:sz w:val="14"/>
          <w:szCs w:val="14"/>
          <w:color w:val="auto"/>
        </w:rPr>
        <w:t>Any electronic communication made between the Lender and a Lender will be effective only when actually received in readable form and in the case of any electronic communication made by a Lender to the Lender only if it is addressed in such a manner as the Lender shall specify for this purpose.</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25.5</w:t>
      </w:r>
      <w:r>
        <w:rPr>
          <w:sz w:val="20"/>
          <w:szCs w:val="20"/>
          <w:color w:val="auto"/>
        </w:rPr>
        <w:tab/>
      </w:r>
      <w:r>
        <w:rPr>
          <w:rFonts w:ascii="Times New Roman" w:cs="Times New Roman" w:eastAsia="Times New Roman" w:hAnsi="Times New Roman"/>
          <w:sz w:val="14"/>
          <w:szCs w:val="14"/>
          <w:b w:val="1"/>
          <w:bCs w:val="1"/>
          <w:color w:val="auto"/>
        </w:rPr>
        <w:t>English language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notice or other document given under or in connection with any Finance Document must be in English.</w:t>
      </w:r>
    </w:p>
    <w:p>
      <w:pPr>
        <w:spacing w:after="0" w:line="181" w:lineRule="exact"/>
        <w:rPr>
          <w:sz w:val="20"/>
          <w:szCs w:val="20"/>
          <w:color w:val="auto"/>
        </w:rPr>
      </w:pPr>
    </w:p>
    <w:p>
      <w:pPr>
        <w:ind w:left="260" w:hanging="254"/>
        <w:spacing w:after="0"/>
        <w:tabs>
          <w:tab w:leader="none" w:pos="2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CALCULATIONS AND CERTIFICATES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26.1</w:t>
      </w:r>
      <w:r>
        <w:rPr>
          <w:sz w:val="20"/>
          <w:szCs w:val="20"/>
          <w:color w:val="auto"/>
        </w:rPr>
        <w:tab/>
      </w:r>
      <w:r>
        <w:rPr>
          <w:rFonts w:ascii="Times New Roman" w:cs="Times New Roman" w:eastAsia="Times New Roman" w:hAnsi="Times New Roman"/>
          <w:sz w:val="14"/>
          <w:szCs w:val="14"/>
          <w:b w:val="1"/>
          <w:bCs w:val="1"/>
          <w:color w:val="auto"/>
        </w:rPr>
        <w:t>Accounts</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 xml:space="preserve">In any litigation or arbitration proceedings arising out of or in connection with this Agreement, the entries made in the accounts maintained by the Lender are </w:t>
      </w:r>
      <w:r>
        <w:rPr>
          <w:rFonts w:ascii="Times New Roman" w:cs="Times New Roman" w:eastAsia="Times New Roman" w:hAnsi="Times New Roman"/>
          <w:sz w:val="14"/>
          <w:szCs w:val="14"/>
          <w:i w:val="1"/>
          <w:iCs w:val="1"/>
          <w:color w:val="auto"/>
        </w:rPr>
        <w:t>prima facie</w:t>
      </w:r>
      <w:r>
        <w:rPr>
          <w:rFonts w:ascii="Times New Roman" w:cs="Times New Roman" w:eastAsia="Times New Roman" w:hAnsi="Times New Roman"/>
          <w:sz w:val="14"/>
          <w:szCs w:val="14"/>
          <w:color w:val="auto"/>
        </w:rPr>
        <w:t xml:space="preserve"> evidence of the matters to which they relate.</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26.2</w:t>
      </w:r>
      <w:r>
        <w:rPr>
          <w:sz w:val="20"/>
          <w:szCs w:val="20"/>
          <w:color w:val="auto"/>
        </w:rPr>
        <w:tab/>
      </w:r>
      <w:r>
        <w:rPr>
          <w:rFonts w:ascii="Times New Roman" w:cs="Times New Roman" w:eastAsia="Times New Roman" w:hAnsi="Times New Roman"/>
          <w:sz w:val="14"/>
          <w:szCs w:val="14"/>
          <w:b w:val="1"/>
          <w:bCs w:val="1"/>
          <w:color w:val="auto"/>
        </w:rPr>
        <w:t>Certificates and Determinations</w:t>
      </w:r>
    </w:p>
    <w:p>
      <w:pPr>
        <w:spacing w:after="0" w:line="183"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4"/>
          <w:szCs w:val="14"/>
          <w:color w:val="auto"/>
        </w:rPr>
        <w:t xml:space="preserve">Any certification or determination by the Lender of a rate or amount under any Finance Document is, in the absence of manifest error, </w:t>
      </w:r>
      <w:r>
        <w:rPr>
          <w:rFonts w:ascii="Times New Roman" w:cs="Times New Roman" w:eastAsia="Times New Roman" w:hAnsi="Times New Roman"/>
          <w:sz w:val="14"/>
          <w:szCs w:val="14"/>
          <w:i w:val="1"/>
          <w:iCs w:val="1"/>
          <w:color w:val="auto"/>
        </w:rPr>
        <w:t>prima facie</w:t>
      </w:r>
      <w:r>
        <w:rPr>
          <w:rFonts w:ascii="Times New Roman" w:cs="Times New Roman" w:eastAsia="Times New Roman" w:hAnsi="Times New Roman"/>
          <w:sz w:val="14"/>
          <w:szCs w:val="14"/>
          <w:color w:val="auto"/>
        </w:rPr>
        <w:t xml:space="preserve"> evidence of the matters to which it relates.</w:t>
      </w:r>
    </w:p>
    <w:p>
      <w:pPr>
        <w:spacing w:after="0" w:line="3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26.3</w:t>
      </w:r>
      <w:r>
        <w:rPr>
          <w:sz w:val="20"/>
          <w:szCs w:val="20"/>
          <w:color w:val="auto"/>
        </w:rPr>
        <w:tab/>
      </w:r>
      <w:r>
        <w:rPr>
          <w:rFonts w:ascii="Times New Roman" w:cs="Times New Roman" w:eastAsia="Times New Roman" w:hAnsi="Times New Roman"/>
          <w:sz w:val="14"/>
          <w:szCs w:val="14"/>
          <w:b w:val="1"/>
          <w:bCs w:val="1"/>
          <w:color w:val="auto"/>
        </w:rPr>
        <w:t>Day count convention</w:t>
      </w:r>
    </w:p>
    <w:p>
      <w:pPr>
        <w:spacing w:after="0" w:line="185"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Any interest, commission or fee accruing under a Finance Document will accrue from day to day and is calculated on the basis of the actual number of days elapsed and a year of 365 days (irrespective of whether the year in question is a leap year).</w:t>
      </w:r>
    </w:p>
    <w:p>
      <w:pPr>
        <w:spacing w:after="0" w:line="122" w:lineRule="exact"/>
        <w:rPr>
          <w:sz w:val="20"/>
          <w:szCs w:val="20"/>
          <w:color w:val="auto"/>
        </w:rPr>
      </w:pPr>
    </w:p>
    <w:p>
      <w:pPr>
        <w:ind w:left="260" w:hanging="254"/>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PARTIAL INVALIDITY</w:t>
      </w:r>
    </w:p>
    <w:p>
      <w:pPr>
        <w:spacing w:after="0" w:line="184" w:lineRule="exact"/>
        <w:rPr>
          <w:rFonts w:ascii="Times New Roman" w:cs="Times New Roman" w:eastAsia="Times New Roman" w:hAnsi="Times New Roman"/>
          <w:sz w:val="14"/>
          <w:szCs w:val="14"/>
          <w:color w:val="auto"/>
        </w:rPr>
      </w:pPr>
    </w:p>
    <w:p>
      <w:pPr>
        <w:jc w:val="both"/>
        <w:ind w:left="26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at any time, any provision of the Finance Documents is or becomes illegal, invalid, unenforceable or inoperable in any respect under any law of any jurisdiction, neither the legality, validity, enforceability or operation of the remaining provisions nor the legality, validity, enforceability or operation of such provision under the law of any other jurisdiction will in any way be affected or impaired. The term </w:t>
      </w:r>
      <w:r>
        <w:rPr>
          <w:rFonts w:ascii="Times New Roman" w:cs="Times New Roman" w:eastAsia="Times New Roman" w:hAnsi="Times New Roman"/>
          <w:sz w:val="14"/>
          <w:szCs w:val="14"/>
          <w:i w:val="1"/>
          <w:iCs w:val="1"/>
          <w:color w:val="auto"/>
        </w:rPr>
        <w:t>“inoperable”</w:t>
      </w:r>
      <w:r>
        <w:rPr>
          <w:rFonts w:ascii="Times New Roman" w:cs="Times New Roman" w:eastAsia="Times New Roman" w:hAnsi="Times New Roman"/>
          <w:sz w:val="14"/>
          <w:szCs w:val="14"/>
          <w:color w:val="auto"/>
        </w:rPr>
        <w:t xml:space="preserve"> in this clause 27 shall include, without limitation, inoperable by way of suspension or cancellation.</w:t>
      </w:r>
    </w:p>
    <w:p>
      <w:pPr>
        <w:spacing w:after="0" w:line="13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REMEDIES AND WAIVERS</w:t>
      </w:r>
    </w:p>
    <w:p>
      <w:pPr>
        <w:spacing w:after="0" w:line="184" w:lineRule="exact"/>
        <w:rPr>
          <w:rFonts w:ascii="Times New Roman" w:cs="Times New Roman" w:eastAsia="Times New Roman" w:hAnsi="Times New Roman"/>
          <w:sz w:val="14"/>
          <w:szCs w:val="14"/>
          <w:color w:val="auto"/>
        </w:rPr>
      </w:pPr>
    </w:p>
    <w:p>
      <w:pPr>
        <w:jc w:val="both"/>
        <w:ind w:left="26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failure to exercise, nor any delay in exercising, on the part of the Lender, any right or remedy under this Agreement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22" w:name="page223"/>
    <w:bookmarkEnd w:id="222"/>
    <w:p>
      <w:pPr>
        <w:ind w:left="260" w:hanging="254"/>
        <w:spacing w:after="0"/>
        <w:tabs>
          <w:tab w:leader="none" w:pos="2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AMENDMENTS AND WAIVERS</w:t>
      </w:r>
    </w:p>
    <w:p>
      <w:pPr>
        <w:spacing w:after="0" w:line="185" w:lineRule="exact"/>
        <w:rPr>
          <w:sz w:val="20"/>
          <w:szCs w:val="20"/>
          <w:color w:val="auto"/>
        </w:rPr>
      </w:pPr>
    </w:p>
    <w:p>
      <w:pPr>
        <w:ind w:left="520" w:hanging="514"/>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29.1</w:t>
      </w:r>
      <w:r>
        <w:rPr>
          <w:sz w:val="20"/>
          <w:szCs w:val="20"/>
          <w:color w:val="auto"/>
        </w:rPr>
        <w:tab/>
      </w:r>
      <w:r>
        <w:rPr>
          <w:rFonts w:ascii="Times New Roman" w:cs="Times New Roman" w:eastAsia="Times New Roman" w:hAnsi="Times New Roman"/>
          <w:sz w:val="14"/>
          <w:szCs w:val="14"/>
          <w:color w:val="auto"/>
        </w:rPr>
        <w:t>No variation, amendment or consensual cancellation of any Finance Document and no extension of time, waiver or relaxation or suspension of any of the provisions or terms of this Agreement shall be of any force or effect unless in writing and signed by or on behalf of the Parties.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29.2</w:t>
      </w:r>
      <w:r>
        <w:rPr>
          <w:sz w:val="20"/>
          <w:szCs w:val="20"/>
          <w:color w:val="auto"/>
        </w:rPr>
        <w:tab/>
      </w:r>
      <w:r>
        <w:rPr>
          <w:rFonts w:ascii="Times New Roman" w:cs="Times New Roman" w:eastAsia="Times New Roman" w:hAnsi="Times New Roman"/>
          <w:sz w:val="14"/>
          <w:szCs w:val="14"/>
          <w:color w:val="auto"/>
        </w:rPr>
        <w:t xml:space="preserve">No oral </w:t>
      </w:r>
      <w:r>
        <w:rPr>
          <w:rFonts w:ascii="Times New Roman" w:cs="Times New Roman" w:eastAsia="Times New Roman" w:hAnsi="Times New Roman"/>
          <w:sz w:val="14"/>
          <w:szCs w:val="14"/>
          <w:i w:val="1"/>
          <w:iCs w:val="1"/>
          <w:color w:val="auto"/>
        </w:rPr>
        <w:t>pactum de non petendo</w:t>
      </w:r>
      <w:r>
        <w:rPr>
          <w:rFonts w:ascii="Times New Roman" w:cs="Times New Roman" w:eastAsia="Times New Roman" w:hAnsi="Times New Roman"/>
          <w:sz w:val="14"/>
          <w:szCs w:val="14"/>
          <w:color w:val="auto"/>
        </w:rPr>
        <w:t xml:space="preserve"> shall be of any force or effect.</w:t>
      </w:r>
    </w:p>
    <w:p>
      <w:pPr>
        <w:spacing w:after="0" w:line="183" w:lineRule="exact"/>
        <w:rPr>
          <w:sz w:val="20"/>
          <w:szCs w:val="20"/>
          <w:color w:val="auto"/>
        </w:rPr>
      </w:pPr>
    </w:p>
    <w:p>
      <w:pPr>
        <w:ind w:left="260" w:hanging="254"/>
        <w:spacing w:after="0"/>
        <w:tabs>
          <w:tab w:leader="none" w:pos="2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CONFIDENTIAL INFORMATION</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30.1</w:t>
      </w:r>
      <w:r>
        <w:rPr>
          <w:sz w:val="20"/>
          <w:szCs w:val="20"/>
          <w:color w:val="auto"/>
        </w:rPr>
        <w:tab/>
      </w:r>
      <w:r>
        <w:rPr>
          <w:rFonts w:ascii="Times New Roman" w:cs="Times New Roman" w:eastAsia="Times New Roman" w:hAnsi="Times New Roman"/>
          <w:sz w:val="14"/>
          <w:szCs w:val="14"/>
          <w:b w:val="1"/>
          <w:bCs w:val="1"/>
          <w:color w:val="auto"/>
        </w:rPr>
        <w:t>Confidentiality</w:t>
      </w:r>
    </w:p>
    <w:p>
      <w:pPr>
        <w:spacing w:after="0" w:line="183" w:lineRule="exact"/>
        <w:rPr>
          <w:sz w:val="20"/>
          <w:szCs w:val="20"/>
          <w:color w:val="auto"/>
        </w:rPr>
      </w:pPr>
    </w:p>
    <w:p>
      <w:pPr>
        <w:ind w:left="520"/>
        <w:spacing w:after="0" w:line="295" w:lineRule="auto"/>
        <w:rPr>
          <w:sz w:val="20"/>
          <w:szCs w:val="20"/>
          <w:color w:val="auto"/>
        </w:rPr>
      </w:pPr>
      <w:r>
        <w:rPr>
          <w:rFonts w:ascii="Times New Roman" w:cs="Times New Roman" w:eastAsia="Times New Roman" w:hAnsi="Times New Roman"/>
          <w:sz w:val="14"/>
          <w:szCs w:val="14"/>
          <w:color w:val="auto"/>
        </w:rPr>
        <w:t>The Lender agrees to keep all Confidential Information confidential and not to disclose it to anyone, save to the extent permitted by clause 30.1 (</w:t>
      </w:r>
      <w:r>
        <w:rPr>
          <w:rFonts w:ascii="Times New Roman" w:cs="Times New Roman" w:eastAsia="Times New Roman" w:hAnsi="Times New Roman"/>
          <w:sz w:val="14"/>
          <w:szCs w:val="14"/>
          <w:i w:val="1"/>
          <w:iCs w:val="1"/>
          <w:color w:val="auto"/>
        </w:rPr>
        <w:t>Disclosure of Confidential Information</w:t>
      </w:r>
      <w:r>
        <w:rPr>
          <w:rFonts w:ascii="Times New Roman" w:cs="Times New Roman" w:eastAsia="Times New Roman" w:hAnsi="Times New Roman"/>
          <w:sz w:val="14"/>
          <w:szCs w:val="14"/>
          <w:color w:val="auto"/>
        </w:rPr>
        <w:t>), and to ensure that all Confidential Information is protected with security measures and a degree of care that would apply to its own confidential information.</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30.2</w:t>
      </w:r>
      <w:r>
        <w:rPr>
          <w:sz w:val="20"/>
          <w:szCs w:val="20"/>
          <w:color w:val="auto"/>
        </w:rPr>
        <w:tab/>
      </w:r>
      <w:r>
        <w:rPr>
          <w:rFonts w:ascii="Times New Roman" w:cs="Times New Roman" w:eastAsia="Times New Roman" w:hAnsi="Times New Roman"/>
          <w:sz w:val="14"/>
          <w:szCs w:val="14"/>
          <w:b w:val="1"/>
          <w:bCs w:val="1"/>
          <w:color w:val="auto"/>
        </w:rPr>
        <w:t>Disclosure of Confidential Information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Lender may disclose: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30.2.1</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 any of its Affiliates and Related Funds and any of its or their officers, directors, employees, professional advisers, auditors, partners and Representatives such Confidential</w:t>
            </w:r>
          </w:p>
        </w:tc>
      </w:tr>
      <w:tr>
        <w:trPr>
          <w:trHeight w:val="172"/>
        </w:trPr>
        <w:tc>
          <w:tcPr>
            <w:tcW w:w="620" w:type="dxa"/>
            <w:vAlign w:val="bottom"/>
          </w:tcPr>
          <w:p>
            <w:pPr>
              <w:spacing w:after="0"/>
              <w:rPr>
                <w:sz w:val="14"/>
                <w:szCs w:val="14"/>
                <w:color w:val="auto"/>
              </w:rPr>
            </w:pP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Information as the Lender shall consider appropriate if any person to whom the Confidential Information is to be given pursuant to this clause 30.2.1 is informed in writing of its</w:t>
            </w:r>
          </w:p>
        </w:tc>
      </w:tr>
      <w:tr>
        <w:trPr>
          <w:trHeight w:val="172"/>
        </w:trPr>
        <w:tc>
          <w:tcPr>
            <w:tcW w:w="620" w:type="dxa"/>
            <w:vAlign w:val="bottom"/>
          </w:tcPr>
          <w:p>
            <w:pPr>
              <w:spacing w:after="0"/>
              <w:rPr>
                <w:sz w:val="14"/>
                <w:szCs w:val="14"/>
                <w:color w:val="auto"/>
              </w:rPr>
            </w:pP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confidential nature and that some or all of such Confidential Information may be price sensitive information except that there shall be no such requirement to so inform if the recipient</w:t>
            </w:r>
          </w:p>
        </w:tc>
      </w:tr>
      <w:tr>
        <w:trPr>
          <w:trHeight w:val="172"/>
        </w:trPr>
        <w:tc>
          <w:tcPr>
            <w:tcW w:w="620" w:type="dxa"/>
            <w:vAlign w:val="bottom"/>
          </w:tcPr>
          <w:p>
            <w:pPr>
              <w:spacing w:after="0"/>
              <w:rPr>
                <w:sz w:val="14"/>
                <w:szCs w:val="14"/>
                <w:color w:val="auto"/>
              </w:rPr>
            </w:pP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is subject to professional obligations to maintain the confidentiality of the information or is otherwise bound by requirements of confidentiality in relation to the Confidential</w:t>
            </w:r>
          </w:p>
        </w:tc>
      </w:tr>
      <w:tr>
        <w:trPr>
          <w:trHeight w:val="186"/>
        </w:trPr>
        <w:tc>
          <w:tcPr>
            <w:tcW w:w="620" w:type="dxa"/>
            <w:vAlign w:val="bottom"/>
          </w:tcPr>
          <w:p>
            <w:pPr>
              <w:spacing w:after="0"/>
              <w:rPr>
                <w:sz w:val="16"/>
                <w:szCs w:val="16"/>
                <w:color w:val="auto"/>
              </w:rPr>
            </w:pP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Information;</w:t>
            </w: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30.2.2</w:t>
            </w:r>
          </w:p>
        </w:tc>
        <w:tc>
          <w:tcPr>
            <w:tcW w:w="10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 any other person:</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30.2.2.1</w:t>
            </w: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 (or through) whom it transfers (or may potentially transfer) all or any of its rights and obligations under this Agreement and to any of that person’s Affiliates, Related Funds,</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Representatives and professional advisers;</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30.2.2.2</w:t>
            </w: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with (or through) whom it enters into (or may potentially enter into), whether directly or indirectly, any sub-participation or other credit participation in relation to, or any other</w:t>
            </w:r>
          </w:p>
        </w:tc>
      </w:tr>
      <w:tr>
        <w:trPr>
          <w:trHeight w:val="172"/>
        </w:trPr>
        <w:tc>
          <w:tcPr>
            <w:tcW w:w="620" w:type="dxa"/>
            <w:vAlign w:val="bottom"/>
          </w:tcPr>
          <w:p>
            <w:pPr>
              <w:spacing w:after="0"/>
              <w:rPr>
                <w:sz w:val="14"/>
                <w:szCs w:val="14"/>
                <w:color w:val="auto"/>
              </w:rPr>
            </w:pPr>
          </w:p>
        </w:tc>
        <w:tc>
          <w:tcPr>
            <w:tcW w:w="10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transaction under which payments are to be made or may be made by reference to, one or more Finance Documents and/or the Borrower and to any of that person’s Affiliates,</w:t>
            </w:r>
          </w:p>
        </w:tc>
      </w:tr>
      <w:tr>
        <w:trPr>
          <w:trHeight w:val="186"/>
        </w:trPr>
        <w:tc>
          <w:tcPr>
            <w:tcW w:w="620" w:type="dxa"/>
            <w:vAlign w:val="bottom"/>
          </w:tcPr>
          <w:p>
            <w:pPr>
              <w:spacing w:after="0"/>
              <w:rPr>
                <w:sz w:val="16"/>
                <w:szCs w:val="16"/>
                <w:color w:val="auto"/>
              </w:rPr>
            </w:pPr>
          </w:p>
        </w:tc>
        <w:tc>
          <w:tcPr>
            <w:tcW w:w="10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Related Funds, Representatives and professional advisers;</w:t>
            </w:r>
          </w:p>
        </w:tc>
      </w:tr>
      <w:tr>
        <w:trPr>
          <w:trHeight w:val="518"/>
        </w:trPr>
        <w:tc>
          <w:tcPr>
            <w:tcW w:w="62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jc w:val="right"/>
              <w:ind w:right="5488"/>
              <w:spacing w:after="0"/>
              <w:rPr>
                <w:sz w:val="20"/>
                <w:szCs w:val="20"/>
                <w:color w:val="auto"/>
              </w:rPr>
            </w:pPr>
            <w:r>
              <w:rPr>
                <w:rFonts w:ascii="Times New Roman" w:cs="Times New Roman" w:eastAsia="Times New Roman" w:hAnsi="Times New Roman"/>
                <w:sz w:val="14"/>
                <w:szCs w:val="14"/>
                <w:color w:val="auto"/>
              </w:rPr>
              <w:t>59</w:t>
            </w:r>
          </w:p>
        </w:tc>
      </w:tr>
    </w:tbl>
    <w:p>
      <w:pPr>
        <w:sectPr>
          <w:pgSz w:w="11900" w:h="16838" w:orient="portrait"/>
          <w:cols w:equalWidth="0" w:num="1">
            <w:col w:w="11280"/>
          </w:cols>
          <w:pgMar w:left="300" w:top="295" w:right="31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30.2.2.3</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appointed by the Lender or by a person to whom clauses 30.2.2.1 or 30.2.2.2 above applies to receive communications, notices, information or documents delivered pursuant to</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Finance Documents on its behalf;</w:t>
            </w:r>
          </w:p>
        </w:tc>
      </w:tr>
      <w:tr>
        <w:trPr>
          <w:trHeight w:val="344"/>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30.2.2.4</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who invests in or otherwise finances (or may potentially invest in or otherwise finance), directly or indirectly, any transaction referred to in clauses 30.2.2.1 or 30.2.2.2 above;</w:t>
            </w:r>
          </w:p>
        </w:tc>
      </w:tr>
      <w:tr>
        <w:trPr>
          <w:trHeight w:val="330"/>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30.2.2.5</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 whom information is required or requested to be disclosed by any court of competent jurisdiction or any governmental, banking, taxation or other regulatory authority or</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similar body, the rules of any relevant stock exchange or pursuant to any applicable law or regulation;</w:t>
            </w:r>
          </w:p>
        </w:tc>
      </w:tr>
      <w:tr>
        <w:trPr>
          <w:trHeight w:val="330"/>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30.2.2.6</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 whom information is required to be disclosed in connection with, and for the purposes of, any litigation, arbitration, administrative or other investigations, proceedings or</w:t>
            </w:r>
          </w:p>
        </w:tc>
      </w:tr>
      <w:tr>
        <w:trPr>
          <w:trHeight w:val="186"/>
        </w:trPr>
        <w:tc>
          <w:tcPr>
            <w:tcW w:w="760" w:type="dxa"/>
            <w:vAlign w:val="bottom"/>
          </w:tcPr>
          <w:p>
            <w:pPr>
              <w:spacing w:after="0"/>
              <w:rPr>
                <w:sz w:val="16"/>
                <w:szCs w:val="16"/>
                <w:color w:val="auto"/>
              </w:rPr>
            </w:pP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disputes;</w:t>
            </w:r>
          </w:p>
        </w:tc>
      </w:tr>
      <w:tr>
        <w:trPr>
          <w:trHeight w:val="344"/>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30.2.2.7</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who is a Party; or</w:t>
            </w:r>
          </w:p>
        </w:tc>
      </w:tr>
      <w:tr>
        <w:trPr>
          <w:trHeight w:val="344"/>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30.2.2.8</w:t>
            </w:r>
          </w:p>
        </w:tc>
        <w:tc>
          <w:tcPr>
            <w:tcW w:w="10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with the consent of the Borrower.</w:t>
            </w:r>
          </w:p>
        </w:tc>
      </w:tr>
    </w:tbl>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30.3</w:t>
      </w:r>
      <w:r>
        <w:rPr>
          <w:sz w:val="20"/>
          <w:szCs w:val="20"/>
          <w:color w:val="auto"/>
        </w:rPr>
        <w:tab/>
      </w:r>
      <w:r>
        <w:rPr>
          <w:rFonts w:ascii="Times New Roman" w:cs="Times New Roman" w:eastAsia="Times New Roman" w:hAnsi="Times New Roman"/>
          <w:sz w:val="14"/>
          <w:szCs w:val="14"/>
          <w:b w:val="1"/>
          <w:bCs w:val="1"/>
          <w:color w:val="auto"/>
        </w:rPr>
        <w:t>Entire Agreement</w:t>
      </w:r>
    </w:p>
    <w:p>
      <w:pPr>
        <w:spacing w:after="0" w:line="183" w:lineRule="exact"/>
        <w:rPr>
          <w:sz w:val="20"/>
          <w:szCs w:val="20"/>
          <w:color w:val="auto"/>
        </w:rPr>
      </w:pPr>
    </w:p>
    <w:p>
      <w:pPr>
        <w:jc w:val="both"/>
        <w:ind w:left="520"/>
        <w:spacing w:after="0" w:line="295" w:lineRule="auto"/>
        <w:rPr>
          <w:sz w:val="20"/>
          <w:szCs w:val="20"/>
          <w:color w:val="auto"/>
        </w:rPr>
      </w:pPr>
      <w:r>
        <w:rPr>
          <w:rFonts w:ascii="Times New Roman" w:cs="Times New Roman" w:eastAsia="Times New Roman" w:hAnsi="Times New Roman"/>
          <w:sz w:val="14"/>
          <w:szCs w:val="14"/>
          <w:color w:val="auto"/>
        </w:rPr>
        <w:t>This clause 30 (</w:t>
      </w:r>
      <w:r>
        <w:rPr>
          <w:rFonts w:ascii="Times New Roman" w:cs="Times New Roman" w:eastAsia="Times New Roman" w:hAnsi="Times New Roman"/>
          <w:sz w:val="14"/>
          <w:szCs w:val="14"/>
          <w:i w:val="1"/>
          <w:iCs w:val="1"/>
          <w:color w:val="auto"/>
        </w:rPr>
        <w:t>Confidentiality</w:t>
      </w:r>
      <w:r>
        <w:rPr>
          <w:rFonts w:ascii="Times New Roman" w:cs="Times New Roman" w:eastAsia="Times New Roman" w:hAnsi="Times New Roman"/>
          <w:sz w:val="14"/>
          <w:szCs w:val="14"/>
          <w:color w:val="auto"/>
        </w:rPr>
        <w:t>) constitutes the entire agreement between the Parties in relation to the obligations of the Lender under the Finance Documents regarding Confidential Information and supersedes any previous agreement, whether express or implied, regarding Confidential Information.</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30.4</w:t>
      </w:r>
      <w:r>
        <w:rPr>
          <w:sz w:val="20"/>
          <w:szCs w:val="20"/>
          <w:color w:val="auto"/>
        </w:rPr>
        <w:tab/>
      </w:r>
      <w:r>
        <w:rPr>
          <w:rFonts w:ascii="Times New Roman" w:cs="Times New Roman" w:eastAsia="Times New Roman" w:hAnsi="Times New Roman"/>
          <w:sz w:val="14"/>
          <w:szCs w:val="14"/>
          <w:b w:val="1"/>
          <w:bCs w:val="1"/>
          <w:color w:val="auto"/>
        </w:rPr>
        <w:t>Notification of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Lender agrees (to the extent permitted by law and regulation) to inform the Borrower:</w:t>
      </w:r>
    </w:p>
    <w:p>
      <w:pPr>
        <w:spacing w:after="0" w:line="181" w:lineRule="exact"/>
        <w:rPr>
          <w:sz w:val="20"/>
          <w:szCs w:val="20"/>
          <w:color w:val="auto"/>
        </w:rPr>
      </w:pPr>
    </w:p>
    <w:p>
      <w:pPr>
        <w:ind w:left="780" w:hanging="772"/>
        <w:spacing w:after="0" w:line="295" w:lineRule="auto"/>
        <w:tabs>
          <w:tab w:leader="none" w:pos="760" w:val="left"/>
        </w:tabs>
        <w:rPr>
          <w:sz w:val="20"/>
          <w:szCs w:val="20"/>
          <w:color w:val="auto"/>
        </w:rPr>
      </w:pPr>
      <w:r>
        <w:rPr>
          <w:rFonts w:ascii="Times New Roman" w:cs="Times New Roman" w:eastAsia="Times New Roman" w:hAnsi="Times New Roman"/>
          <w:sz w:val="14"/>
          <w:szCs w:val="14"/>
          <w:color w:val="auto"/>
        </w:rPr>
        <w:t>30.4.1</w:t>
      </w:r>
      <w:r>
        <w:rPr>
          <w:sz w:val="20"/>
          <w:szCs w:val="20"/>
          <w:color w:val="auto"/>
        </w:rPr>
        <w:tab/>
      </w:r>
      <w:r>
        <w:rPr>
          <w:rFonts w:ascii="Times New Roman" w:cs="Times New Roman" w:eastAsia="Times New Roman" w:hAnsi="Times New Roman"/>
          <w:sz w:val="14"/>
          <w:szCs w:val="14"/>
          <w:color w:val="auto"/>
        </w:rPr>
        <w:t>of the circumstances of any disclosure of Confidential Information made pursuant to clause 30.2 (</w:t>
      </w:r>
      <w:r>
        <w:rPr>
          <w:rFonts w:ascii="Times New Roman" w:cs="Times New Roman" w:eastAsia="Times New Roman" w:hAnsi="Times New Roman"/>
          <w:sz w:val="14"/>
          <w:szCs w:val="14"/>
          <w:i w:val="1"/>
          <w:iCs w:val="1"/>
          <w:color w:val="auto"/>
        </w:rPr>
        <w:t>Disclosure of Confidential Information</w:t>
      </w:r>
      <w:r>
        <w:rPr>
          <w:rFonts w:ascii="Times New Roman" w:cs="Times New Roman" w:eastAsia="Times New Roman" w:hAnsi="Times New Roman"/>
          <w:sz w:val="14"/>
          <w:szCs w:val="14"/>
          <w:color w:val="auto"/>
        </w:rPr>
        <w:t>) except where such disclosure is made to any of the persons referred to in that clause during the ordinary course of its supervisory or regulatory function; and</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30.4.2</w:t>
      </w:r>
      <w:r>
        <w:rPr>
          <w:sz w:val="20"/>
          <w:szCs w:val="20"/>
          <w:color w:val="auto"/>
        </w:rPr>
        <w:tab/>
      </w:r>
      <w:r>
        <w:rPr>
          <w:rFonts w:ascii="Times New Roman" w:cs="Times New Roman" w:eastAsia="Times New Roman" w:hAnsi="Times New Roman"/>
          <w:sz w:val="14"/>
          <w:szCs w:val="14"/>
          <w:color w:val="auto"/>
        </w:rPr>
        <w:t>upon becoming aware that Confidential Information has been disclosed in breach of this clause 30.2 (</w:t>
      </w:r>
      <w:r>
        <w:rPr>
          <w:rFonts w:ascii="Times New Roman" w:cs="Times New Roman" w:eastAsia="Times New Roman" w:hAnsi="Times New Roman"/>
          <w:sz w:val="14"/>
          <w:szCs w:val="14"/>
          <w:i w:val="1"/>
          <w:iCs w:val="1"/>
          <w:color w:val="auto"/>
        </w:rPr>
        <w:t>Disclosure of Confidential Information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30.5</w:t>
      </w:r>
      <w:r>
        <w:rPr>
          <w:sz w:val="20"/>
          <w:szCs w:val="20"/>
          <w:color w:val="auto"/>
        </w:rPr>
        <w:tab/>
      </w:r>
      <w:r>
        <w:rPr>
          <w:rFonts w:ascii="Times New Roman" w:cs="Times New Roman" w:eastAsia="Times New Roman" w:hAnsi="Times New Roman"/>
          <w:sz w:val="14"/>
          <w:szCs w:val="14"/>
          <w:b w:val="1"/>
          <w:bCs w:val="1"/>
          <w:color w:val="auto"/>
        </w:rPr>
        <w:t>Continuing Obligations</w:t>
      </w:r>
    </w:p>
    <w:p>
      <w:pPr>
        <w:spacing w:after="0" w:line="183" w:lineRule="exact"/>
        <w:rPr>
          <w:sz w:val="20"/>
          <w:szCs w:val="20"/>
          <w:color w:val="auto"/>
        </w:rPr>
      </w:pPr>
    </w:p>
    <w:p>
      <w:pPr>
        <w:jc w:val="both"/>
        <w:ind w:left="520"/>
        <w:spacing w:after="0" w:line="275" w:lineRule="auto"/>
        <w:rPr>
          <w:sz w:val="20"/>
          <w:szCs w:val="20"/>
          <w:color w:val="auto"/>
        </w:rPr>
      </w:pPr>
      <w:r>
        <w:rPr>
          <w:rFonts w:ascii="Times New Roman" w:cs="Times New Roman" w:eastAsia="Times New Roman" w:hAnsi="Times New Roman"/>
          <w:sz w:val="14"/>
          <w:szCs w:val="14"/>
          <w:color w:val="auto"/>
        </w:rPr>
        <w:t>The obligations in this clause 30 (</w:t>
      </w:r>
      <w:r>
        <w:rPr>
          <w:rFonts w:ascii="Times New Roman" w:cs="Times New Roman" w:eastAsia="Times New Roman" w:hAnsi="Times New Roman"/>
          <w:sz w:val="14"/>
          <w:szCs w:val="14"/>
          <w:i w:val="1"/>
          <w:iCs w:val="1"/>
          <w:color w:val="auto"/>
        </w:rPr>
        <w:t>Confidentiality</w:t>
      </w:r>
      <w:r>
        <w:rPr>
          <w:rFonts w:ascii="Times New Roman" w:cs="Times New Roman" w:eastAsia="Times New Roman" w:hAnsi="Times New Roman"/>
          <w:sz w:val="14"/>
          <w:szCs w:val="14"/>
          <w:color w:val="auto"/>
        </w:rPr>
        <w:t>) are continuing and, in particular, shall survive and remain binding on the Lender for a period of twelve months from the earlier of the date on which all amounts payable by the Borrower under or in connection with the Finance Documents have been paid in full and all Commitments have been cancelled or otherwise cease to be available.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24" w:name="page225"/>
    <w:bookmarkEnd w:id="224"/>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RENUNCIATION OF BENEFITS</w:t>
      </w:r>
    </w:p>
    <w:p>
      <w:pPr>
        <w:spacing w:after="0" w:line="182" w:lineRule="exact"/>
        <w:rPr>
          <w:rFonts w:ascii="Times New Roman" w:cs="Times New Roman" w:eastAsia="Times New Roman" w:hAnsi="Times New Roman"/>
          <w:sz w:val="14"/>
          <w:szCs w:val="14"/>
          <w:color w:val="auto"/>
        </w:rPr>
      </w:pPr>
    </w:p>
    <w:p>
      <w:pPr>
        <w:jc w:val="both"/>
        <w:ind w:left="260"/>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renounces, to the extent permitted under applicable law, the benefits of each of the legal exceptions of excussion, division, revision of accounts, no value received, </w:t>
      </w:r>
      <w:r>
        <w:rPr>
          <w:rFonts w:ascii="Times New Roman" w:cs="Times New Roman" w:eastAsia="Times New Roman" w:hAnsi="Times New Roman"/>
          <w:sz w:val="14"/>
          <w:szCs w:val="14"/>
          <w:i w:val="1"/>
          <w:iCs w:val="1"/>
          <w:color w:val="auto"/>
        </w:rPr>
        <w:t>errore calculi</w:t>
      </w:r>
      <w:r>
        <w:rPr>
          <w:rFonts w:ascii="Times New Roman" w:cs="Times New Roman" w:eastAsia="Times New Roman" w:hAnsi="Times New Roman"/>
          <w:sz w:val="14"/>
          <w:szCs w:val="14"/>
          <w:color w:val="auto"/>
        </w:rPr>
        <w:t xml:space="preserve"> (i.e., that there has been a wrong calculation of the debt of the Borrower), </w:t>
      </w:r>
      <w:r>
        <w:rPr>
          <w:rFonts w:ascii="Times New Roman" w:cs="Times New Roman" w:eastAsia="Times New Roman" w:hAnsi="Times New Roman"/>
          <w:sz w:val="14"/>
          <w:szCs w:val="14"/>
          <w:i w:val="1"/>
          <w:iCs w:val="1"/>
          <w:color w:val="auto"/>
        </w:rPr>
        <w:t>non causa debiti</w:t>
      </w:r>
      <w:r>
        <w:rPr>
          <w:rFonts w:ascii="Times New Roman" w:cs="Times New Roman" w:eastAsia="Times New Roman" w:hAnsi="Times New Roman"/>
          <w:sz w:val="14"/>
          <w:szCs w:val="14"/>
          <w:color w:val="auto"/>
        </w:rPr>
        <w:t xml:space="preserve"> (i.e. that no just cause exists for the debt of the Borrower), </w:t>
      </w:r>
      <w:r>
        <w:rPr>
          <w:rFonts w:ascii="Times New Roman" w:cs="Times New Roman" w:eastAsia="Times New Roman" w:hAnsi="Times New Roman"/>
          <w:sz w:val="14"/>
          <w:szCs w:val="14"/>
          <w:i w:val="1"/>
          <w:iCs w:val="1"/>
          <w:color w:val="auto"/>
        </w:rPr>
        <w:t>non numeratae pecuniae</w:t>
      </w:r>
      <w:r>
        <w:rPr>
          <w:rFonts w:ascii="Times New Roman" w:cs="Times New Roman" w:eastAsia="Times New Roman" w:hAnsi="Times New Roman"/>
          <w:sz w:val="14"/>
          <w:szCs w:val="14"/>
          <w:color w:val="auto"/>
        </w:rPr>
        <w:t xml:space="preserve"> (i.e. that the money has not been paid to the Borrower) and cession of actions, and declares that it understands the meaning of each such legal exception and the effect of such renunciation.</w:t>
      </w:r>
    </w:p>
    <w:p>
      <w:pPr>
        <w:spacing w:after="0" w:line="13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COUNTERPARTS</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any number of counterparts, and this has the same effect as if the signatures on the counterparts were on a single copy of this Agreement.</w:t>
      </w:r>
    </w:p>
    <w:p>
      <w:pPr>
        <w:spacing w:after="0" w:line="18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WAIVER OF IMMUNITY</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irrevocably and unconditionally waives any right it may have to claim for itself or any of its assets immunity from suit, execution, attachment or other legal process.</w:t>
      </w:r>
    </w:p>
    <w:p>
      <w:pPr>
        <w:spacing w:after="0" w:line="18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SOLE AGREEMENT</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the sole record of the agreement between the Parties in regard to the subject matter thereof.</w:t>
      </w:r>
    </w:p>
    <w:p>
      <w:pPr>
        <w:spacing w:after="0" w:line="18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 IMPLIED TERMS</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Party shall be bound by any express or implied term, representation, warranty, promise or the like, not recorded in this Agreement in regard to the subject matter thereof.</w:t>
      </w:r>
    </w:p>
    <w:p>
      <w:pPr>
        <w:spacing w:after="0" w:line="18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EXTENSIONS AND WAIVERS</w:t>
      </w:r>
    </w:p>
    <w:p>
      <w:pPr>
        <w:spacing w:after="0" w:line="184" w:lineRule="exact"/>
        <w:rPr>
          <w:rFonts w:ascii="Times New Roman" w:cs="Times New Roman" w:eastAsia="Times New Roman" w:hAnsi="Times New Roman"/>
          <w:sz w:val="14"/>
          <w:szCs w:val="14"/>
          <w:color w:val="auto"/>
        </w:rPr>
      </w:pPr>
    </w:p>
    <w:p>
      <w:pPr>
        <w:jc w:val="both"/>
        <w:ind w:left="26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latitude, extension of time or other indulgence which may be given or allowed by any Party to any other Party in respect of the performance of any obligation hereunder or enforcement of any right arising from this Agreement and no single or partial exercise of any right by any Party shall under any circumstances be construed to be an implied consent by such Party or operate as a waiver or a novation of, or otherwise affect any of that Party’s rights in terms of or arising from this Agreement or estop such Party from enforcing, at any time and without notice, strict and punctual compliance with each and every provision or term of this Agreement.</w:t>
      </w:r>
    </w:p>
    <w:p>
      <w:pPr>
        <w:spacing w:after="0" w:line="138"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INDEPENDENT ADVICE</w:t>
      </w:r>
    </w:p>
    <w:p>
      <w:pPr>
        <w:spacing w:after="0" w:line="184" w:lineRule="exact"/>
        <w:rPr>
          <w:rFonts w:ascii="Times New Roman" w:cs="Times New Roman" w:eastAsia="Times New Roman" w:hAnsi="Times New Roman"/>
          <w:sz w:val="14"/>
          <w:szCs w:val="14"/>
          <w:color w:val="auto"/>
        </w:rPr>
      </w:pPr>
    </w:p>
    <w:p>
      <w:pPr>
        <w:jc w:val="both"/>
        <w:ind w:left="26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acknowledges that it has been free to secure independent legal and other advice as to the nature and effect of all of the provisions of this Agreement and that it has either taken such independent legal and other advice or dispensed with the necessity of doing so. Further, the Borrower acknowledges that all of the provisions of this Agreement and the restrictions therein contained are part of the overall intention of the Parties in connection with this Agreement.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5" w:name="page226"/>
    <w:bookmarkEnd w:id="225"/>
    <w:p>
      <w:pPr>
        <w:ind w:left="260" w:hanging="254"/>
        <w:spacing w:after="0"/>
        <w:tabs>
          <w:tab w:leader="none" w:pos="2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governed by South African law.</w:t>
      </w:r>
    </w:p>
    <w:p>
      <w:pPr>
        <w:spacing w:after="0" w:line="18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JURISDICTION</w:t>
      </w:r>
    </w:p>
    <w:p>
      <w:pPr>
        <w:spacing w:after="0" w:line="185" w:lineRule="exact"/>
        <w:rPr>
          <w:sz w:val="20"/>
          <w:szCs w:val="20"/>
          <w:color w:val="auto"/>
        </w:rPr>
      </w:pPr>
    </w:p>
    <w:p>
      <w:pPr>
        <w:jc w:val="both"/>
        <w:ind w:left="520" w:hanging="514"/>
        <w:spacing w:after="0" w:line="274" w:lineRule="auto"/>
        <w:tabs>
          <w:tab w:leader="none" w:pos="500" w:val="left"/>
        </w:tabs>
        <w:rPr>
          <w:sz w:val="20"/>
          <w:szCs w:val="20"/>
          <w:color w:val="auto"/>
        </w:rPr>
      </w:pPr>
      <w:r>
        <w:rPr>
          <w:rFonts w:ascii="Times New Roman" w:cs="Times New Roman" w:eastAsia="Times New Roman" w:hAnsi="Times New Roman"/>
          <w:sz w:val="14"/>
          <w:szCs w:val="14"/>
          <w:color w:val="auto"/>
        </w:rPr>
        <w:t>39.1</w:t>
      </w:r>
      <w:r>
        <w:rPr>
          <w:sz w:val="20"/>
          <w:szCs w:val="20"/>
          <w:color w:val="auto"/>
        </w:rPr>
        <w:tab/>
      </w:r>
      <w:r>
        <w:rPr>
          <w:rFonts w:ascii="Times New Roman" w:cs="Times New Roman" w:eastAsia="Times New Roman" w:hAnsi="Times New Roman"/>
          <w:sz w:val="14"/>
          <w:szCs w:val="14"/>
          <w:color w:val="auto"/>
        </w:rPr>
        <w:t xml:space="preserve">The Parties hereby irrevocably and unconditionally consent to the non-exclusive jurisdiction of the High Court of South Africa, Gauteng Local Division, Johannesburg (or any successor to that division) in regard to all matters arising from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520" w:hanging="514"/>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39.2</w:t>
      </w:r>
      <w:r>
        <w:rPr>
          <w:sz w:val="20"/>
          <w:szCs w:val="20"/>
          <w:color w:val="auto"/>
        </w:rPr>
        <w:tab/>
      </w:r>
      <w:r>
        <w:rPr>
          <w:rFonts w:ascii="Times New Roman" w:cs="Times New Roman" w:eastAsia="Times New Roman" w:hAnsi="Times New Roman"/>
          <w:sz w:val="14"/>
          <w:szCs w:val="14"/>
          <w:color w:val="auto"/>
        </w:rPr>
        <w:t>The Parties agree that the High Court of South Africa, Gauteng Local Division, Johannesburg (or any successor to that division) is the most appropriate and convenient court to settle Disputes and accordingly no Party will argue to the contrary.</w:t>
      </w:r>
    </w:p>
    <w:p>
      <w:pPr>
        <w:spacing w:after="0" w:line="124" w:lineRule="exact"/>
        <w:rPr>
          <w:sz w:val="20"/>
          <w:szCs w:val="20"/>
          <w:color w:val="auto"/>
        </w:rPr>
      </w:pPr>
    </w:p>
    <w:p>
      <w:pPr>
        <w:jc w:val="both"/>
        <w:ind w:left="520" w:hanging="514"/>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39.3</w:t>
      </w:r>
      <w:r>
        <w:rPr>
          <w:sz w:val="20"/>
          <w:szCs w:val="20"/>
          <w:color w:val="auto"/>
        </w:rPr>
        <w:tab/>
      </w:r>
      <w:r>
        <w:rPr>
          <w:rFonts w:ascii="Times New Roman" w:cs="Times New Roman" w:eastAsia="Times New Roman" w:hAnsi="Times New Roman"/>
          <w:sz w:val="14"/>
          <w:szCs w:val="14"/>
          <w:color w:val="auto"/>
        </w:rPr>
        <w:t>This clause 39 is for the benefit of the Lender only. As a result, the Lender shall not be prevented from taking proceedings relating to a Dispute in any other courts with jurisdiction. To the extent allowed by law, the Lender may take concurrent proceedings in any number of jurisdictions.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color w:val="auto"/>
        </w:rPr>
        <w:t xml:space="preserve">SIGNED </w:t>
      </w:r>
      <w:r>
        <w:rPr>
          <w:rFonts w:ascii="Times New Roman" w:cs="Times New Roman" w:eastAsia="Times New Roman" w:hAnsi="Times New Roman"/>
          <w:sz w:val="14"/>
          <w:szCs w:val="14"/>
          <w:color w:val="auto"/>
        </w:rPr>
        <w:t>at___</w:t>
      </w:r>
      <w:r>
        <w:rPr>
          <w:rFonts w:ascii="Times New Roman" w:cs="Times New Roman" w:eastAsia="Times New Roman" w:hAnsi="Times New Roman"/>
          <w:sz w:val="14"/>
          <w:szCs w:val="14"/>
          <w:u w:val="single" w:color="auto"/>
          <w:color w:val="auto"/>
        </w:rPr>
        <w:t>Rosebank</w:t>
      </w:r>
      <w:r>
        <w:rPr>
          <w:rFonts w:ascii="Times New Roman" w:cs="Times New Roman" w:eastAsia="Times New Roman" w:hAnsi="Times New Roman"/>
          <w:sz w:val="14"/>
          <w:szCs w:val="14"/>
          <w:color w:val="auto"/>
        </w:rPr>
        <w:t>______on this the ___</w:t>
      </w:r>
      <w:r>
        <w:rPr>
          <w:rFonts w:ascii="Times New Roman" w:cs="Times New Roman" w:eastAsia="Times New Roman" w:hAnsi="Times New Roman"/>
          <w:sz w:val="14"/>
          <w:szCs w:val="14"/>
          <w:u w:val="single" w:color="auto"/>
          <w:color w:val="auto"/>
        </w:rPr>
        <w:t>19th</w:t>
      </w:r>
      <w:r>
        <w:rPr>
          <w:rFonts w:ascii="Times New Roman" w:cs="Times New Roman" w:eastAsia="Times New Roman" w:hAnsi="Times New Roman"/>
          <w:sz w:val="14"/>
          <w:szCs w:val="14"/>
          <w:color w:val="auto"/>
        </w:rPr>
        <w:t>_______day of ____</w:t>
      </w:r>
      <w:r>
        <w:rPr>
          <w:rFonts w:ascii="Times New Roman" w:cs="Times New Roman" w:eastAsia="Times New Roman" w:hAnsi="Times New Roman"/>
          <w:sz w:val="14"/>
          <w:szCs w:val="14"/>
          <w:u w:val="single" w:color="auto"/>
          <w:color w:val="auto"/>
        </w:rPr>
        <w:t>June</w:t>
      </w:r>
      <w:r>
        <w:rPr>
          <w:rFonts w:ascii="Times New Roman" w:cs="Times New Roman" w:eastAsia="Times New Roman" w:hAnsi="Times New Roman"/>
          <w:sz w:val="14"/>
          <w:szCs w:val="14"/>
          <w:color w:val="auto"/>
        </w:rPr>
        <w:t>_____2024</w:t>
      </w:r>
    </w:p>
    <w:p>
      <w:pPr>
        <w:spacing w:after="0" w:line="18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For and on behalf of</w:t>
      </w:r>
    </w:p>
    <w:p>
      <w:pPr>
        <w:spacing w:after="0" w:line="18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PURPLE RAIN PROPERTIES NO 444</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PROPRIETARY LIMITED (as Borrower)</w:t>
      </w:r>
    </w:p>
    <w:p>
      <w:pPr>
        <w:spacing w:after="0" w:line="34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/s/ Zak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16510</wp:posOffset>
            </wp:positionV>
            <wp:extent cx="2863850" cy="133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2863850" cy="13335"/>
                    </a:xfrm>
                    <a:prstGeom prst="rect">
                      <a:avLst/>
                    </a:prstGeom>
                    <a:noFill/>
                  </pic:spPr>
                </pic:pic>
              </a:graphicData>
            </a:graphic>
          </wp:anchor>
        </w:drawing>
      </w:r>
    </w:p>
    <w:p>
      <w:pPr>
        <w:spacing w:after="0" w:line="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Zak Calisto</w:t>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Capacity: Director</w:t>
      </w:r>
    </w:p>
    <w:p>
      <w:pPr>
        <w:spacing w:after="0" w:line="16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Who warrants his authority 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SIGNED </w:t>
      </w:r>
      <w:r>
        <w:rPr>
          <w:rFonts w:ascii="Times New Roman" w:cs="Times New Roman" w:eastAsia="Times New Roman" w:hAnsi="Times New Roman"/>
          <w:sz w:val="14"/>
          <w:szCs w:val="14"/>
          <w:color w:val="auto"/>
        </w:rPr>
        <w:t>at_________ ______ on this the _________ ______day of _________ ______2024</w:t>
      </w:r>
    </w:p>
    <w:p>
      <w:pPr>
        <w:spacing w:after="0" w:line="18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For and on behalf of</w:t>
      </w:r>
    </w:p>
    <w:p>
      <w:pPr>
        <w:spacing w:after="0" w:line="18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THE STANDARD BANK OF SOUTH AFRICA</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LIMITED (ACTING THROUGH ITS CORPORATE</w:t>
      </w:r>
    </w:p>
    <w:p>
      <w:pPr>
        <w:spacing w:after="0" w:line="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AND INVESTMENT BANKING DIVISION)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334645</wp:posOffset>
            </wp:positionV>
            <wp:extent cx="2863850" cy="133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286385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Capacity:</w:t>
      </w:r>
    </w:p>
    <w:p>
      <w:pPr>
        <w:spacing w:after="0" w:line="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Who warrants his authority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334645</wp:posOffset>
            </wp:positionV>
            <wp:extent cx="2863850" cy="13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286385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Capacity:</w:t>
      </w:r>
    </w:p>
    <w:p>
      <w:pPr>
        <w:spacing w:after="0" w:line="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Who warrants his authority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300"/>
          </w:cols>
          <w:pgMar w:left="300" w:top="295" w:right="129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b w:val="1"/>
          <w:bCs w:val="1"/>
          <w:color w:val="auto"/>
        </w:rPr>
        <w:t>Annexure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ADVANCE CONDITIONS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FACILITY 1 ADVANCE CONDITIONS</w:t>
      </w:r>
    </w:p>
    <w:p>
      <w:pPr>
        <w:spacing w:after="0" w:line="167" w:lineRule="exact"/>
        <w:rPr>
          <w:sz w:val="20"/>
          <w:szCs w:val="20"/>
          <w:color w:val="auto"/>
        </w:rPr>
      </w:pPr>
    </w:p>
    <w:p>
      <w:pPr>
        <w:ind w:left="260" w:hanging="254"/>
        <w:spacing w:after="0"/>
        <w:tabs>
          <w:tab w:leader="none" w:pos="2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CONSTITUTIONAL DOCUMENTS AND RESOLUTIONS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copy of the constitutional documents of the Obligors.</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copy of a resolution of the directors of the Obligors:</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1.2.1</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approving the terms of each Finance Document to which it is a party and resolving that it execute such Finance Document;</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1.2.2</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authorising a specified person or persons to execute the Finance Document on its behalf;</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1.2.3</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authorising a specified person or persons, on its behalf, to sign and/or despatch all documents and notices (including, if relevant, any Utilisation Request) to be signed and/or</w:t>
            </w:r>
          </w:p>
        </w:tc>
      </w:tr>
      <w:tr>
        <w:trPr>
          <w:trHeight w:val="186"/>
        </w:trPr>
        <w:tc>
          <w:tcPr>
            <w:tcW w:w="400" w:type="dxa"/>
            <w:vAlign w:val="bottom"/>
          </w:tcPr>
          <w:p>
            <w:pPr>
              <w:spacing w:after="0"/>
              <w:rPr>
                <w:sz w:val="16"/>
                <w:szCs w:val="16"/>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despatched by it under or in connection with the applicable Finance Document to which it is a part; and</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1.2.4</w:t>
            </w: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complying with the requirements of section 45(3)(b) and section 45(4) of the Companies Act in connection with any financial assistance to be granted by that Obligor pursuant to</w:t>
            </w:r>
          </w:p>
        </w:tc>
      </w:tr>
      <w:tr>
        <w:trPr>
          <w:trHeight w:val="186"/>
        </w:trPr>
        <w:tc>
          <w:tcPr>
            <w:tcW w:w="400" w:type="dxa"/>
            <w:vAlign w:val="bottom"/>
          </w:tcPr>
          <w:p>
            <w:pPr>
              <w:spacing w:after="0"/>
              <w:rPr>
                <w:sz w:val="16"/>
                <w:szCs w:val="16"/>
                <w:color w:val="auto"/>
              </w:rPr>
            </w:pPr>
          </w:p>
        </w:tc>
        <w:tc>
          <w:tcPr>
            <w:tcW w:w="10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45(2) of the Companies Act under the Finance Documents to which it is a party.</w:t>
            </w:r>
          </w:p>
        </w:tc>
      </w:tr>
      <w:tr>
        <w:trPr>
          <w:trHeight w:val="34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10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specimen of the signature of each person authorised by the Borrower’s resolution referred to in paragraph 1.2 above.</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10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the extent required by the Companies Act, any other applicable law or the Constitutional Documents of the Borrower, a copy of a resolution duly passed by the holders of the issued</w:t>
            </w:r>
          </w:p>
        </w:tc>
      </w:tr>
      <w:tr>
        <w:trPr>
          <w:trHeight w:val="186"/>
        </w:trPr>
        <w:tc>
          <w:tcPr>
            <w:tcW w:w="400" w:type="dxa"/>
            <w:vAlign w:val="bottom"/>
          </w:tcPr>
          <w:p>
            <w:pPr>
              <w:spacing w:after="0"/>
              <w:rPr>
                <w:sz w:val="16"/>
                <w:szCs w:val="16"/>
                <w:color w:val="auto"/>
              </w:rPr>
            </w:pPr>
          </w:p>
        </w:tc>
        <w:tc>
          <w:tcPr>
            <w:tcW w:w="10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of the Borrower, approving the terms of, and the transactions contemplated by, the Finance Documents.</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10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 copy of a special resolution of the shareholders of that Obligor approving, in accordance with section 45(3)(a)(ii) of the Companies Act, any financial assistance to be granted by that</w:t>
            </w:r>
          </w:p>
        </w:tc>
      </w:tr>
      <w:tr>
        <w:trPr>
          <w:trHeight w:val="186"/>
        </w:trPr>
        <w:tc>
          <w:tcPr>
            <w:tcW w:w="400" w:type="dxa"/>
            <w:vAlign w:val="bottom"/>
          </w:tcPr>
          <w:p>
            <w:pPr>
              <w:spacing w:after="0"/>
              <w:rPr>
                <w:sz w:val="16"/>
                <w:szCs w:val="16"/>
                <w:color w:val="auto"/>
              </w:rPr>
            </w:pPr>
          </w:p>
        </w:tc>
        <w:tc>
          <w:tcPr>
            <w:tcW w:w="10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Obligor pursuant to section 45(2) of the Companies Act under the Finance Documents to which it is a party.</w:t>
            </w:r>
          </w:p>
        </w:tc>
      </w:tr>
    </w:tbl>
    <w:p>
      <w:pPr>
        <w:spacing w:after="0" w:line="156" w:lineRule="exact"/>
        <w:rPr>
          <w:sz w:val="20"/>
          <w:szCs w:val="20"/>
          <w:color w:val="auto"/>
        </w:rPr>
      </w:pPr>
    </w:p>
    <w:p>
      <w:pPr>
        <w:ind w:left="260" w:hanging="254"/>
        <w:spacing w:after="0"/>
        <w:tabs>
          <w:tab w:leader="none" w:pos="2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FICA</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furnish the Lender with all documents and information to satisfy the compliance requirements of the Financial Intelligence Centre Act, 2001.</w:t>
      </w:r>
    </w:p>
    <w:p>
      <w:pPr>
        <w:spacing w:after="0" w:line="181" w:lineRule="exact"/>
        <w:rPr>
          <w:sz w:val="20"/>
          <w:szCs w:val="20"/>
          <w:color w:val="auto"/>
        </w:rPr>
      </w:pPr>
    </w:p>
    <w:p>
      <w:pPr>
        <w:ind w:left="260" w:hanging="254"/>
        <w:spacing w:after="0"/>
        <w:tabs>
          <w:tab w:leader="none" w:pos="2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EXECUTION OF AGREEMENTS</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furnish the Lender with a duly executed original of the following documents: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this Agreement; and</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the Guarantee.</w:t>
      </w:r>
    </w:p>
    <w:p>
      <w:pPr>
        <w:spacing w:after="0" w:line="181" w:lineRule="exact"/>
        <w:rPr>
          <w:sz w:val="20"/>
          <w:szCs w:val="20"/>
          <w:color w:val="auto"/>
        </w:rPr>
      </w:pPr>
    </w:p>
    <w:p>
      <w:pPr>
        <w:ind w:left="260" w:hanging="254"/>
        <w:spacing w:after="0"/>
        <w:tabs>
          <w:tab w:leader="none" w:pos="2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DOCUMENTS</w:t>
      </w:r>
    </w:p>
    <w:p>
      <w:pPr>
        <w:spacing w:after="0" w:line="184" w:lineRule="exact"/>
        <w:rPr>
          <w:rFonts w:ascii="Times New Roman" w:cs="Times New Roman" w:eastAsia="Times New Roman" w:hAnsi="Times New Roman"/>
          <w:sz w:val="14"/>
          <w:szCs w:val="14"/>
          <w:color w:val="auto"/>
        </w:rPr>
      </w:pPr>
    </w:p>
    <w:p>
      <w:pPr>
        <w:ind w:left="26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any other Authorisation or other document, opinion or assurance which the Lender considers to be necessary or desirable (if it has notified the Borrower accordingly and timeously) in connection with the entry into and performance of the transactions contemplated by any Finance Document or for the validity and enforceability of any Finance Document.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4"/>
          <w:szCs w:val="14"/>
          <w:b w:val="1"/>
          <w:bCs w:val="1"/>
          <w:color w:val="auto"/>
        </w:rPr>
        <w:t>PART II: FACILITY 2 ADVANCE CONDITIONS</w:t>
      </w:r>
    </w:p>
    <w:p>
      <w:pPr>
        <w:spacing w:after="0" w:line="183" w:lineRule="exact"/>
        <w:rPr>
          <w:sz w:val="20"/>
          <w:szCs w:val="20"/>
          <w:color w:val="auto"/>
        </w:rPr>
      </w:pPr>
    </w:p>
    <w:p>
      <w:pPr>
        <w:ind w:left="260" w:hanging="254"/>
        <w:spacing w:after="0"/>
        <w:tabs>
          <w:tab w:leader="none" w:pos="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EXECUTION OF AGREEMENTS</w:t>
      </w:r>
    </w:p>
    <w:p>
      <w:pPr>
        <w:spacing w:after="0" w:line="185" w:lineRule="exact"/>
        <w:rPr>
          <w:sz w:val="20"/>
          <w:szCs w:val="20"/>
          <w:color w:val="auto"/>
        </w:rPr>
      </w:pPr>
    </w:p>
    <w:p>
      <w:pPr>
        <w:ind w:left="260"/>
        <w:spacing w:after="0" w:line="292" w:lineRule="auto"/>
        <w:rPr>
          <w:sz w:val="20"/>
          <w:szCs w:val="20"/>
          <w:color w:val="auto"/>
        </w:rPr>
      </w:pPr>
      <w:r>
        <w:rPr>
          <w:rFonts w:ascii="Times New Roman" w:cs="Times New Roman" w:eastAsia="Times New Roman" w:hAnsi="Times New Roman"/>
          <w:sz w:val="14"/>
          <w:szCs w:val="14"/>
          <w:color w:val="auto"/>
        </w:rPr>
        <w:t>The Borrower shall furnish the Lender with a duly executed original of the Cession in Security (together with a copy of each notice required to be sent, acknowledgement required to be delivered and any other document required to be executed thereunder, duly executed by the persons party thereto).</w:t>
      </w:r>
    </w:p>
    <w:p>
      <w:pPr>
        <w:spacing w:after="0" w:line="122" w:lineRule="exact"/>
        <w:rPr>
          <w:sz w:val="20"/>
          <w:szCs w:val="20"/>
          <w:color w:val="auto"/>
        </w:rPr>
      </w:pPr>
    </w:p>
    <w:p>
      <w:pPr>
        <w:ind w:left="260" w:hanging="254"/>
        <w:spacing w:after="0"/>
        <w:tabs>
          <w:tab w:leader="none" w:pos="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LEASE AGREEMENT</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Lease Agreement entered into or to be entered into between the Borrower and the Guarantor in the form and substance satisfactory to the Lender.</w:t>
      </w:r>
    </w:p>
    <w:p>
      <w:pPr>
        <w:spacing w:after="0" w:line="181" w:lineRule="exact"/>
        <w:rPr>
          <w:sz w:val="20"/>
          <w:szCs w:val="20"/>
          <w:color w:val="auto"/>
        </w:rPr>
      </w:pPr>
    </w:p>
    <w:p>
      <w:pPr>
        <w:ind w:left="260" w:hanging="254"/>
        <w:spacing w:after="0"/>
        <w:tabs>
          <w:tab w:leader="none" w:pos="2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MUNICIPAL ACCOUNTS</w:t>
      </w:r>
    </w:p>
    <w:p>
      <w:pPr>
        <w:spacing w:after="0" w:line="184" w:lineRule="exact"/>
        <w:rPr>
          <w:rFonts w:ascii="Times New Roman" w:cs="Times New Roman" w:eastAsia="Times New Roman" w:hAnsi="Times New Roman"/>
          <w:sz w:val="14"/>
          <w:szCs w:val="14"/>
          <w:color w:val="auto"/>
        </w:rPr>
      </w:pPr>
    </w:p>
    <w:p>
      <w:pPr>
        <w:ind w:left="26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furnish the Lender with a copy of the most recent municipal accounts in respect of the Property confirming that all municipal taxes and all body corporate levies have been paid and are up to date.</w:t>
      </w:r>
    </w:p>
    <w:p>
      <w:pPr>
        <w:spacing w:after="0" w:line="122" w:lineRule="exact"/>
        <w:rPr>
          <w:sz w:val="20"/>
          <w:szCs w:val="20"/>
          <w:color w:val="auto"/>
        </w:rPr>
      </w:pPr>
    </w:p>
    <w:p>
      <w:pPr>
        <w:ind w:left="260" w:hanging="254"/>
        <w:spacing w:after="0"/>
        <w:tabs>
          <w:tab w:leader="none" w:pos="2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INSURANCE</w:t>
      </w:r>
    </w:p>
    <w:p>
      <w:pPr>
        <w:spacing w:after="0" w:line="185" w:lineRule="exact"/>
        <w:rPr>
          <w:sz w:val="20"/>
          <w:szCs w:val="20"/>
          <w:color w:val="auto"/>
        </w:rPr>
      </w:pPr>
    </w:p>
    <w:p>
      <w:pPr>
        <w:ind w:left="260"/>
        <w:spacing w:after="0" w:line="292" w:lineRule="auto"/>
        <w:rPr>
          <w:sz w:val="20"/>
          <w:szCs w:val="20"/>
          <w:color w:val="auto"/>
        </w:rPr>
      </w:pPr>
      <w:r>
        <w:rPr>
          <w:rFonts w:ascii="Times New Roman" w:cs="Times New Roman" w:eastAsia="Times New Roman" w:hAnsi="Times New Roman"/>
          <w:sz w:val="14"/>
          <w:szCs w:val="14"/>
          <w:color w:val="auto"/>
        </w:rPr>
        <w:t>Receipt by the Lender of confirmation, satisfactory to the Lender, that insurance cover is in place in respect of the Property in an amount satisfactory to the Lender and the Lender’s interests in the Property, as the holder of the mortgage bonds, has been noted on the relevant Insurance Policies.</w:t>
      </w:r>
    </w:p>
    <w:p>
      <w:pPr>
        <w:spacing w:after="0" w:line="122" w:lineRule="exact"/>
        <w:rPr>
          <w:sz w:val="20"/>
          <w:szCs w:val="20"/>
          <w:color w:val="auto"/>
        </w:rPr>
      </w:pPr>
    </w:p>
    <w:p>
      <w:pPr>
        <w:ind w:left="260" w:hanging="254"/>
        <w:spacing w:after="0"/>
        <w:tabs>
          <w:tab w:leader="none" w:pos="2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FORMAL VALUATION</w:t>
      </w:r>
    </w:p>
    <w:p>
      <w:pPr>
        <w:spacing w:after="0" w:line="185"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Receipt by the Lender of a Valuation of the Property undertaken by a valuer appointed by the Lender or the Lender itself, the cost of which shall be for the Borrower’s account. Such Valuation shall be to the satisfaction of the Lender, both in form and in substance and is to reflect a combined open market value of the Property of not less than R556,300,000 (five hundred fifty six million three hundred million Rand)</w:t>
      </w:r>
    </w:p>
    <w:p>
      <w:pPr>
        <w:spacing w:after="0" w:line="134" w:lineRule="exact"/>
        <w:rPr>
          <w:sz w:val="20"/>
          <w:szCs w:val="20"/>
          <w:color w:val="auto"/>
        </w:rPr>
      </w:pPr>
    </w:p>
    <w:p>
      <w:pPr>
        <w:ind w:left="260" w:hanging="254"/>
        <w:spacing w:after="0"/>
        <w:tabs>
          <w:tab w:leader="none" w:pos="2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REGISTRATION OF THE MORTGAGE BOND</w:t>
      </w:r>
    </w:p>
    <w:p>
      <w:pPr>
        <w:spacing w:after="0" w:line="18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the Lender of confirmation from its conveyancers that the Mortgage Bond has been registered to its satisfaction.</w:t>
      </w:r>
    </w:p>
    <w:p>
      <w:pPr>
        <w:spacing w:after="0" w:line="181" w:lineRule="exact"/>
        <w:rPr>
          <w:sz w:val="20"/>
          <w:szCs w:val="20"/>
          <w:color w:val="auto"/>
        </w:rPr>
      </w:pPr>
    </w:p>
    <w:p>
      <w:pPr>
        <w:ind w:left="260" w:hanging="254"/>
        <w:spacing w:after="0"/>
        <w:tabs>
          <w:tab w:leader="none" w:pos="2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CONVEYANCER’S CERTIFICATE</w:t>
      </w:r>
    </w:p>
    <w:p>
      <w:pPr>
        <w:spacing w:after="0" w:line="185" w:lineRule="exact"/>
        <w:rPr>
          <w:sz w:val="20"/>
          <w:szCs w:val="20"/>
          <w:color w:val="auto"/>
        </w:rPr>
      </w:pPr>
    </w:p>
    <w:p>
      <w:pPr>
        <w:jc w:val="both"/>
        <w:ind w:left="260"/>
        <w:spacing w:after="0" w:line="268" w:lineRule="auto"/>
        <w:rPr>
          <w:sz w:val="20"/>
          <w:szCs w:val="20"/>
          <w:color w:val="auto"/>
        </w:rPr>
      </w:pPr>
      <w:r>
        <w:rPr>
          <w:rFonts w:ascii="Times New Roman" w:cs="Times New Roman" w:eastAsia="Times New Roman" w:hAnsi="Times New Roman"/>
          <w:sz w:val="14"/>
          <w:szCs w:val="14"/>
          <w:color w:val="auto"/>
        </w:rPr>
        <w:t>The Borrower shall furnish the Lender with a certificate from the Lender’s appointed conveyancers certifying that the title deed of the Property is not subject to any onerous conditions of title, servitudes or endorsements (including notification in terms of the Restitution of Land Rights Act, 1994 (as amended, re-enacted or substituted)) which might detrimentally affect the value of the Property or any one of them or the Lender’s security, including whether the Property or any one of them have been declared a remediation site in terms of section 38(2) of the National Environmental Management: Waste Act, 2008.</w:t>
      </w:r>
    </w:p>
    <w:p>
      <w:pPr>
        <w:spacing w:after="0" w:line="138" w:lineRule="exact"/>
        <w:rPr>
          <w:sz w:val="20"/>
          <w:szCs w:val="20"/>
          <w:color w:val="auto"/>
        </w:rPr>
      </w:pPr>
    </w:p>
    <w:p>
      <w:pPr>
        <w:ind w:left="260" w:hanging="254"/>
        <w:spacing w:after="0"/>
        <w:tabs>
          <w:tab w:leader="none" w:pos="2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DOCUMENTS</w:t>
      </w:r>
    </w:p>
    <w:p>
      <w:pPr>
        <w:spacing w:after="0" w:line="184" w:lineRule="exact"/>
        <w:rPr>
          <w:rFonts w:ascii="Times New Roman" w:cs="Times New Roman" w:eastAsia="Times New Roman" w:hAnsi="Times New Roman"/>
          <w:sz w:val="14"/>
          <w:szCs w:val="14"/>
          <w:color w:val="auto"/>
        </w:rPr>
      </w:pPr>
    </w:p>
    <w:p>
      <w:pPr>
        <w:ind w:left="26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any other Authorisation or other document, opinion or assurance which the Lender considers to be necessary or desirable (if it has notified the Borrower accordingly and timeously) in connection with the entry into and performance of the transactions contemplated by any Finance Document or for the validity and enforceability of any Finance Document.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4"/>
          <w:szCs w:val="14"/>
          <w:b w:val="1"/>
          <w:bCs w:val="1"/>
          <w:color w:val="auto"/>
        </w:rPr>
        <w:t>Annexure B</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FORM OF UTILISATION REQUEST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From:</w:t>
      </w:r>
      <w:r>
        <w:rPr>
          <w:sz w:val="20"/>
          <w:szCs w:val="20"/>
          <w:color w:val="auto"/>
        </w:rPr>
        <w:tab/>
      </w:r>
      <w:r>
        <w:rPr>
          <w:rFonts w:ascii="Times New Roman" w:cs="Times New Roman" w:eastAsia="Times New Roman" w:hAnsi="Times New Roman"/>
          <w:sz w:val="14"/>
          <w:szCs w:val="14"/>
          <w:b w:val="1"/>
          <w:bCs w:val="1"/>
          <w:color w:val="auto"/>
        </w:rPr>
        <w:t xml:space="preserve">Purple Rain Properties No 444 Proprietary Limited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b w:val="1"/>
          <w:bCs w:val="1"/>
          <w:color w:val="auto"/>
        </w:rPr>
        <w:t xml:space="preserve"> Borrower</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 xml:space="preserve">The Standard Bank of South Africa Limited (acting through its Corporate and Investment Banking division) (the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Purple Rain Properties No 444 Proprietary Limited – Facility Agreement dated [●] (the Agreement)</w:t>
      </w:r>
    </w:p>
    <w:p>
      <w:pPr>
        <w:spacing w:after="0" w:line="185" w:lineRule="exact"/>
        <w:rPr>
          <w:sz w:val="20"/>
          <w:szCs w:val="20"/>
          <w:color w:val="auto"/>
        </w:rPr>
      </w:pPr>
    </w:p>
    <w:p>
      <w:pPr>
        <w:ind w:left="260" w:hanging="254"/>
        <w:spacing w:after="0" w:line="292" w:lineRule="auto"/>
        <w:tabs>
          <w:tab w:leader="none" w:pos="2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to the Agreement. This is the Utilisation Request. Terms defined in the Agreement have the same meaning in this Utilisation Request unless given a different meaning in this Utilisation Request.</w:t>
      </w:r>
    </w:p>
    <w:p>
      <w:pPr>
        <w:spacing w:after="0" w:line="124" w:lineRule="exact"/>
        <w:rPr>
          <w:sz w:val="20"/>
          <w:szCs w:val="20"/>
          <w:color w:val="auto"/>
        </w:rPr>
      </w:pPr>
    </w:p>
    <w:p>
      <w:pPr>
        <w:ind w:left="520" w:right="8120" w:hanging="514"/>
        <w:spacing w:after="0" w:line="512" w:lineRule="auto"/>
        <w:tabs>
          <w:tab w:leader="none" w:pos="26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wish to borrow a Loan on the following terms: [insert details]</w:t>
      </w:r>
    </w:p>
    <w:p>
      <w:pPr>
        <w:ind w:left="260" w:hanging="254"/>
        <w:spacing w:after="0"/>
        <w:tabs>
          <w:tab w:leader="none" w:pos="2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confirm that the Advance Conditions have been satisfied prior to the date of this Utilisation Request.</w:t>
      </w:r>
    </w:p>
    <w:p>
      <w:pPr>
        <w:spacing w:after="0" w:line="183" w:lineRule="exact"/>
        <w:rPr>
          <w:sz w:val="20"/>
          <w:szCs w:val="20"/>
          <w:color w:val="auto"/>
        </w:rPr>
      </w:pPr>
    </w:p>
    <w:p>
      <w:pPr>
        <w:ind w:left="260" w:hanging="254"/>
        <w:spacing w:after="0" w:line="292" w:lineRule="auto"/>
        <w:tabs>
          <w:tab w:leader="none" w:pos="2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of this Loan should be credited to [account]. [The Borrower hereby instructs the Lender to pay the Loan Amount less the Structuring Fee in the event it has been agreed that the Structuring Fee will be capitalised.]</w:t>
      </w:r>
    </w:p>
    <w:p>
      <w:pPr>
        <w:spacing w:after="0" w:line="124" w:lineRule="exact"/>
        <w:rPr>
          <w:sz w:val="20"/>
          <w:szCs w:val="20"/>
          <w:color w:val="auto"/>
        </w:rPr>
      </w:pPr>
    </w:p>
    <w:p>
      <w:pPr>
        <w:ind w:right="8780" w:firstLine="6"/>
        <w:spacing w:after="0" w:line="548" w:lineRule="auto"/>
        <w:tabs>
          <w:tab w:leader="none" w:pos="258"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Utilisation Request is irrevocable.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2863850" cy="133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286385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and on behalf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Proprietary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Capacity: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Who warrants his/her authority hereto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4"/>
          <w:szCs w:val="14"/>
          <w:b w:val="1"/>
          <w:bCs w:val="1"/>
          <w:color w:val="auto"/>
        </w:rPr>
        <w:t>Annexure C</w:t>
      </w:r>
    </w:p>
    <w:p>
      <w:pPr>
        <w:spacing w:after="0" w:line="18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FORM OF GUARANTEE REQUEST/INDEMNITY</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From:</w:t>
      </w:r>
      <w:r>
        <w:rPr>
          <w:sz w:val="20"/>
          <w:szCs w:val="20"/>
          <w:color w:val="auto"/>
        </w:rPr>
        <w:tab/>
      </w:r>
      <w:r>
        <w:rPr>
          <w:rFonts w:ascii="Times New Roman" w:cs="Times New Roman" w:eastAsia="Times New Roman" w:hAnsi="Times New Roman"/>
          <w:sz w:val="14"/>
          <w:szCs w:val="14"/>
          <w:b w:val="1"/>
          <w:bCs w:val="1"/>
          <w:color w:val="auto"/>
        </w:rPr>
        <w:t xml:space="preserve">Purple Rain Properties No 444 Proprietary Limited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b w:val="1"/>
          <w:bCs w:val="1"/>
          <w:color w:val="auto"/>
        </w:rPr>
        <w:t xml:space="preserve"> Borrower</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 xml:space="preserve">The Standard Bank of South Africa Limited (acting through its Corporate and Investment Banking division) (the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Dated: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Purple Rain Properties No 444 Proprietary Limited – Facility Agreement dated [●] (the Agreement)</w:t>
      </w:r>
    </w:p>
    <w:p>
      <w:pPr>
        <w:spacing w:after="0" w:line="185" w:lineRule="exact"/>
        <w:rPr>
          <w:sz w:val="20"/>
          <w:szCs w:val="20"/>
          <w:color w:val="auto"/>
        </w:rPr>
      </w:pPr>
    </w:p>
    <w:p>
      <w:pPr>
        <w:ind w:left="260" w:hanging="254"/>
        <w:spacing w:after="0" w:line="292" w:lineRule="auto"/>
        <w:tabs>
          <w:tab w:leader="none" w:pos="26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to the Agreement. This is a Guarantee Request. Terms defined in the Agreement have the same meaning in this Guarantee Request unless given a different meaning in this Guarantee Request.</w:t>
      </w:r>
    </w:p>
    <w:p>
      <w:pPr>
        <w:spacing w:after="0" w:line="123" w:lineRule="exact"/>
        <w:rPr>
          <w:rFonts w:ascii="Times New Roman" w:cs="Times New Roman" w:eastAsia="Times New Roman" w:hAnsi="Times New Roman"/>
          <w:sz w:val="14"/>
          <w:szCs w:val="14"/>
          <w:color w:val="auto"/>
        </w:rPr>
      </w:pPr>
    </w:p>
    <w:p>
      <w:pPr>
        <w:ind w:left="260" w:hanging="254"/>
        <w:spacing w:after="0" w:line="292" w:lineRule="auto"/>
        <w:tabs>
          <w:tab w:leader="none" w:pos="26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hereby request and irrevocably authorise the Lender to issue or procure the issue of a Bank Guarantee in the amount set out below and to bind themselves on our behalf thereunder (the </w:t>
      </w:r>
      <w:r>
        <w:rPr>
          <w:rFonts w:ascii="Times New Roman" w:cs="Times New Roman" w:eastAsia="Times New Roman" w:hAnsi="Times New Roman"/>
          <w:sz w:val="14"/>
          <w:szCs w:val="14"/>
          <w:b w:val="1"/>
          <w:bCs w:val="1"/>
          <w:color w:val="auto"/>
        </w:rPr>
        <w:t>Guarantee</w:t>
      </w:r>
      <w:r>
        <w:rPr>
          <w:rFonts w:ascii="Times New Roman" w:cs="Times New Roman" w:eastAsia="Times New Roman" w:hAnsi="Times New Roman"/>
          <w:sz w:val="14"/>
          <w:szCs w:val="14"/>
          <w:color w:val="auto"/>
        </w:rPr>
        <w:t>)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Guarantee Amount:</w:t>
            </w:r>
          </w:p>
        </w:tc>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ZAR[●] ([●] Rand) (the </w:t>
            </w:r>
            <w:r>
              <w:rPr>
                <w:rFonts w:ascii="Times New Roman" w:cs="Times New Roman" w:eastAsia="Times New Roman" w:hAnsi="Times New Roman"/>
                <w:sz w:val="14"/>
                <w:szCs w:val="14"/>
                <w:b w:val="1"/>
                <w:bCs w:val="1"/>
                <w:color w:val="auto"/>
              </w:rPr>
              <w:t>Guaranteed Sum</w:t>
            </w:r>
            <w:r>
              <w:rPr>
                <w:rFonts w:ascii="Times New Roman" w:cs="Times New Roman" w:eastAsia="Times New Roman" w:hAnsi="Times New Roman"/>
                <w:sz w:val="14"/>
                <w:szCs w:val="14"/>
                <w:color w:val="auto"/>
              </w:rPr>
              <w:t>)</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1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Payment Conditions:</w:t>
            </w:r>
          </w:p>
        </w:tc>
        <w:tc>
          <w:tcPr>
            <w:tcW w:w="8300" w:type="dxa"/>
            <w:vAlign w:val="bottom"/>
          </w:tcPr>
          <w:p>
            <w:pPr>
              <w:spacing w:after="0"/>
              <w:rPr>
                <w:sz w:val="24"/>
                <w:szCs w:val="24"/>
                <w:color w:val="auto"/>
              </w:rPr>
            </w:pP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2.2.1</w:t>
            </w: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Cancellation of all existing bonds over [</w:t>
            </w:r>
            <w:r>
              <w:rPr>
                <w:rFonts w:ascii="Times New Roman" w:cs="Times New Roman" w:eastAsia="Times New Roman" w:hAnsi="Times New Roman"/>
                <w:sz w:val="14"/>
                <w:szCs w:val="14"/>
                <w:i w:val="1"/>
                <w:iCs w:val="1"/>
                <w:color w:val="auto"/>
              </w:rPr>
              <w:t>property/properties</w:t>
            </w:r>
            <w:r>
              <w:rPr>
                <w:rFonts w:ascii="Times New Roman" w:cs="Times New Roman" w:eastAsia="Times New Roman" w:hAnsi="Times New Roman"/>
                <w:sz w:val="14"/>
                <w:szCs w:val="14"/>
                <w:color w:val="auto"/>
              </w:rPr>
              <w:t>]; and</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2.2.2</w:t>
            </w: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Registration of a first continuing covering mortgage bond by [name of Borrower] over [description of Property] in favour of the Lender in the amount of ZAR[●] ([●] Rand).</w:t>
            </w:r>
          </w:p>
        </w:tc>
      </w:tr>
    </w:tbl>
    <w:p>
      <w:pPr>
        <w:spacing w:after="0" w:line="158" w:lineRule="exact"/>
        <w:rPr>
          <w:sz w:val="20"/>
          <w:szCs w:val="20"/>
          <w:color w:val="auto"/>
        </w:rPr>
      </w:pPr>
    </w:p>
    <w:p>
      <w:pPr>
        <w:ind w:left="260" w:hanging="254"/>
        <w:spacing w:after="0"/>
        <w:tabs>
          <w:tab w:leader="none" w:pos="2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Guaranteed Sum should be credited to:</w:t>
      </w:r>
    </w:p>
    <w:p>
      <w:pPr>
        <w:sectPr>
          <w:pgSz w:w="11900" w:h="16838" w:orient="portrait"/>
          <w:cols w:equalWidth="0" w:num="1">
            <w:col w:w="11280"/>
          </w:cols>
          <w:pgMar w:left="300" w:top="295" w:right="319" w:bottom="1440" w:gutter="0" w:footer="0" w:header="0"/>
        </w:sectPr>
      </w:pP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Beneficiary:</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Bank:</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ACB Code:</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Credit Account:</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Account Name:</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Reference: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69" w:lineRule="exact"/>
        <w:rPr>
          <w:sz w:val="20"/>
          <w:szCs w:val="20"/>
          <w:color w:val="auto"/>
        </w:rPr>
      </w:pPr>
    </w:p>
    <w:p>
      <w:pPr>
        <w:sectPr>
          <w:pgSz w:w="11900" w:h="16838" w:orient="portrait"/>
          <w:cols w:equalWidth="0" w:num="2">
            <w:col w:w="1840" w:space="480"/>
            <w:col w:w="8960"/>
          </w:cols>
          <w:pgMar w:left="300" w:top="295" w:right="319" w:bottom="1440" w:gutter="0" w:footer="0" w:header="0"/>
          <w:type w:val="continuous"/>
        </w:sectPr>
      </w:pPr>
    </w:p>
    <w:p>
      <w:pPr>
        <w:jc w:val="both"/>
        <w:ind w:left="260" w:hanging="254"/>
        <w:spacing w:after="0" w:line="268" w:lineRule="auto"/>
        <w:tabs>
          <w:tab w:leader="none" w:pos="2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hereby irrevocably authorise and instruct the Lender without confirmation from us to pay or settle any claim made against it under the Guarantee, and subject to the term of the Guarantee, unless prevented by a court order, and we acknowledge that the Lender shall not be required to confirm the legality, validity or enforceability of any claim made under the Guarantee or any underlying transaction or any obligation guaranteed pursuant to the Guarantee, or carry out any investigation or seek any confirmation from any other person before paying a claim made under the Guarantee.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type w:val="continuous"/>
        </w:sectPr>
      </w:pPr>
    </w:p>
    <w:bookmarkStart w:id="231" w:name="page232"/>
    <w:bookmarkEnd w:id="231"/>
    <w:p>
      <w:pPr>
        <w:ind w:left="260" w:hanging="254"/>
        <w:spacing w:after="0" w:line="292" w:lineRule="auto"/>
        <w:tabs>
          <w:tab w:leader="none" w:pos="2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 that our obligations will not be affected by the sufficiency, accuracy or genuineness of any claim under the Guarantee or any incapacity of, or limitation on the powers of, any person signing a claim.</w:t>
      </w:r>
    </w:p>
    <w:p>
      <w:pPr>
        <w:spacing w:after="0" w:line="12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acknowledge that any instruction to amend the terms and conditions of the Guarantee must first be agreed to in writing by the Borrower, the Lender and the named beneficiary.</w:t>
      </w:r>
    </w:p>
    <w:p>
      <w:pPr>
        <w:spacing w:after="0" w:line="182"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hereby irrevocably:</w:t>
      </w:r>
    </w:p>
    <w:p>
      <w:pPr>
        <w:spacing w:after="0" w:line="183" w:lineRule="exact"/>
        <w:rPr>
          <w:sz w:val="20"/>
          <w:szCs w:val="20"/>
          <w:color w:val="auto"/>
        </w:rPr>
      </w:pPr>
    </w:p>
    <w:p>
      <w:pPr>
        <w:jc w:val="both"/>
        <w:ind w:left="520" w:hanging="514"/>
        <w:spacing w:after="0" w:line="285" w:lineRule="auto"/>
        <w:tabs>
          <w:tab w:leader="none" w:pos="50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indemnify and hold the Lender harmless against any direct cost, loss, liability or damage of whatsoever nature, which the Lender may suffer or sustain arising from, or relating to, the payment or settlement of any claim under or in terms of the Guarantee, (other than any cost, loss, liability or damage arising from the Lender’s gross negligence or willful misconduct); and</w:t>
      </w:r>
    </w:p>
    <w:p>
      <w:pPr>
        <w:spacing w:after="0" w:line="30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undertake to immediately on demand pay to the Lender the sum demanded under paragraph 7.1 above.</w:t>
      </w:r>
    </w:p>
    <w:p>
      <w:pPr>
        <w:spacing w:after="0" w:line="183" w:lineRule="exact"/>
        <w:rPr>
          <w:sz w:val="20"/>
          <w:szCs w:val="20"/>
          <w:color w:val="auto"/>
        </w:rPr>
      </w:pPr>
    </w:p>
    <w:p>
      <w:pPr>
        <w:ind w:left="260" w:hanging="254"/>
        <w:spacing w:after="0"/>
        <w:tabs>
          <w:tab w:leader="none" w:pos="2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hereby agree that upon the occurrence of an Event of Default which is continuing the Lender may in its sole, absolute and unfettered discretion:</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8.1decline any request by us to issue the Bank Guarantee or any further Bank Guarantees; and</w:t>
      </w:r>
    </w:p>
    <w:p>
      <w:pPr>
        <w:spacing w:after="0" w:line="183" w:lineRule="exact"/>
        <w:rPr>
          <w:sz w:val="20"/>
          <w:szCs w:val="20"/>
          <w:color w:val="auto"/>
        </w:rPr>
      </w:pPr>
    </w:p>
    <w:p>
      <w:pPr>
        <w:jc w:val="both"/>
        <w:ind w:left="520" w:hanging="514"/>
        <w:spacing w:after="0" w:line="274" w:lineRule="auto"/>
        <w:tabs>
          <w:tab w:leader="none" w:pos="50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color w:val="auto"/>
        </w:rPr>
        <w:t>require, on demand by the Lender, cash collateral from us in such amount as to equate to the Guaranteed Sum and any other amount owing to the Lender in respect of the Guarantee, which cash collateral we warrant and irrevocably undertake to provide within 5 (five) business days (being any days other than a Saturday, Sunday or official public holiday in the Republic of South Africa) of receipt of written demand therefor.</w:t>
      </w:r>
    </w:p>
    <w:p>
      <w:pPr>
        <w:spacing w:after="0" w:line="136" w:lineRule="exact"/>
        <w:rPr>
          <w:sz w:val="20"/>
          <w:szCs w:val="20"/>
          <w:color w:val="auto"/>
        </w:rPr>
      </w:pPr>
    </w:p>
    <w:p>
      <w:pPr>
        <w:ind w:left="260" w:hanging="254"/>
        <w:spacing w:after="0" w:line="292" w:lineRule="auto"/>
        <w:tabs>
          <w:tab w:leader="none" w:pos="2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Lender’s rights under Clause 8 above shall not be exhaustive, and are in addition to and without prejudice to any other rights the Lender may have under any agreements with us, any security documentation held by the Lender or in law.</w:t>
      </w:r>
    </w:p>
    <w:p>
      <w:pPr>
        <w:spacing w:after="0" w:line="12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Guarantee Request is governed by the laws of the Republic of South Africa.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561975</wp:posOffset>
            </wp:positionV>
            <wp:extent cx="2863850" cy="13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286385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and on behalf of [●] </w:t>
      </w:r>
      <w:r>
        <w:rPr>
          <w:rFonts w:ascii="Times New Roman" w:cs="Times New Roman" w:eastAsia="Times New Roman" w:hAnsi="Times New Roman"/>
          <w:sz w:val="14"/>
          <w:szCs w:val="14"/>
          <w:b w:val="1"/>
          <w:bCs w:val="1"/>
          <w:color w:val="auto"/>
        </w:rPr>
        <w:t>Proprietary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Capacity: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Who warrants his/her authority hereto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32" w:name="page233"/>
    <w:bookmarkEnd w:id="232"/>
    <w:p>
      <w:pPr>
        <w:ind w:left="9480"/>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140335</wp:posOffset>
            </wp:positionV>
            <wp:extent cx="7160260" cy="74123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60260" cy="741235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129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60260" cy="741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19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60260" cy="7419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129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60260" cy="741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263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60260" cy="742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129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60260" cy="741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129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60260" cy="7412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375285</wp:posOffset>
            </wp:positionV>
            <wp:extent cx="7160260" cy="74123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60260" cy="7412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ind w:left="1048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5657215</wp:posOffset>
            </wp:positionH>
            <wp:positionV relativeFrom="paragraph">
              <wp:posOffset>123190</wp:posOffset>
            </wp:positionV>
            <wp:extent cx="1506855" cy="2247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1506855" cy="22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April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CARTRACK (PTY)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Grosvenor Corner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195 Jan Smuts Ave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ROSEBANK JOHANNESBURG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2196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Sir/Madam,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Further Addendum to the Short Term Facility Letter concluded on 05 March 2020 and all previous addendums thereto (“the Agreement”)</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Agreement is herewith extended and / or amended through this Addendum, subject to the terms and conditions as contained herein. Any terms and conditions of the Agreement incorporating those contained in the annexes thereto not amended through this Addendum shall continue to apply between the parties unless in conflict with the terms and conditions of this Addendum, in which case the terms and conditions of this Addendum shall prevail. In this regard, Annexure A to this Addendum replaces Annexure A to the Agreement.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FACILITIES TYPE</w:t>
            </w:r>
          </w:p>
        </w:tc>
        <w:tc>
          <w:tcPr>
            <w:tcW w:w="20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16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344"/>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Overdraft</w:t>
            </w:r>
          </w:p>
        </w:tc>
        <w:tc>
          <w:tcPr>
            <w:tcW w:w="2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R300,000,000.00</w:t>
            </w:r>
          </w:p>
        </w:tc>
        <w:tc>
          <w:tcPr>
            <w:tcW w:w="168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8"/>
              </w:rPr>
              <w:t>Working Capital</w:t>
            </w:r>
          </w:p>
        </w:tc>
      </w:tr>
      <w:tr>
        <w:trPr>
          <w:trHeight w:val="3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to be obtained:</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4"/>
        </w:trPr>
        <w:tc>
          <w:tcPr>
            <w:tcW w:w="5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 None.</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4"/>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to be released:</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4"/>
        </w:trPr>
        <w:tc>
          <w:tcPr>
            <w:tcW w:w="5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2.2.1. None.</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56" w:lineRule="exact"/>
        <w:rPr>
          <w:sz w:val="20"/>
          <w:szCs w:val="20"/>
          <w:color w:val="auto"/>
        </w:rPr>
      </w:pPr>
    </w:p>
    <w:p>
      <w:pPr>
        <w:ind w:left="260" w:hanging="254"/>
        <w:spacing w:after="0"/>
        <w:tabs>
          <w:tab w:leader="none" w:pos="260"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VARIATION IN CONDITIONS</w:t>
      </w:r>
    </w:p>
    <w:p>
      <w:pPr>
        <w:spacing w:after="0" w:line="182"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3.1. Conditions Precedent:</w:t>
      </w:r>
    </w:p>
    <w:p>
      <w:pPr>
        <w:spacing w:after="0" w:line="184"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3.1.1. None.</w:t>
      </w:r>
    </w:p>
    <w:p>
      <w:pPr>
        <w:spacing w:after="0" w:line="180"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3.2. Ongoing conditions</w:t>
      </w:r>
    </w:p>
    <w:p>
      <w:pPr>
        <w:spacing w:after="0" w:line="184"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3.2.1. All Ongoing Conditions in terms of any preceding agreements remain applicable.</w:t>
      </w:r>
    </w:p>
    <w:p>
      <w:pPr>
        <w:spacing w:after="0" w:line="182"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3.2.2. All debit order collections of the Borrower must be routed through Capitec payment services facility.</w:t>
      </w:r>
    </w:p>
    <w:p>
      <w:pPr>
        <w:spacing w:after="0" w:line="200" w:lineRule="exact"/>
        <w:rPr>
          <w:sz w:val="20"/>
          <w:szCs w:val="20"/>
          <w:color w:val="auto"/>
        </w:rPr>
      </w:pPr>
    </w:p>
    <w:p>
      <w:pPr>
        <w:spacing w:after="0" w:line="324" w:lineRule="exact"/>
        <w:rPr>
          <w:sz w:val="20"/>
          <w:szCs w:val="20"/>
          <w:color w:val="auto"/>
        </w:rPr>
      </w:pPr>
    </w:p>
    <w:p>
      <w:pPr>
        <w:jc w:val="right"/>
        <w:ind w:left="564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Client Care Centre </w:t>
      </w:r>
      <w:r>
        <w:rPr>
          <w:rFonts w:ascii="Times New Roman" w:cs="Times New Roman" w:eastAsia="Times New Roman" w:hAnsi="Times New Roman"/>
          <w:sz w:val="14"/>
          <w:szCs w:val="14"/>
          <w:color w:val="auto"/>
        </w:rPr>
        <w:t>0860 30 92 50</w:t>
      </w:r>
      <w:r>
        <w:rPr>
          <w:rFonts w:ascii="Times New Roman" w:cs="Times New Roman" w:eastAsia="Times New Roman" w:hAnsi="Times New Roman"/>
          <w:sz w:val="14"/>
          <w:szCs w:val="14"/>
          <w:b w:val="1"/>
          <w:bCs w:val="1"/>
          <w:color w:val="auto"/>
        </w:rPr>
        <w:t xml:space="preserve"> T </w:t>
      </w:r>
      <w:r>
        <w:rPr>
          <w:rFonts w:ascii="Times New Roman" w:cs="Times New Roman" w:eastAsia="Times New Roman" w:hAnsi="Times New Roman"/>
          <w:sz w:val="14"/>
          <w:szCs w:val="14"/>
          <w:color w:val="auto"/>
        </w:rPr>
        <w:t>+27 11 302 0400</w:t>
      </w:r>
      <w:r>
        <w:rPr>
          <w:rFonts w:ascii="Times New Roman" w:cs="Times New Roman" w:eastAsia="Times New Roman" w:hAnsi="Times New Roman"/>
          <w:sz w:val="14"/>
          <w:szCs w:val="14"/>
          <w:b w:val="1"/>
          <w:bCs w:val="1"/>
          <w:color w:val="auto"/>
        </w:rPr>
        <w:t xml:space="preserve"> E </w:t>
      </w:r>
      <w:r>
        <w:rPr>
          <w:rFonts w:ascii="Times New Roman" w:cs="Times New Roman" w:eastAsia="Times New Roman" w:hAnsi="Times New Roman"/>
          <w:sz w:val="14"/>
          <w:szCs w:val="14"/>
          <w:color w:val="auto"/>
        </w:rPr>
        <w:t>CustomerResolution@capitecbank.co.za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142 West Street, Sandown, 2196 PO Box 782699, Sandton, 2146 capitecbank.co.za</w:t>
      </w:r>
    </w:p>
    <w:p>
      <w:pPr>
        <w:spacing w:after="0" w:line="122" w:lineRule="exact"/>
        <w:rPr>
          <w:sz w:val="20"/>
          <w:szCs w:val="20"/>
          <w:color w:val="auto"/>
        </w:rPr>
      </w:pPr>
    </w:p>
    <w:p>
      <w:pPr>
        <w:jc w:val="right"/>
        <w:ind w:left="40"/>
        <w:spacing w:after="0" w:line="274" w:lineRule="auto"/>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 Directors: SL Botha (Chairman), GM Fourie* (CEO), NF Bhettay, SA du Plessis, N Ford-Hoon, GR Hardy* (CFO), MS du P le Roux, V Mahlangu, PJ Mouton, CA Otto, JP Verster *Executive Director. Group Company Secretary: YM Mouton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7"/>
          <w:szCs w:val="17"/>
          <w:color w:val="auto"/>
        </w:rPr>
        <w:t>Page 2 of 24</w:t>
      </w:r>
    </w:p>
    <w:p>
      <w:pPr>
        <w:spacing w:after="0" w:line="346" w:lineRule="exact"/>
        <w:rPr>
          <w:sz w:val="20"/>
          <w:szCs w:val="20"/>
          <w:color w:val="auto"/>
        </w:rPr>
      </w:pPr>
    </w:p>
    <w:p>
      <w:pPr>
        <w:ind w:left="260" w:hanging="254"/>
        <w:spacing w:after="0"/>
        <w:tabs>
          <w:tab w:leader="none" w:pos="260"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VARIATION IN OTHER TERMS AND CONDITIONS:</w:t>
      </w:r>
    </w:p>
    <w:p>
      <w:pPr>
        <w:spacing w:after="0" w:line="182"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4.1. Period and repayment of facilities:</w:t>
      </w:r>
    </w:p>
    <w:p>
      <w:pPr>
        <w:spacing w:after="0" w:line="184"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4.1.1. The Overdraft Facility will expire on 30 August 2024.</w:t>
      </w:r>
    </w:p>
    <w:p>
      <w:pPr>
        <w:spacing w:after="0" w:line="180"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4.2. Pricing:</w:t>
      </w:r>
    </w:p>
    <w:p>
      <w:pPr>
        <w:spacing w:after="0" w:line="184"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4.2.1. The rate of interest on the Overdraft Facility per clause 1.1 will be levied at Capitec’s Prime Lending Rate per annum (currently 11.75%) plus 0.00%.</w:t>
      </w:r>
    </w:p>
    <w:p>
      <w:pPr>
        <w:spacing w:after="0" w:line="180" w:lineRule="exact"/>
        <w:rPr>
          <w:rFonts w:ascii="Times New Roman" w:cs="Times New Roman" w:eastAsia="Times New Roman" w:hAnsi="Times New Roman"/>
          <w:sz w:val="14"/>
          <w:szCs w:val="14"/>
          <w:b w:val="1"/>
          <w:bCs w:val="1"/>
          <w:color w:val="auto"/>
        </w:rPr>
      </w:pPr>
    </w:p>
    <w:p>
      <w:pPr>
        <w:ind w:left="260" w:hanging="254"/>
        <w:spacing w:after="0"/>
        <w:tabs>
          <w:tab w:leader="none" w:pos="260"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STANDARD TERMS AND CONDITIONS</w:t>
      </w:r>
    </w:p>
    <w:p>
      <w:pPr>
        <w:spacing w:after="0" w:line="184"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Capitec’s standard terms and conditions attached hereto and marked Annexure A to Facility Letter, is applicable and binding on the Borrower.</w:t>
      </w:r>
    </w:p>
    <w:p>
      <w:pPr>
        <w:spacing w:after="0" w:line="180" w:lineRule="exact"/>
        <w:rPr>
          <w:rFonts w:ascii="Times New Roman" w:cs="Times New Roman" w:eastAsia="Times New Roman" w:hAnsi="Times New Roman"/>
          <w:sz w:val="14"/>
          <w:szCs w:val="14"/>
          <w:b w:val="1"/>
          <w:bCs w:val="1"/>
          <w:color w:val="auto"/>
        </w:rPr>
      </w:pPr>
    </w:p>
    <w:p>
      <w:pPr>
        <w:ind w:left="260" w:hanging="254"/>
        <w:spacing w:after="0"/>
        <w:tabs>
          <w:tab w:leader="none" w:pos="260"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ACKNOWLEDGEMENT</w:t>
      </w:r>
    </w:p>
    <w:p>
      <w:pPr>
        <w:spacing w:after="0" w:line="185"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This Addendum read with Annexure A, as updated from time to time, and the security documents constitute the agreement between the Borrower and Capitec and it shall be appreciated if the Borrower will acknowledge receipt of this Addendum by signing and returning the attached duplicate. Please note that failure by the Borrower to acknowledge receipt or return the aforesaid signed duplicate will not nullify or have any other legal effect on the Addendum if the Borrower avails of the Facility/ies.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offer shall remain valid for 30 (thirty) days from date hereof whereafter same will become null and void.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Emil Beukes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863850" cy="133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2863850"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Emil Beukes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 Executive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Capitec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1207770</wp:posOffset>
            </wp:positionV>
            <wp:extent cx="7160260" cy="133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color w:val="auto"/>
        </w:rPr>
        <w:t>CAPITEC BANK LIMITED ANNEXURE A TO FACILITY LETTER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 TERMS AND CONDITIONS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Standard Terms and Conditions contained herein apply to all Facilities entered into between Capitec Bank Limited Reg. No. 1980/003695/06 (“Capitec”) and the Client of Capitec (“the Borrower”), unless otherwise agreed in writing. These Standard Terms and Conditions together with those recorded in the Facility letter of which it is an annexure, the terms and conditions relating to any security provided by the Borrower and all other agreements and documentation relating to the Facility(ies) recorded for the Borrower, constitute the agreement between the Borrower and Capitec with regards to the Facility(ies).</w:t>
      </w:r>
    </w:p>
    <w:p>
      <w:pPr>
        <w:spacing w:after="0" w:line="138" w:lineRule="exact"/>
        <w:rPr>
          <w:sz w:val="20"/>
          <w:szCs w:val="20"/>
          <w:color w:val="auto"/>
        </w:rPr>
      </w:pPr>
    </w:p>
    <w:p>
      <w:pPr>
        <w:ind w:left="780" w:hanging="774"/>
        <w:spacing w:after="0"/>
        <w:tabs>
          <w:tab w:leader="none" w:pos="780" w:val="left"/>
        </w:tabs>
        <w:numPr>
          <w:ilvl w:val="0"/>
          <w:numId w:val="1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1.1</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Any references to one gender shall refer also to the other genders and any references to the singular shall include the plural where such interpretation is intended in the spirit of the</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agreement</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1.2</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Standard Terms and Conditions are to be read in conjunction with all other agreements and documentation (including security documentation) relating to the Facility(ies) recorded</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the Borrower. Where there is a conflict between the Standard Terms and Conditions and such other documentation, however, the terms and conditions of such other documentation</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shall take precedence over the Standard Terms and Conditions. Any banking customary terms and conditions will apply in addition to the terms and conditions referred to in this 1.2.</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1.3</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non-fulfilment and non-compliance by the Borrower with regard to the Standard Terms and Conditions, for the term of the Facility(ies) and/or during any period, in which the</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Borrower is indebted to Capitec, shall be determined by Capitec in its sole and absolute discretion.</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1.4</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When the agreement between Capitec and the Borrower requires that Capitec must be provided with proof of something, such proof must be to the satisfaction of Capitec as</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determined by Capitec in its sole discretion.</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1.5</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When the agreement between Capitec and the Borrower requires that Capitec must be provided with an account (including management accounts), agreement, information, a</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document, statement, report (including a valuation- and debtors report) or the like, such account (including management accounts), agreement, information, document, statement,</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report (including a valuation- and debtors report) or the like must be to the satisfaction of Capitec in respect of its form, content and substance and may not contain any adverse</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information, as determined by Capitec in its sole discretion.</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1.6</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When the agreement between Capitec and the Borrower requires that a specific ratio or covenant shall apply, such ratio or covenant shall be calculated by using principles and/or</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formulae generally acceptable in the banking industry in the Republic of South Africa.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436880</wp:posOffset>
            </wp:positionV>
            <wp:extent cx="7160260" cy="133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7"/>
          <w:szCs w:val="17"/>
          <w:color w:val="auto"/>
        </w:rPr>
        <w:t>Annexure A - Page 4 of 24</w:t>
      </w:r>
    </w:p>
    <w:p>
      <w:pPr>
        <w:spacing w:after="0" w:line="346" w:lineRule="exact"/>
        <w:rPr>
          <w:sz w:val="20"/>
          <w:szCs w:val="20"/>
          <w:color w:val="auto"/>
        </w:rPr>
      </w:pPr>
    </w:p>
    <w:p>
      <w:pPr>
        <w:ind w:left="780" w:hanging="774"/>
        <w:spacing w:after="0"/>
        <w:tabs>
          <w:tab w:leader="none" w:pos="78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Standard Conditions Precedent</w:t>
      </w:r>
    </w:p>
    <w:p>
      <w:pPr>
        <w:spacing w:after="0" w:line="184" w:lineRule="exact"/>
        <w:rPr>
          <w:rFonts w:ascii="Times New Roman" w:cs="Times New Roman" w:eastAsia="Times New Roman" w:hAnsi="Times New Roman"/>
          <w:sz w:val="14"/>
          <w:szCs w:val="14"/>
          <w:b w:val="1"/>
          <w:bCs w:val="1"/>
          <w:color w:val="auto"/>
        </w:rPr>
      </w:pPr>
    </w:p>
    <w:p>
      <w:pPr>
        <w:ind w:left="7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Availability of the Facility(ies) shall be subject to the following Conditions Precedent: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2.1</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Provision to Capitec of the original, or certified copies of the Borrower’s Founding Statement, Trust Deed or Memorandum of Incorporation and such other documents Capitec may</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require, which must prove that the Borrower is empowered to enter into the Facility(ies) in the form and structure contemplated and which must otherwise be acceptable to Capitec in</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its sole discretion; and</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2.2</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Provision to Capitec of the original or certified copies of the Surety’s/Co-principal Debtor’s Founding Statement, Trust Deed or Memorandum of Incorporation and such other</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documents Capitec may require , which must prove that these entities are empowered to enter into the transactions contemplated and which must otherwise be acceptable to Capitec in</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its sole discretion; and</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2.3</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Where either the Borrower and or the Surety/Co-principal Debtor is a natural person, sight of their identity document which must be acceptable to Capitec in its sole discretion and</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such other documents Capitec may require and proof that they are able to enter into the transaction contemplated is required; and</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2.4</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Certified copies of the necessary resolutions empowering each party to the Facility(ies) and related agreements/documentation to enter into the Facility(ies) and related agreements /</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documentation and Naming the principals who are to sign on behalf of each party, together with specimen signatures; and</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2.5</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Payment instructions, signed by an authorised signatory, detailing Capitec account details to which Capitec must make payments, if any, in terms of the Facility(ies) and related</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agreements/ documentation; and</w:t>
            </w:r>
          </w:p>
        </w:tc>
      </w:tr>
      <w:tr>
        <w:trPr>
          <w:trHeight w:val="344"/>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2.6</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Proof of exemption from Section 3 (1) (f) of the Exchange Control Regulations if the Borrower is an affected person in terms of the said regulations; and</w:t>
            </w:r>
          </w:p>
        </w:tc>
      </w:tr>
      <w:tr>
        <w:trPr>
          <w:trHeight w:val="344"/>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2.7</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Provision to Capitec of any other documentation or information reasonably required by Capitec; and</w:t>
            </w:r>
          </w:p>
        </w:tc>
      </w:tr>
      <w:tr>
        <w:trPr>
          <w:trHeight w:val="344"/>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2.8</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Perfection of the collateral/security as specified in the Facility letter; and</w:t>
            </w:r>
          </w:p>
        </w:tc>
      </w:tr>
      <w:tr>
        <w:trPr>
          <w:trHeight w:val="344"/>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2.9</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Compliance with the provisions of clause 22 hereof, when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7160260" cy="133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7"/>
          <w:szCs w:val="17"/>
          <w:color w:val="auto"/>
        </w:rPr>
        <w:t>Annexure A - Page 5 of 24</w:t>
      </w:r>
    </w:p>
    <w:p>
      <w:pPr>
        <w:spacing w:after="0" w:line="346" w:lineRule="exact"/>
        <w:rPr>
          <w:sz w:val="20"/>
          <w:szCs w:val="20"/>
          <w:color w:val="auto"/>
        </w:rPr>
      </w:pPr>
    </w:p>
    <w:p>
      <w:pPr>
        <w:ind w:left="780" w:right="8120" w:hanging="774"/>
        <w:spacing w:after="0" w:line="513" w:lineRule="auto"/>
        <w:tabs>
          <w:tab w:leader="none" w:pos="780"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Standard Reporting Requirements </w:t>
      </w:r>
      <w:r>
        <w:rPr>
          <w:rFonts w:ascii="Times New Roman" w:cs="Times New Roman" w:eastAsia="Times New Roman" w:hAnsi="Times New Roman"/>
          <w:sz w:val="14"/>
          <w:szCs w:val="14"/>
          <w:color w:val="auto"/>
        </w:rPr>
        <w:t>The Borrower shall provide Capitec with: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3.1</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All information pertaining to the establishment and maintenance of the Facility(ies); and</w:t>
            </w:r>
          </w:p>
        </w:tc>
      </w:tr>
      <w:tr>
        <w:trPr>
          <w:trHeight w:val="344"/>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3.2</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Its audited, annual financial statements within six months of its financial year end or on request by Capitec; and</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3.3</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audited, annual financial statements of each and every Surety and/or Co-principal Debtor within six months of each Surety’s/Co-principal Debtor’s financial year end or on</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request by Capitec; and</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3.4</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 signed statement of personal assets and liabilities (including all contingent liabilities) and of income and expenditure, where either the Borrower or the Surety/Co-principal Debtor is</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 natural person, on each anniversary of the Facility(ies) or on request by Capitec</w:t>
            </w:r>
          </w:p>
        </w:tc>
      </w:tr>
    </w:tbl>
    <w:p>
      <w:pPr>
        <w:spacing w:after="0" w:line="156" w:lineRule="exact"/>
        <w:rPr>
          <w:sz w:val="20"/>
          <w:szCs w:val="20"/>
          <w:color w:val="auto"/>
        </w:rPr>
      </w:pPr>
    </w:p>
    <w:p>
      <w:pPr>
        <w:ind w:left="780" w:hanging="774"/>
        <w:spacing w:after="0"/>
        <w:tabs>
          <w:tab w:leader="none" w:pos="780" w:val="left"/>
        </w:tabs>
        <w:numPr>
          <w:ilvl w:val="0"/>
          <w:numId w:val="1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Standard Covenants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Borrower covenants that for the term of the Facility(ies) it shall:</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4.1.1</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Comply at all times with all terms and conditions of the Facility(ies) as contained in the Facility letter; these Standard Terms and Conditions, security documents and any other</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documentation pursuant to which the Facility(ies) has/have been established; and</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4.1.2</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 promptly on demand by Capitec any and all amounts due and payable to Capitec, including, but not limited to, any costs incurred by Capitec in establishing and maintaining the</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Facility(ies); and</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4.1.3</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Maintain all insurances in amounts and upon terms and conditions usual and customarily required by prudent business people in similar business circumstances or as specifically</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required by Capitec; and</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4.1.4</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Maintain interest and foreign exchange rate risk cover in forms, amounts and on terms and conditions which are reasonable and prudent to the orderly conduct of its business or as</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specifically required by Capitec; and</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4.1.5</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Promptly and diligently comply with all regulations and directives of any governmental or similar authority in any jurisdiction to which the Borrower shall have been, is now, or shall</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 subject to whether directly or indirectly and whether or not such regulations and directives shall have the force of law; and</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4.1.6</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Comply at all times with all foreign exchange control requirements and regulations and directives established from time to time by the South African Reserve Bank or any other</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Regulator, as are or may be applicable to the Borrower and/or Surety; and</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4.1.7</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Ensure that it continues to conduct its business in an environmentally sound and financially responsible and prudent manner, such that none of its creditors shall in any way be</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prejudiced before, during and after an Event of Default;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10700" w:type="dxa"/>
            <w:vAlign w:val="bottom"/>
          </w:tcPr>
          <w:p>
            <w:pPr>
              <w:ind w:left="8860"/>
              <w:spacing w:after="0"/>
              <w:rPr>
                <w:sz w:val="20"/>
                <w:szCs w:val="20"/>
                <w:color w:val="auto"/>
              </w:rPr>
            </w:pPr>
            <w:r>
              <w:rPr>
                <w:rFonts w:ascii="Times New Roman" w:cs="Times New Roman" w:eastAsia="Times New Roman" w:hAnsi="Times New Roman"/>
                <w:sz w:val="17"/>
                <w:szCs w:val="17"/>
                <w:color w:val="auto"/>
                <w:w w:val="99"/>
              </w:rPr>
              <w:t>Annexure A - Page 6 of 24</w:t>
            </w:r>
          </w:p>
        </w:tc>
      </w:tr>
      <w:tr>
        <w:trPr>
          <w:trHeight w:val="50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4.1.8</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Ensure that the Facility(ies) is/are used solely for the specified purpose(s) for which it was made available by Capitec; and</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4.1.9</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Ensure that it does not encumber, pledge, hypothecate or otherwise assign and/or dispose of any of its assets and investments, other than at arm’s length in the ordinary course of</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business, and for valuable consideration (“Negative Pledge”); and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4.1.10</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Ensure that it does not, without Capitec’s prior written consent, provide any other creditor with collateral in any form; and</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4.1.11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Ensure that any material obligation outside normal trading activities, whether on or off balance sheet is not undertaken without the prior written consent of Capitec, which shall not be</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unreasonably withheld.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4.1.12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Inform Capitec in writing 7 (seven) business days prior to it applying to court or it passing a resolution to put the Borrower under business rescue, of its intention to do so.</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4.1.13</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Confirm to Capitec that it has not received nor is aware of any existing or threatened complaint, order, directive, claim, citation or notice from any Regulatory Authority under</w:t>
            </w:r>
          </w:p>
        </w:tc>
      </w:tr>
      <w:tr>
        <w:trPr>
          <w:trHeight w:val="172"/>
        </w:trPr>
        <w:tc>
          <w:tcPr>
            <w:tcW w:w="580" w:type="dxa"/>
            <w:vAlign w:val="bottom"/>
          </w:tcPr>
          <w:p>
            <w:pPr>
              <w:spacing w:after="0"/>
              <w:rPr>
                <w:sz w:val="14"/>
                <w:szCs w:val="14"/>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applicable South African law and local requirements which has, or could reasonably be expected to have, a material adverse effect or any material impact on the implementation or</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operation of the Borrowers operations.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Borrower covenants that it shall pay promptly on demand by Capitec any exit fees, unwinding costs (including costs involved in unwinding any hedging instruments) as well as</w:t>
            </w:r>
          </w:p>
        </w:tc>
      </w:tr>
      <w:tr>
        <w:trPr>
          <w:trHeight w:val="172"/>
        </w:trPr>
        <w:tc>
          <w:tcPr>
            <w:tcW w:w="580" w:type="dxa"/>
            <w:vAlign w:val="bottom"/>
          </w:tcPr>
          <w:p>
            <w:pPr>
              <w:spacing w:after="0"/>
              <w:rPr>
                <w:sz w:val="14"/>
                <w:szCs w:val="14"/>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any losses or damages which Capitec may incur if the interest rate levied in respect of the Facility(ies) is a fixed interest rate and the Facility(ies) is/are terminated, partly settled or</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settled earlier than originally agreed upon.</w:t>
            </w:r>
          </w:p>
        </w:tc>
      </w:tr>
    </w:tbl>
    <w:p>
      <w:pPr>
        <w:spacing w:after="0" w:line="156" w:lineRule="exact"/>
        <w:rPr>
          <w:sz w:val="20"/>
          <w:szCs w:val="20"/>
          <w:color w:val="auto"/>
        </w:rPr>
      </w:pPr>
    </w:p>
    <w:p>
      <w:pPr>
        <w:ind w:left="780" w:hanging="774"/>
        <w:spacing w:after="0"/>
        <w:tabs>
          <w:tab w:leader="none" w:pos="780" w:val="left"/>
        </w:tabs>
        <w:numPr>
          <w:ilvl w:val="0"/>
          <w:numId w:val="1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Breach</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color w:val="auto"/>
        </w:rPr>
        <w:t>Should</w:t>
      </w:r>
    </w:p>
    <w:p>
      <w:pPr>
        <w:spacing w:after="0" w:line="183"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5.1.1</w:t>
      </w:r>
      <w:r>
        <w:rPr>
          <w:sz w:val="20"/>
          <w:szCs w:val="20"/>
          <w:color w:val="auto"/>
        </w:rPr>
        <w:tab/>
      </w:r>
      <w:r>
        <w:rPr>
          <w:rFonts w:ascii="Times New Roman" w:cs="Times New Roman" w:eastAsia="Times New Roman" w:hAnsi="Times New Roman"/>
          <w:sz w:val="14"/>
          <w:szCs w:val="14"/>
          <w:color w:val="auto"/>
        </w:rPr>
        <w:t>Any change occur in respect of the Borrower’s position, financially or otherwise which may affect the Borrower’s and/or Surety’s/Co-Principal Debtor’s ability to comply with its obligations in respect of the Facility(ies) or which may constitute a material adverse change in the financial or business standing of the Borrower and/or Surety/Co-Principal Debtor and/or any related/inter-related company, entity or person; and/or</w:t>
      </w:r>
    </w:p>
    <w:p>
      <w:pPr>
        <w:spacing w:after="0" w:line="136"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5.1.2</w:t>
      </w:r>
      <w:r>
        <w:rPr>
          <w:sz w:val="20"/>
          <w:szCs w:val="20"/>
          <w:color w:val="auto"/>
        </w:rPr>
        <w:tab/>
      </w:r>
      <w:r>
        <w:rPr>
          <w:rFonts w:ascii="Times New Roman" w:cs="Times New Roman" w:eastAsia="Times New Roman" w:hAnsi="Times New Roman"/>
          <w:sz w:val="14"/>
          <w:szCs w:val="14"/>
          <w:color w:val="auto"/>
        </w:rPr>
        <w:t>The Borrower default in the punctual payment of any amount falling due and payable under the Facility(ies) or in terms of these Standard Terms and Conditions or any other documentation imposing an obligation on the Borrower to make payment to Capitec;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7160260" cy="13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10740" w:type="dxa"/>
            <w:vAlign w:val="bottom"/>
          </w:tcPr>
          <w:p>
            <w:pPr>
              <w:ind w:left="8900"/>
              <w:spacing w:after="0"/>
              <w:rPr>
                <w:sz w:val="20"/>
                <w:szCs w:val="20"/>
                <w:color w:val="auto"/>
              </w:rPr>
            </w:pPr>
            <w:r>
              <w:rPr>
                <w:rFonts w:ascii="Times New Roman" w:cs="Times New Roman" w:eastAsia="Times New Roman" w:hAnsi="Times New Roman"/>
                <w:sz w:val="17"/>
                <w:szCs w:val="17"/>
                <w:color w:val="auto"/>
                <w:w w:val="99"/>
              </w:rPr>
              <w:t>Annexure A - Page 7 of 24</w:t>
            </w:r>
          </w:p>
        </w:tc>
      </w:tr>
      <w:tr>
        <w:trPr>
          <w:trHeight w:val="4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5.1.3</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Borrower breach any other terms and conditions of the Facility letter, these Standard Terms and Conditions, terms and conditions of security and/or any other documentation</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relating hereto; and/or</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5.1.4</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Borrower and/or Surety / Co-Principal Debtor and/or any related/inter-related company, entity or person default under any material contract or agreement, with any other party,</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whether or not for borrowed money;</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then Capitec shall have the right, but not the obligation, to:</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5.2.1</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Unilaterally modify the pricing on the Facility(ies) and/or call upon the Borrower to provide additional collateral/security in form and substance satisfactory to Capitec, in its sole</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discretion;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5.2.2</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 serve written notice on the Borrower, calling a Breach and giving the Borrower seven business days to rectify the Breach to the sole satisfaction of Capitec.</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5.2.3</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should the Breach not be so remedied by the Borrower in accordance with clause 5.2.2 above, then Capitec shall be entitled to, in its sole and absolute discretion, institute legal</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proceedings against the Borrower or refer the matter to arbitration in terms of clause 27 of the agreement.</w:t>
            </w:r>
          </w:p>
        </w:tc>
      </w:tr>
    </w:tbl>
    <w:p>
      <w:pPr>
        <w:spacing w:after="0" w:line="156" w:lineRule="exact"/>
        <w:rPr>
          <w:sz w:val="20"/>
          <w:szCs w:val="20"/>
          <w:color w:val="auto"/>
        </w:rPr>
      </w:pPr>
    </w:p>
    <w:p>
      <w:pPr>
        <w:ind w:left="780" w:hanging="774"/>
        <w:spacing w:after="0"/>
        <w:tabs>
          <w:tab w:leader="none" w:pos="780" w:val="left"/>
        </w:tabs>
        <w:numPr>
          <w:ilvl w:val="0"/>
          <w:numId w:val="1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Events of Default</w:t>
      </w:r>
    </w:p>
    <w:p>
      <w:pPr>
        <w:spacing w:after="0" w:line="184" w:lineRule="exact"/>
        <w:rPr>
          <w:rFonts w:ascii="Times New Roman" w:cs="Times New Roman" w:eastAsia="Times New Roman" w:hAnsi="Times New Roman"/>
          <w:sz w:val="14"/>
          <w:szCs w:val="14"/>
          <w:b w:val="1"/>
          <w:bCs w:val="1"/>
          <w:color w:val="auto"/>
        </w:rPr>
      </w:pPr>
    </w:p>
    <w:p>
      <w:pPr>
        <w:jc w:val="both"/>
        <w:ind w:left="78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any of the following events occur (“Event of Default”) individually and/or collectively, Capitec shall, at its sole discretion, have the right, without prejudice to any other rights which may be available to Capitec, to immediately cancel the Facility(ies), thereby making all amounts outstanding immediately due and payable, and thereafter claim immediate payment of all such amounts to Capitec or refer the matter to arbitration in terms of clause 27 of the agreement, if necessary.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6.1</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Should any change occur in respect of the Borrower’s position, financially or otherwise which may affect the Borrower’s and/or Surety’s/Co-Principal Debtor’s ability to comply with</w:t>
            </w:r>
          </w:p>
        </w:tc>
      </w:tr>
      <w:tr>
        <w:trPr>
          <w:trHeight w:val="172"/>
        </w:trPr>
        <w:tc>
          <w:tcPr>
            <w:tcW w:w="540" w:type="dxa"/>
            <w:vAlign w:val="bottom"/>
          </w:tcPr>
          <w:p>
            <w:pPr>
              <w:spacing w:after="0"/>
              <w:rPr>
                <w:sz w:val="14"/>
                <w:szCs w:val="14"/>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its obligations in respect of the Facility(ies) or which may constitute a material adverse change in the financial or business standing of the Borrower and/or Surety/Co-Principal Debtor</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and/or any related/inter-related company, entity or person;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6.2</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Should the Borrower and/or its principals on its behalf and/or any Surety</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6.2.1</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Commit an act of insolvency or indicates to Capitec verbally or in writing that it cannot continue with the business and/or is unable to pay creditors or suffer any default judgement or</w:t>
            </w:r>
          </w:p>
        </w:tc>
      </w:tr>
      <w:tr>
        <w:trPr>
          <w:trHeight w:val="172"/>
        </w:trPr>
        <w:tc>
          <w:tcPr>
            <w:tcW w:w="540" w:type="dxa"/>
            <w:vAlign w:val="bottom"/>
          </w:tcPr>
          <w:p>
            <w:pPr>
              <w:spacing w:after="0"/>
              <w:rPr>
                <w:sz w:val="14"/>
                <w:szCs w:val="14"/>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writ of execution attaching any assets issued out of any court against it to remain unsatisfied for more than 14 days, or be placed under business rescue or is liquidated, wound up,</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whether provisionally or finally, or compromises with any of its creditors, or, being a natural person, dies or is declared insolvent, whether provisionally or finally; and/or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10740" w:type="dxa"/>
            <w:vAlign w:val="bottom"/>
          </w:tcPr>
          <w:p>
            <w:pPr>
              <w:ind w:left="8900"/>
              <w:spacing w:after="0"/>
              <w:rPr>
                <w:sz w:val="20"/>
                <w:szCs w:val="20"/>
                <w:color w:val="auto"/>
              </w:rPr>
            </w:pPr>
            <w:r>
              <w:rPr>
                <w:rFonts w:ascii="Times New Roman" w:cs="Times New Roman" w:eastAsia="Times New Roman" w:hAnsi="Times New Roman"/>
                <w:sz w:val="17"/>
                <w:szCs w:val="17"/>
                <w:color w:val="auto"/>
                <w:w w:val="99"/>
              </w:rPr>
              <w:t>Annexure A - Page 8 of 24</w:t>
            </w:r>
          </w:p>
        </w:tc>
      </w:tr>
      <w:tr>
        <w:trPr>
          <w:trHeight w:val="4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6.2.2</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Have made any materially incorrect or untrue statement or representation or omitted to disclose any material information relating to the Facility(ies), the security, the financial or other</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affairs of the Borrower and/or any Surety and/or Co-principal Debtor, whether intentionally or in error;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6.2.3</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Dispose of or place at risk in any way whatsoever, the security/ collateral held by Capitec for the Facility(ies);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6.3</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If the limit/s of the Facility(ies) is/are exceeded;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6.4</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If the Borrower fails to remedy a Breach after the expiry of the notice period;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6.5</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If the Borrower and/or Surety fail to comply with any request or requirement of Capitec in terms hereof; and/or</w:t>
            </w:r>
          </w:p>
        </w:tc>
      </w:tr>
      <w:tr>
        <w:trPr>
          <w:trHeight w:val="3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6.6</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If the Borrower intends applying for business rescue or fails to give notice in terms of clause 4.1.12. it shall constitute an Event of Default</w:t>
            </w:r>
          </w:p>
        </w:tc>
      </w:tr>
      <w:tr>
        <w:trPr>
          <w:trHeight w:val="3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6.7</w:t>
            </w: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Notwithstanding anything else to the contrary contained herein, any Short Term Facility(ies) is/are subject to normal banking practice and may be withdrawn by Capitec in its sole</w:t>
            </w:r>
          </w:p>
        </w:tc>
      </w:tr>
      <w:tr>
        <w:trPr>
          <w:trHeight w:val="186"/>
        </w:trPr>
        <w:tc>
          <w:tcPr>
            <w:tcW w:w="540" w:type="dxa"/>
            <w:vAlign w:val="bottom"/>
          </w:tcPr>
          <w:p>
            <w:pPr>
              <w:spacing w:after="0"/>
              <w:rPr>
                <w:sz w:val="16"/>
                <w:szCs w:val="16"/>
                <w:color w:val="auto"/>
              </w:rPr>
            </w:pPr>
          </w:p>
        </w:tc>
        <w:tc>
          <w:tcPr>
            <w:tcW w:w="10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discretion and become payable on demand</w:t>
            </w:r>
          </w:p>
        </w:tc>
      </w:tr>
    </w:tbl>
    <w:p>
      <w:pPr>
        <w:spacing w:after="0" w:line="156" w:lineRule="exact"/>
        <w:rPr>
          <w:sz w:val="20"/>
          <w:szCs w:val="20"/>
          <w:color w:val="auto"/>
        </w:rPr>
      </w:pPr>
    </w:p>
    <w:p>
      <w:pPr>
        <w:ind w:left="780" w:hanging="774"/>
        <w:spacing w:after="0"/>
        <w:tabs>
          <w:tab w:leader="none" w:pos="780" w:val="left"/>
        </w:tabs>
        <w:numPr>
          <w:ilvl w:val="0"/>
          <w:numId w:val="1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Currency of Payments and Repayments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7.1</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Unless otherwise agreed in writing; interest, commission, fees, payments and repayments on a Facility(ies) denominated in any foreign currency shall be payable in that foreign</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including all accrued and unpaid interest, commission, fees and other out-of-pocket expenses that Capitec may incur in connection with the establishment, maintenance and</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enforcement of the Facility(ies).</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7.2</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It is expressly understood and agreed that, if necessary and in accordance with the general principles of monetary law, the financial obligations arising under this agreement which are</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expressed and/or payable in a currency unit of a European Union Member State (“National Currency Unit”), shall be automatically considered expressed and/or payable in the single</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European Currency Unit which is the lawful currency of the Member States of the European Union that adopt the single currency in accordance with the Treaty establishing the</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European Community, as amended by the Treaty on European Union, as and when the National Currency Unit ceases to be legal tender or, more generally, will be replaced by such</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European Currency Unit in accordance with the relevant European Union and/or National Legislation.</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7.3</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relevant conditions for conversion of the National Currency Unit to the European Currency Unit will be those resulting from the application of the provisions of Article 109L (4)</w:t>
            </w:r>
          </w:p>
        </w:tc>
      </w:tr>
      <w:tr>
        <w:trPr>
          <w:trHeight w:val="172"/>
        </w:trPr>
        <w:tc>
          <w:tcPr>
            <w:tcW w:w="480" w:type="dxa"/>
            <w:vAlign w:val="bottom"/>
          </w:tcPr>
          <w:p>
            <w:pPr>
              <w:spacing w:after="0"/>
              <w:rPr>
                <w:sz w:val="14"/>
                <w:szCs w:val="14"/>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of the Treaty establishing the European Community, as amended by the Treaty on European Union and Resolution 1103/97 of the European Council passed on 17 June 1997, as such</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provisions are amended from time to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10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Annexure A - Page 9 of 24</w:t>
            </w:r>
          </w:p>
        </w:tc>
      </w:tr>
      <w:tr>
        <w:trPr>
          <w:trHeight w:val="492"/>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7.4</w:t>
            </w:r>
          </w:p>
        </w:tc>
        <w:tc>
          <w:tcPr>
            <w:tcW w:w="10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 is understood that the replacement of the National Currency Unit by the European Currency Unit will not constitute a novation or breaking off of the relations between the parties</w:t>
            </w:r>
          </w:p>
        </w:tc>
      </w:tr>
      <w:tr>
        <w:trPr>
          <w:trHeight w:val="186"/>
        </w:trPr>
        <w:tc>
          <w:tcPr>
            <w:tcW w:w="480" w:type="dxa"/>
            <w:vAlign w:val="bottom"/>
          </w:tcPr>
          <w:p>
            <w:pPr>
              <w:spacing w:after="0"/>
              <w:rPr>
                <w:sz w:val="16"/>
                <w:szCs w:val="16"/>
                <w:color w:val="auto"/>
              </w:rPr>
            </w:pPr>
          </w:p>
        </w:tc>
        <w:tc>
          <w:tcPr>
            <w:tcW w:w="10800" w:type="dxa"/>
            <w:vAlign w:val="bottom"/>
          </w:tcPr>
          <w:p>
            <w:pPr>
              <w:jc w:val="right"/>
              <w:ind w:right="6284"/>
              <w:spacing w:after="0"/>
              <w:rPr>
                <w:sz w:val="20"/>
                <w:szCs w:val="20"/>
                <w:color w:val="auto"/>
              </w:rPr>
            </w:pPr>
            <w:r>
              <w:rPr>
                <w:rFonts w:ascii="Times New Roman" w:cs="Times New Roman" w:eastAsia="Times New Roman" w:hAnsi="Times New Roman"/>
                <w:sz w:val="14"/>
                <w:szCs w:val="14"/>
                <w:color w:val="auto"/>
              </w:rPr>
              <w:t>even if, for technical reasons, it could be noted as a change of reference.</w:t>
            </w:r>
          </w:p>
        </w:tc>
      </w:tr>
    </w:tbl>
    <w:p>
      <w:pPr>
        <w:spacing w:after="0" w:line="156" w:lineRule="exact"/>
        <w:rPr>
          <w:sz w:val="20"/>
          <w:szCs w:val="20"/>
          <w:color w:val="auto"/>
        </w:rPr>
      </w:pPr>
    </w:p>
    <w:p>
      <w:pPr>
        <w:ind w:left="780" w:hanging="774"/>
        <w:spacing w:after="0"/>
        <w:tabs>
          <w:tab w:leader="none" w:pos="7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Interest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8.1</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 prime lending rate is the publicly quoted basic rate of interest per annum (as certified by any manager of Capitec whose appointment it shall not be necessary to prove) at which</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Capitec lends on</w:t>
            </w:r>
          </w:p>
        </w:tc>
      </w:tr>
      <w:tr>
        <w:trPr>
          <w:trHeight w:val="330"/>
        </w:trPr>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1"/>
              </w:rPr>
              <w:t>8.2</w:t>
            </w: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charged on the Facility(ies) will be calculated on a daily basis (based on a 365 day year factor irrespective of whether or not the year is a leap year) on the balance outstanding</w:t>
            </w:r>
          </w:p>
        </w:tc>
      </w:tr>
      <w:tr>
        <w:trPr>
          <w:trHeight w:val="186"/>
        </w:trPr>
        <w:tc>
          <w:tcPr>
            <w:tcW w:w="480" w:type="dxa"/>
            <w:vAlign w:val="bottom"/>
          </w:tcPr>
          <w:p>
            <w:pPr>
              <w:spacing w:after="0"/>
              <w:rPr>
                <w:sz w:val="16"/>
                <w:szCs w:val="16"/>
                <w:color w:val="auto"/>
              </w:rPr>
            </w:pPr>
          </w:p>
        </w:tc>
        <w:tc>
          <w:tcPr>
            <w:tcW w:w="10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from time to time and on unpaid interest, if any, and shall be compounded monthly in arrears.</w:t>
            </w:r>
          </w:p>
        </w:tc>
      </w:tr>
    </w:tbl>
    <w:p>
      <w:pPr>
        <w:spacing w:after="0" w:line="156" w:lineRule="exact"/>
        <w:rPr>
          <w:sz w:val="20"/>
          <w:szCs w:val="20"/>
          <w:color w:val="auto"/>
        </w:rPr>
      </w:pPr>
    </w:p>
    <w:p>
      <w:pPr>
        <w:ind w:left="780" w:hanging="774"/>
        <w:spacing w:after="0"/>
        <w:tabs>
          <w:tab w:leader="none" w:pos="780" w:val="left"/>
        </w:tabs>
        <w:numPr>
          <w:ilvl w:val="0"/>
          <w:numId w:val="1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Penalty Interest</w:t>
      </w:r>
    </w:p>
    <w:p>
      <w:pPr>
        <w:spacing w:after="0" w:line="184" w:lineRule="exact"/>
        <w:rPr>
          <w:rFonts w:ascii="Times New Roman" w:cs="Times New Roman" w:eastAsia="Times New Roman" w:hAnsi="Times New Roman"/>
          <w:sz w:val="14"/>
          <w:szCs w:val="14"/>
          <w:b w:val="1"/>
          <w:bCs w:val="1"/>
          <w:color w:val="auto"/>
        </w:rPr>
      </w:pPr>
    </w:p>
    <w:p>
      <w:pPr>
        <w:jc w:val="both"/>
        <w:ind w:left="78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Penalty interest will be charged on any amount which has become due and payable to Capitec under the Facility(ies) and which remains unpaid (including capitalised interest on such amounts) until such time the said amount has been paid in full to Capitec or when the limit of the Facility(ies) is/are exceeded for the duration of such excess. In cases where no penalty interest rate is set out in the Facility letter, penalty interest will be charged over and above Capitec’s prime lending rate but subject to the maximum rates prescribed by law.</w:t>
      </w:r>
    </w:p>
    <w:p>
      <w:pPr>
        <w:spacing w:after="0" w:line="133" w:lineRule="exact"/>
        <w:rPr>
          <w:rFonts w:ascii="Times New Roman" w:cs="Times New Roman" w:eastAsia="Times New Roman" w:hAnsi="Times New Roman"/>
          <w:sz w:val="14"/>
          <w:szCs w:val="14"/>
          <w:b w:val="1"/>
          <w:bCs w:val="1"/>
          <w:color w:val="auto"/>
        </w:rPr>
      </w:pPr>
    </w:p>
    <w:p>
      <w:pPr>
        <w:ind w:left="780" w:hanging="774"/>
        <w:spacing w:after="0"/>
        <w:tabs>
          <w:tab w:leader="none" w:pos="780" w:val="left"/>
        </w:tabs>
        <w:numPr>
          <w:ilvl w:val="0"/>
          <w:numId w:val="1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Changes in Pricing</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Should any of the following events occur: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color w:val="auto"/>
        </w:rPr>
        <w:t>A change in Capitec’s liquid asset, capital adequacy or other reserve requirements; or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4"/>
          <w:szCs w:val="14"/>
          <w:color w:val="auto"/>
        </w:rPr>
        <w:t>An unforeseen monetary change outside the control of Capitec which may have an effect on Capitec’s return; or</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10.1.3</w:t>
      </w:r>
      <w:r>
        <w:rPr>
          <w:sz w:val="20"/>
          <w:szCs w:val="20"/>
          <w:color w:val="auto"/>
        </w:rPr>
        <w:tab/>
      </w:r>
      <w:r>
        <w:rPr>
          <w:rFonts w:ascii="Times New Roman" w:cs="Times New Roman" w:eastAsia="Times New Roman" w:hAnsi="Times New Roman"/>
          <w:sz w:val="14"/>
          <w:szCs w:val="14"/>
          <w:color w:val="auto"/>
        </w:rPr>
        <w:t>Any tax, reserve, exchange or other statutory requirement, or anything analogous thereto in purpose or effect resulting from, but not limited to, any change in law, including any retroactive change thereof, be implemented; or</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10.1.4</w:t>
      </w:r>
      <w:r>
        <w:rPr>
          <w:sz w:val="20"/>
          <w:szCs w:val="20"/>
          <w:color w:val="auto"/>
        </w:rPr>
        <w:tab/>
      </w:r>
      <w:r>
        <w:rPr>
          <w:rFonts w:ascii="Times New Roman" w:cs="Times New Roman" w:eastAsia="Times New Roman" w:hAnsi="Times New Roman"/>
          <w:sz w:val="14"/>
          <w:szCs w:val="14"/>
          <w:color w:val="auto"/>
        </w:rPr>
        <w:t>Any change in Capitec’s strategy, business, and the risk or for any other business considerations</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color w:val="auto"/>
        </w:rPr>
        <w:t>Then Capitec shall be entitled, but shall not be obliged, to review and amend the pricing on the Facility(ies), including all rates, commission and fees quoted, to ensure that Capitec continues to earn the same net return on the Facility(ies) as it would have, had the event not occurred.</w:t>
      </w:r>
    </w:p>
    <w:p>
      <w:pPr>
        <w:spacing w:after="0" w:line="124"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color w:val="auto"/>
        </w:rPr>
        <w:t>Should the interest rate levied in respect of the Facility(ies) be a fixed interest rate, and the market interest rate decreases materially to the extent that the Borrower’s risk profile is adversely effected (as determined by Capitec in its sole discretion), Capitec shall be entitled to require from the Borrower to provide Capitec with further/increased security to the satisfaction of Capitec.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7160260" cy="133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7"/>
          <w:szCs w:val="17"/>
          <w:color w:val="auto"/>
        </w:rPr>
        <w:t>Annexure A - Page 10 of 24</w:t>
      </w:r>
    </w:p>
    <w:p>
      <w:pPr>
        <w:spacing w:after="0" w:line="346" w:lineRule="exact"/>
        <w:rPr>
          <w:sz w:val="20"/>
          <w:szCs w:val="20"/>
          <w:color w:val="auto"/>
        </w:rPr>
      </w:pPr>
    </w:p>
    <w:p>
      <w:pPr>
        <w:ind w:left="780" w:hanging="774"/>
        <w:spacing w:after="0"/>
        <w:tabs>
          <w:tab w:leader="none" w:pos="780" w:val="left"/>
        </w:tabs>
        <w:numPr>
          <w:ilvl w:val="0"/>
          <w:numId w:val="1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 of Ownership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11.1</w:t>
            </w:r>
          </w:p>
        </w:tc>
        <w:tc>
          <w:tcPr>
            <w:tcW w:w="10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Proposed changes to the ownership and/or control of the Borrower must be advised to Capitec and, if implemented, will entitle Capitec to revise the terms of the Facility(ies).</w:t>
            </w:r>
          </w:p>
        </w:tc>
      </w:tr>
      <w:tr>
        <w:trPr>
          <w:trHeight w:val="344"/>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11.2</w:t>
            </w:r>
          </w:p>
        </w:tc>
        <w:tc>
          <w:tcPr>
            <w:tcW w:w="10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Proposed changes to the ownership and/or control of a Surety/Co-Principal Debtor must be advised to Capitec in writing.</w:t>
            </w:r>
          </w:p>
        </w:tc>
      </w:tr>
    </w:tbl>
    <w:p>
      <w:pPr>
        <w:spacing w:after="0" w:line="156" w:lineRule="exact"/>
        <w:rPr>
          <w:sz w:val="20"/>
          <w:szCs w:val="20"/>
          <w:color w:val="auto"/>
        </w:rPr>
      </w:pPr>
    </w:p>
    <w:p>
      <w:pPr>
        <w:ind w:left="780" w:hanging="774"/>
        <w:spacing w:after="0"/>
        <w:tabs>
          <w:tab w:leader="none" w:pos="780" w:val="left"/>
        </w:tabs>
        <w:numPr>
          <w:ilvl w:val="0"/>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Security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12.1</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Any security given by the Borrower or by third parties on the Borrower’s behalf to Capitec in respect of the Facility(ies) shall remain in full force and effect notwithstanding any</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extinction of such indebtedness.</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12.2</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Since the amount of ceded debtors will vary from month to month, the Borrower agrees to provide Capitec with an aged list of the debtors according to the Borrower books on a</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monthly basis (if applicable).</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12.3</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 assets bonded to Capitec by virtue of a general and/or special notarial bond may be disposed of without Capitec’s prior written consent except stock in trade in the normal course</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the Borrower’s or Surety/Co-Principal Debtor’s business. A list of all machinery and other assets specially bonded to Capitec must be supplied by the Borrower or Surety/Co-</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Principal Debtor to Capitec annually, listing serial number and market value (if applicable).</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12.4</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condition of the agreed facilities is that adequate insurance cover is provided and maintained over all property bonded as security and all movables under the general and/or special</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notarial bonds. Such insurance cover shall be provided with due regard to the provisions of Section 43 of the Short Term Insurance Act 53 of 1998 or any amendment or replacement</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thereof or any other applicable legislation. Capitec may require that the rights under such insurance policy be ceded to Capitec.</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12.5</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Cession of life and disability cover will be subject to the provisions of Section 44 of the Long Term Insurance Act 52 of 1998 or any amendment or replacement thereof or any other</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applicable legislation.</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12.6</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it is a requirement that the Borrower must cede it’s claims in respect of book/trade debts to Capitec as security for the Facility(ies) granted by Capitec to the Borrower, the Borrower</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 obliged to procure and ensure that all of its debtors shall effect payment of the amounts due and/or owing by the debtors to the Borrower, by depositing such amounts into the</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Borrower’s account held at Capitec or into such other account as may be determined in writing by Capitec from time to time. The Borrower further irrevocably undertakes and</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warrants in favour of Capitec that it shall immediately in writing instruct all its debtors to effect payment of all amounts due and/or owing by the debtors to the Borrower, into the</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Borrower’s account held at Capitec or into such other account as aforesaid and shall provide proof thereof to Capitec on request. Should any debtor fail to comply with the Borrower’s</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instruction to effect payment as aforesaid, the Borrower is obliged to immediately pay all amounts received from debtors, into the Borrower’s account held with Capitec or into such</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account as aforesaid.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7"/>
          <w:szCs w:val="17"/>
          <w:color w:val="auto"/>
        </w:rPr>
        <w:t>Annexure A - Page 11 of 24</w:t>
      </w:r>
    </w:p>
    <w:p>
      <w:pPr>
        <w:spacing w:after="0" w:line="3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12.7</w:t>
      </w:r>
      <w:r>
        <w:rPr>
          <w:sz w:val="20"/>
          <w:szCs w:val="20"/>
          <w:color w:val="auto"/>
        </w:rPr>
        <w:tab/>
      </w:r>
      <w:r>
        <w:rPr>
          <w:rFonts w:ascii="Times New Roman" w:cs="Times New Roman" w:eastAsia="Times New Roman" w:hAnsi="Times New Roman"/>
          <w:sz w:val="14"/>
          <w:szCs w:val="14"/>
          <w:color w:val="auto"/>
        </w:rPr>
        <w:t>In the event of Capitec taking immovable property as security:</w:t>
      </w:r>
    </w:p>
    <w:p>
      <w:pPr>
        <w:spacing w:after="0" w:line="183" w:lineRule="exact"/>
        <w:rPr>
          <w:sz w:val="20"/>
          <w:szCs w:val="20"/>
          <w:color w:val="auto"/>
        </w:rPr>
      </w:pPr>
    </w:p>
    <w:p>
      <w:pPr>
        <w:jc w:val="both"/>
        <w:ind w:left="780" w:hanging="772"/>
        <w:spacing w:after="0" w:line="265" w:lineRule="auto"/>
        <w:tabs>
          <w:tab w:leader="none" w:pos="760" w:val="left"/>
        </w:tabs>
        <w:rPr>
          <w:sz w:val="20"/>
          <w:szCs w:val="20"/>
          <w:color w:val="auto"/>
        </w:rPr>
      </w:pPr>
      <w:r>
        <w:rPr>
          <w:rFonts w:ascii="Times New Roman" w:cs="Times New Roman" w:eastAsia="Times New Roman" w:hAnsi="Times New Roman"/>
          <w:sz w:val="14"/>
          <w:szCs w:val="14"/>
          <w:color w:val="auto"/>
        </w:rPr>
        <w:t>12.7.1</w:t>
      </w:r>
      <w:r>
        <w:rPr>
          <w:sz w:val="20"/>
          <w:szCs w:val="20"/>
          <w:color w:val="auto"/>
        </w:rPr>
        <w:tab/>
      </w:r>
      <w:r>
        <w:rPr>
          <w:rFonts w:ascii="Times New Roman" w:cs="Times New Roman" w:eastAsia="Times New Roman" w:hAnsi="Times New Roman"/>
          <w:sz w:val="14"/>
          <w:szCs w:val="14"/>
          <w:color w:val="auto"/>
        </w:rPr>
        <w:t>Capitec advises that assessments of properties undertaken by Capitec are to ascertain on the basis of materials used or to be used and land values, whether the land and improvements thereon have sufficient apparent value for the property to act as security for the Facility(ies) granted, and also to assess the replacement value of the improvements for insurance purposes. The assessment is for Capitec’s internal purposes only and no warranties whatsoever in respect of the property, its condition or purchase price are given or implied in the granting of the Facility(ies). The cost of any assessment undertaken for an on behalf of Capitec shall be borne by the Borrower who hereby authorises Capitec to debit the Borrower’s account with such costs.</w:t>
      </w:r>
    </w:p>
    <w:p>
      <w:pPr>
        <w:spacing w:after="0" w:line="142" w:lineRule="exact"/>
        <w:rPr>
          <w:sz w:val="20"/>
          <w:szCs w:val="20"/>
          <w:color w:val="auto"/>
        </w:rPr>
      </w:pPr>
    </w:p>
    <w:p>
      <w:pPr>
        <w:jc w:val="both"/>
        <w:ind w:left="780" w:hanging="772"/>
        <w:spacing w:after="0" w:line="268" w:lineRule="auto"/>
        <w:tabs>
          <w:tab w:leader="none" w:pos="760" w:val="left"/>
        </w:tabs>
        <w:rPr>
          <w:sz w:val="20"/>
          <w:szCs w:val="20"/>
          <w:color w:val="auto"/>
        </w:rPr>
      </w:pPr>
      <w:r>
        <w:rPr>
          <w:rFonts w:ascii="Times New Roman" w:cs="Times New Roman" w:eastAsia="Times New Roman" w:hAnsi="Times New Roman"/>
          <w:sz w:val="14"/>
          <w:szCs w:val="14"/>
          <w:color w:val="auto"/>
        </w:rPr>
        <w:t>12.7.2</w:t>
      </w:r>
      <w:r>
        <w:rPr>
          <w:sz w:val="20"/>
          <w:szCs w:val="20"/>
          <w:color w:val="auto"/>
        </w:rPr>
        <w:tab/>
      </w:r>
      <w:r>
        <w:rPr>
          <w:rFonts w:ascii="Times New Roman" w:cs="Times New Roman" w:eastAsia="Times New Roman" w:hAnsi="Times New Roman"/>
          <w:sz w:val="14"/>
          <w:szCs w:val="14"/>
          <w:color w:val="auto"/>
        </w:rPr>
        <w:t>The assessor insofar as it would affect Capitec’s security neither inspects nor is he/she permitted to advise upon any matter, especially improvements, from the aspect of structural integrity, conformance with approved building plans, the national building regulations nor the land and improvements for suitability to underlying geological conditions or flooding. Capitec accepts no responsibility for any defects whether latent or patent in the property, being either land or improvements as a result of the assessment of the property by Capitec. Where concerns regarding the property exist it is the responsibility of the Borrower to seek appropriate expert advice.</w:t>
      </w:r>
    </w:p>
    <w:p>
      <w:pPr>
        <w:spacing w:after="0" w:line="1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12.7.3</w:t>
      </w:r>
      <w:r>
        <w:rPr>
          <w:sz w:val="20"/>
          <w:szCs w:val="20"/>
          <w:color w:val="auto"/>
        </w:rPr>
        <w:tab/>
      </w:r>
      <w:r>
        <w:rPr>
          <w:rFonts w:ascii="Times New Roman" w:cs="Times New Roman" w:eastAsia="Times New Roman" w:hAnsi="Times New Roman"/>
          <w:sz w:val="14"/>
          <w:szCs w:val="14"/>
          <w:color w:val="auto"/>
        </w:rPr>
        <w:t>The owner of a property is required by law to be in possession of a valid “Certificate of Compliance” for any addition or alteration to an electrical installation or a purchase.</w:t>
      </w:r>
    </w:p>
    <w:p>
      <w:pPr>
        <w:spacing w:after="0" w:line="183" w:lineRule="exact"/>
        <w:rPr>
          <w:sz w:val="20"/>
          <w:szCs w:val="20"/>
          <w:color w:val="auto"/>
        </w:rPr>
      </w:pPr>
    </w:p>
    <w:p>
      <w:pPr>
        <w:jc w:val="both"/>
        <w:ind w:left="780" w:hanging="772"/>
        <w:spacing w:after="0" w:line="261" w:lineRule="auto"/>
        <w:tabs>
          <w:tab w:leader="none" w:pos="760" w:val="left"/>
        </w:tabs>
        <w:rPr>
          <w:sz w:val="20"/>
          <w:szCs w:val="20"/>
          <w:color w:val="auto"/>
        </w:rPr>
      </w:pPr>
      <w:r>
        <w:rPr>
          <w:rFonts w:ascii="Times New Roman" w:cs="Times New Roman" w:eastAsia="Times New Roman" w:hAnsi="Times New Roman"/>
          <w:sz w:val="14"/>
          <w:szCs w:val="14"/>
          <w:color w:val="auto"/>
        </w:rPr>
        <w:t>12.7.4</w:t>
      </w:r>
      <w:r>
        <w:rPr>
          <w:sz w:val="20"/>
          <w:szCs w:val="20"/>
          <w:color w:val="auto"/>
        </w:rPr>
        <w:tab/>
      </w:r>
      <w:r>
        <w:rPr>
          <w:rFonts w:ascii="Times New Roman" w:cs="Times New Roman" w:eastAsia="Times New Roman" w:hAnsi="Times New Roman"/>
          <w:sz w:val="14"/>
          <w:szCs w:val="14"/>
          <w:color w:val="auto"/>
        </w:rPr>
        <w:t>In the event of the Borrower failing to obtain insurance as provided for in clause 12.4 Capitec is hereby irrevocably authorised and empowered (but not obliged) at any time during the currency of this bond to insure in the name of the Borrower at the expense of the Borrower the buildings and improvements at present on the property and/or which may hereafter be erected thereon with an insurance company nominated by Capitec, against loss or damage by fire and such other risks as may be specified or deemed necessary by Capitec for such replacement value thereof as determined by Capitec. No claim shall lie against Capitec for any loss sustained by the Borrower as a result of the value so determined being found to be inadequate or as a result of Capitec not insuring the building and improvements on the property. The Borrower is responsible for requesting Capitec, in writing, to arrange increased insurance cover should the Borrower effect additional improvements to the property after the date of this letter or should the Borrower consider the sum insured to be inadequate to cover the full replacement costs of the buildings and improvements from time to time. No claim shall lie against Capitec for any loss sustained by the Borrower as a result of the Insurer refusing to pay any claim, for whatever reason and/or the value so determined being found to be inadequate.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320040</wp:posOffset>
            </wp:positionV>
            <wp:extent cx="7160260" cy="133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7"/>
          <w:szCs w:val="17"/>
          <w:color w:val="auto"/>
        </w:rPr>
        <w:t>Annexure A - Page 12 of 24</w:t>
      </w:r>
    </w:p>
    <w:p>
      <w:pPr>
        <w:spacing w:after="0" w:line="348" w:lineRule="exact"/>
        <w:rPr>
          <w:sz w:val="20"/>
          <w:szCs w:val="20"/>
          <w:color w:val="auto"/>
        </w:rPr>
      </w:pPr>
    </w:p>
    <w:p>
      <w:pPr>
        <w:jc w:val="both"/>
        <w:ind w:left="780" w:hanging="772"/>
        <w:spacing w:after="0" w:line="268" w:lineRule="auto"/>
        <w:tabs>
          <w:tab w:leader="none" w:pos="760" w:val="left"/>
        </w:tabs>
        <w:rPr>
          <w:sz w:val="20"/>
          <w:szCs w:val="20"/>
          <w:color w:val="auto"/>
        </w:rPr>
      </w:pPr>
      <w:r>
        <w:rPr>
          <w:rFonts w:ascii="Times New Roman" w:cs="Times New Roman" w:eastAsia="Times New Roman" w:hAnsi="Times New Roman"/>
          <w:sz w:val="14"/>
          <w:szCs w:val="14"/>
          <w:color w:val="auto"/>
        </w:rPr>
        <w:t>12.7.5</w:t>
      </w:r>
      <w:r>
        <w:rPr>
          <w:sz w:val="20"/>
          <w:szCs w:val="20"/>
          <w:color w:val="auto"/>
        </w:rPr>
        <w:tab/>
      </w:r>
      <w:r>
        <w:rPr>
          <w:rFonts w:ascii="Times New Roman" w:cs="Times New Roman" w:eastAsia="Times New Roman" w:hAnsi="Times New Roman"/>
          <w:sz w:val="14"/>
          <w:szCs w:val="14"/>
          <w:color w:val="auto"/>
        </w:rPr>
        <w:t>Capitec is hereby irrevocably instructed and empowered at any time during the currency of this bond to make enquiries, draw statements and obtain any information from any authority regarding rates and taxes levied on the aforesaid property. The Borrower hereby undertakes to provide Capitec, on request, with written proof of regular payment of rates and taxes and the Borrower hereby acknowledges that failure to keep payment of rates and taxes up to date, constitutes a breach of this agreement and will prejudice Capitec and Capitec is hereby entitled to protect its interest in such instance.</w:t>
      </w:r>
    </w:p>
    <w:p>
      <w:pPr>
        <w:spacing w:after="0" w:line="140"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12.7.6</w:t>
      </w:r>
      <w:r>
        <w:rPr>
          <w:sz w:val="20"/>
          <w:szCs w:val="20"/>
          <w:color w:val="auto"/>
        </w:rPr>
        <w:tab/>
      </w:r>
      <w:r>
        <w:rPr>
          <w:rFonts w:ascii="Times New Roman" w:cs="Times New Roman" w:eastAsia="Times New Roman" w:hAnsi="Times New Roman"/>
          <w:sz w:val="14"/>
          <w:szCs w:val="14"/>
          <w:color w:val="auto"/>
        </w:rPr>
        <w:t>Mortgage bonds to be registered to secure the Borrower’s indebtedness to Capitec in terms of this Facility letter (or any other existing or future indebtedness) by Capitec’s attorneys, and the Borrower is requested to sign the necessary documents at the offices of the attorneys. The Borrower is responsible for all costs/fees to register the mortgage bond which shall be payable to Capitec before registration of the mortgage bond. The terms and conditions contained in the Bond document(s) are binding on the Borrower.</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12.7.7</w:t>
      </w:r>
      <w:r>
        <w:rPr>
          <w:sz w:val="20"/>
          <w:szCs w:val="20"/>
          <w:color w:val="auto"/>
        </w:rPr>
        <w:tab/>
      </w:r>
      <w:r>
        <w:rPr>
          <w:rFonts w:ascii="Times New Roman" w:cs="Times New Roman" w:eastAsia="Times New Roman" w:hAnsi="Times New Roman"/>
          <w:sz w:val="14"/>
          <w:szCs w:val="14"/>
          <w:color w:val="auto"/>
        </w:rPr>
        <w:t>If the property is a Sectional Tile property:</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12.7.7.1</w:t>
      </w:r>
      <w:r>
        <w:rPr>
          <w:sz w:val="20"/>
          <w:szCs w:val="20"/>
          <w:color w:val="auto"/>
        </w:rPr>
        <w:tab/>
      </w:r>
      <w:r>
        <w:rPr>
          <w:rFonts w:ascii="Times New Roman" w:cs="Times New Roman" w:eastAsia="Times New Roman" w:hAnsi="Times New Roman"/>
          <w:sz w:val="14"/>
          <w:szCs w:val="14"/>
          <w:color w:val="auto"/>
        </w:rPr>
        <w:t>The Borrower will be required to furnish Capitec a conveyancer’s certificate reflecting all conditions of the sectional title plan as it applies to the mortgaged unit or alternatively pay to Capitec the amount necessary in order to enable Capitec to instruct its own conveyancers to furnish such certificate.</w:t>
      </w:r>
    </w:p>
    <w:p>
      <w:pPr>
        <w:spacing w:after="0" w:line="124" w:lineRule="exact"/>
        <w:rPr>
          <w:sz w:val="20"/>
          <w:szCs w:val="20"/>
          <w:color w:val="auto"/>
        </w:rPr>
      </w:pPr>
    </w:p>
    <w:p>
      <w:pPr>
        <w:jc w:val="both"/>
        <w:ind w:left="780" w:hanging="772"/>
        <w:spacing w:after="0" w:line="285" w:lineRule="auto"/>
        <w:tabs>
          <w:tab w:leader="none" w:pos="760" w:val="left"/>
        </w:tabs>
        <w:rPr>
          <w:sz w:val="20"/>
          <w:szCs w:val="20"/>
          <w:color w:val="auto"/>
        </w:rPr>
      </w:pPr>
      <w:r>
        <w:rPr>
          <w:rFonts w:ascii="Times New Roman" w:cs="Times New Roman" w:eastAsia="Times New Roman" w:hAnsi="Times New Roman"/>
          <w:sz w:val="14"/>
          <w:szCs w:val="14"/>
          <w:color w:val="auto"/>
        </w:rPr>
        <w:t>12.7.7.2</w:t>
      </w:r>
      <w:r>
        <w:rPr>
          <w:sz w:val="20"/>
          <w:szCs w:val="20"/>
          <w:color w:val="auto"/>
        </w:rPr>
        <w:tab/>
      </w:r>
      <w:r>
        <w:rPr>
          <w:rFonts w:ascii="Times New Roman" w:cs="Times New Roman" w:eastAsia="Times New Roman" w:hAnsi="Times New Roman"/>
          <w:sz w:val="14"/>
          <w:szCs w:val="14"/>
          <w:color w:val="auto"/>
        </w:rPr>
        <w:t>Capitec’s attorneys must be provided with a certified copy of the rules adopted by the Body Corporate and if this Facility(ies) is granted in connection with the transfer of the first unit, the developer must undertake to Capitec that on transfer of the mortgaged unit he will procure that those rules will in fact be so adopted. The rules of a scheme must be acceptable to Capitec.</w:t>
      </w:r>
    </w:p>
    <w:p>
      <w:pPr>
        <w:spacing w:after="0" w:line="305"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12.7.7.3</w:t>
      </w:r>
      <w:r>
        <w:rPr>
          <w:sz w:val="20"/>
          <w:szCs w:val="20"/>
          <w:color w:val="auto"/>
        </w:rPr>
        <w:tab/>
      </w:r>
      <w:r>
        <w:rPr>
          <w:rFonts w:ascii="Times New Roman" w:cs="Times New Roman" w:eastAsia="Times New Roman" w:hAnsi="Times New Roman"/>
          <w:sz w:val="14"/>
          <w:szCs w:val="14"/>
          <w:color w:val="auto"/>
        </w:rPr>
        <w:t>In terms of the mortgage bond to be registered the Borrower will grant Capitec power of attorney to act as the Borrower’s agent in matters affecting the mortgaged unit and the Borrower’s dealings with the Body Corporate; this is done to protect Capitec’s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7160260" cy="133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7"/>
          <w:szCs w:val="17"/>
          <w:color w:val="auto"/>
        </w:rPr>
        <w:t>Annexure A - Page 13 of 24</w:t>
      </w:r>
    </w:p>
    <w:p>
      <w:pPr>
        <w:spacing w:after="0" w:line="348"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12.7.7.4</w:t>
      </w:r>
      <w:r>
        <w:rPr>
          <w:sz w:val="20"/>
          <w:szCs w:val="20"/>
          <w:color w:val="auto"/>
        </w:rPr>
        <w:tab/>
      </w:r>
      <w:r>
        <w:rPr>
          <w:rFonts w:ascii="Times New Roman" w:cs="Times New Roman" w:eastAsia="Times New Roman" w:hAnsi="Times New Roman"/>
          <w:sz w:val="14"/>
          <w:szCs w:val="14"/>
          <w:color w:val="auto"/>
        </w:rPr>
        <w:t>The insurers of the building must certify to Capitec that the Body Corporate has in terms of Section 37 of the Sectional Titles Act, 1986, insured to the full replacement value the buildings and improvements of which the mortgaged unit forms part with an insurer approved by Capitec against all such risks as Capitec may specify. The amount of cover designated to the mortgaged unit must be certified by the insurers as not being for an amount less than the amount stated above.</w:t>
      </w:r>
    </w:p>
    <w:p>
      <w:pPr>
        <w:spacing w:after="0" w:line="136" w:lineRule="exact"/>
        <w:rPr>
          <w:sz w:val="20"/>
          <w:szCs w:val="20"/>
          <w:color w:val="auto"/>
        </w:rPr>
      </w:pPr>
    </w:p>
    <w:p>
      <w:pPr>
        <w:jc w:val="both"/>
        <w:ind w:left="780" w:hanging="772"/>
        <w:spacing w:after="0" w:line="265" w:lineRule="auto"/>
        <w:tabs>
          <w:tab w:leader="none" w:pos="760" w:val="left"/>
        </w:tabs>
        <w:rPr>
          <w:sz w:val="20"/>
          <w:szCs w:val="20"/>
          <w:color w:val="auto"/>
        </w:rPr>
      </w:pPr>
      <w:r>
        <w:rPr>
          <w:rFonts w:ascii="Times New Roman" w:cs="Times New Roman" w:eastAsia="Times New Roman" w:hAnsi="Times New Roman"/>
          <w:sz w:val="14"/>
          <w:szCs w:val="14"/>
          <w:color w:val="auto"/>
        </w:rPr>
        <w:t>12.7.7.5</w:t>
      </w:r>
      <w:r>
        <w:rPr>
          <w:sz w:val="20"/>
          <w:szCs w:val="20"/>
          <w:color w:val="auto"/>
        </w:rPr>
        <w:tab/>
      </w:r>
      <w:r>
        <w:rPr>
          <w:rFonts w:ascii="Times New Roman" w:cs="Times New Roman" w:eastAsia="Times New Roman" w:hAnsi="Times New Roman"/>
          <w:sz w:val="14"/>
          <w:szCs w:val="14"/>
          <w:color w:val="auto"/>
        </w:rPr>
        <w:t>The Borrower’s attention is drawn to the fact that the South African Revenue Service(“SARS”) has ruled that it will use property transfers to ensure that, where applicable, the parties concerned are on the income tax register and that their tax returns and taxes due are up to date. Where sellers owe taxes, conveyancers will be appointed as the agents of SARS to pay over monies held by them. SARS will notify conveyancers where there are problems relating to the tax affairs of buyers or sellers. The parties concerned will be given the opportunity to rectify matters, but should they fail to respond to the request, the issue of transfer duty receipts / exemptions will be delayed until SARS has issued garnishee orders or taken other steps to ensure compliance. These may include attaching properties or registering caveats against properties</w:t>
      </w:r>
    </w:p>
    <w:p>
      <w:pPr>
        <w:spacing w:after="0" w:line="142"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12.7.7.6</w:t>
      </w:r>
      <w:r>
        <w:rPr>
          <w:sz w:val="20"/>
          <w:szCs w:val="20"/>
          <w:color w:val="auto"/>
        </w:rPr>
        <w:tab/>
      </w:r>
      <w:r>
        <w:rPr>
          <w:rFonts w:ascii="Times New Roman" w:cs="Times New Roman" w:eastAsia="Times New Roman" w:hAnsi="Times New Roman"/>
          <w:sz w:val="14"/>
          <w:szCs w:val="14"/>
          <w:color w:val="auto"/>
        </w:rPr>
        <w:t>The Borrower is obliged to make a full disclosure of all of its relevant tax related matters, as required from time to time by the attorney/conveyancer attending to the registration of the bond and / or transfer referred to herein.</w:t>
      </w:r>
    </w:p>
    <w:p>
      <w:pPr>
        <w:spacing w:after="0" w:line="124"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12.7.7.7</w:t>
      </w:r>
      <w:r>
        <w:rPr>
          <w:sz w:val="20"/>
          <w:szCs w:val="20"/>
          <w:color w:val="auto"/>
        </w:rPr>
        <w:tab/>
      </w:r>
      <w:r>
        <w:rPr>
          <w:rFonts w:ascii="Times New Roman" w:cs="Times New Roman" w:eastAsia="Times New Roman" w:hAnsi="Times New Roman"/>
          <w:sz w:val="14"/>
          <w:szCs w:val="14"/>
          <w:color w:val="auto"/>
        </w:rPr>
        <w:t>Notwithstanding anything to the contrary contained herein, Capitec shall be entitled to withdraw from the Facility(ies) should the registration of the bond be delayed unreasonably as determined by Capitec, in its sole discretion.</w:t>
      </w:r>
    </w:p>
    <w:p>
      <w:pPr>
        <w:spacing w:after="0" w:line="124"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12.8</w:t>
      </w:r>
      <w:r>
        <w:rPr>
          <w:sz w:val="20"/>
          <w:szCs w:val="20"/>
          <w:color w:val="auto"/>
        </w:rPr>
        <w:tab/>
      </w:r>
      <w:r>
        <w:rPr>
          <w:rFonts w:ascii="Times New Roman" w:cs="Times New Roman" w:eastAsia="Times New Roman" w:hAnsi="Times New Roman"/>
          <w:sz w:val="14"/>
          <w:szCs w:val="14"/>
          <w:color w:val="auto"/>
        </w:rPr>
        <w:t>Capitec reserves the right to re-evaluate any security whenever it deems fit, the cost thereof shall be for the Borrower’s account and should Capitec require additional security, such security has to be provided on written demand.</w:t>
      </w:r>
    </w:p>
    <w:p>
      <w:pPr>
        <w:spacing w:after="0" w:line="124" w:lineRule="exact"/>
        <w:rPr>
          <w:sz w:val="20"/>
          <w:szCs w:val="20"/>
          <w:color w:val="auto"/>
        </w:rPr>
      </w:pPr>
    </w:p>
    <w:p>
      <w:pPr>
        <w:jc w:val="both"/>
        <w:ind w:left="780" w:hanging="772"/>
        <w:spacing w:after="0" w:line="266" w:lineRule="auto"/>
        <w:tabs>
          <w:tab w:leader="none" w:pos="760" w:val="left"/>
        </w:tabs>
        <w:rPr>
          <w:sz w:val="20"/>
          <w:szCs w:val="20"/>
          <w:color w:val="auto"/>
        </w:rPr>
      </w:pPr>
      <w:r>
        <w:rPr>
          <w:rFonts w:ascii="Times New Roman" w:cs="Times New Roman" w:eastAsia="Times New Roman" w:hAnsi="Times New Roman"/>
          <w:sz w:val="14"/>
          <w:szCs w:val="14"/>
          <w:color w:val="auto"/>
        </w:rPr>
        <w:t>12.9</w:t>
      </w:r>
      <w:r>
        <w:rPr>
          <w:sz w:val="20"/>
          <w:szCs w:val="20"/>
          <w:color w:val="auto"/>
        </w:rPr>
        <w:tab/>
      </w:r>
      <w:r>
        <w:rPr>
          <w:rFonts w:ascii="Times New Roman" w:cs="Times New Roman" w:eastAsia="Times New Roman" w:hAnsi="Times New Roman"/>
          <w:sz w:val="14"/>
          <w:szCs w:val="14"/>
          <w:color w:val="auto"/>
        </w:rPr>
        <w:t>The security recorded in the Facility letter and any that may be taken in future will apply to any facilities granted to the Borrower for obligations arising at any time now or in the future.</w:t>
      </w:r>
    </w:p>
    <w:p>
      <w:pPr>
        <w:spacing w:after="0" w:line="328" w:lineRule="exact"/>
        <w:rPr>
          <w:sz w:val="20"/>
          <w:szCs w:val="20"/>
          <w:color w:val="auto"/>
        </w:rPr>
      </w:pPr>
    </w:p>
    <w:p>
      <w:pPr>
        <w:ind w:left="780" w:hanging="774"/>
        <w:spacing w:after="0"/>
        <w:tabs>
          <w:tab w:leader="none" w:pos="780"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Combining of Accounts</w:t>
      </w:r>
    </w:p>
    <w:p>
      <w:pPr>
        <w:spacing w:after="0" w:line="184" w:lineRule="exact"/>
        <w:rPr>
          <w:rFonts w:ascii="Times New Roman" w:cs="Times New Roman" w:eastAsia="Times New Roman" w:hAnsi="Times New Roman"/>
          <w:sz w:val="14"/>
          <w:szCs w:val="14"/>
          <w:b w:val="1"/>
          <w:bCs w:val="1"/>
          <w:color w:val="auto"/>
        </w:rPr>
      </w:pPr>
    </w:p>
    <w:p>
      <w:pPr>
        <w:jc w:val="both"/>
        <w:ind w:left="78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any Event of Default, as described above, occurs and the full amount due is not repaid by the Borrower when called upon to do so, Capitec may apply any moneys standing to the credit of any other account of the Borrower with Capitec in or towards the discharge of the obligations of the Borrower to Capitec in respect of the Facility(ies) or exercise whatever other rights it may have,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7160260" cy="133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7"/>
          <w:szCs w:val="17"/>
          <w:color w:val="auto"/>
        </w:rPr>
        <w:t>Annexure A - Page 14 of 24</w:t>
      </w:r>
    </w:p>
    <w:p>
      <w:pPr>
        <w:spacing w:after="0" w:line="346" w:lineRule="exact"/>
        <w:rPr>
          <w:sz w:val="20"/>
          <w:szCs w:val="20"/>
          <w:color w:val="auto"/>
        </w:rPr>
      </w:pPr>
    </w:p>
    <w:p>
      <w:pPr>
        <w:ind w:left="780" w:hanging="774"/>
        <w:spacing w:after="0"/>
        <w:tabs>
          <w:tab w:leader="none" w:pos="780" w:val="left"/>
        </w:tabs>
        <w:numPr>
          <w:ilvl w:val="0"/>
          <w:numId w:val="1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Variation</w:t>
      </w:r>
    </w:p>
    <w:p>
      <w:pPr>
        <w:spacing w:after="0" w:line="184" w:lineRule="exact"/>
        <w:rPr>
          <w:rFonts w:ascii="Times New Roman" w:cs="Times New Roman" w:eastAsia="Times New Roman" w:hAnsi="Times New Roman"/>
          <w:sz w:val="14"/>
          <w:szCs w:val="14"/>
          <w:b w:val="1"/>
          <w:bCs w:val="1"/>
          <w:color w:val="auto"/>
        </w:rPr>
      </w:pPr>
    </w:p>
    <w:p>
      <w:pPr>
        <w:ind w:left="78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Capitec reserves the right to affect amendments to this agreement, notice of which shall be given in writing. Should the Borrower lodge no objection to the amendments with Capitec within seven days after the dispatch thereof, the amendment shall be deemed to be accepted.</w:t>
      </w:r>
    </w:p>
    <w:p>
      <w:pPr>
        <w:spacing w:after="0" w:line="121" w:lineRule="exact"/>
        <w:rPr>
          <w:rFonts w:ascii="Times New Roman" w:cs="Times New Roman" w:eastAsia="Times New Roman" w:hAnsi="Times New Roman"/>
          <w:sz w:val="14"/>
          <w:szCs w:val="14"/>
          <w:b w:val="1"/>
          <w:bCs w:val="1"/>
          <w:color w:val="auto"/>
        </w:rPr>
      </w:pPr>
    </w:p>
    <w:p>
      <w:pPr>
        <w:ind w:left="780" w:hanging="774"/>
        <w:spacing w:after="0"/>
        <w:tabs>
          <w:tab w:leader="none" w:pos="780" w:val="left"/>
        </w:tabs>
        <w:numPr>
          <w:ilvl w:val="0"/>
          <w:numId w:val="1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Costs</w:t>
      </w:r>
    </w:p>
    <w:p>
      <w:pPr>
        <w:spacing w:after="0" w:line="184" w:lineRule="exact"/>
        <w:rPr>
          <w:rFonts w:ascii="Times New Roman" w:cs="Times New Roman" w:eastAsia="Times New Roman" w:hAnsi="Times New Roman"/>
          <w:sz w:val="14"/>
          <w:szCs w:val="14"/>
          <w:b w:val="1"/>
          <w:bCs w:val="1"/>
          <w:color w:val="auto"/>
        </w:rPr>
      </w:pPr>
    </w:p>
    <w:p>
      <w:pPr>
        <w:jc w:val="both"/>
        <w:ind w:left="7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Borrower will be liable for all out-of- pocket expenses incurred, including, but not limited to valuation fees, registration fees, stamp duties, legal expenses (including costs as between attorney and own client) charges and disbursements incurred by Capitec in implementing and maintaining the Facility(ies) and in recovering any amounts owed by the Borrower.</w:t>
      </w:r>
    </w:p>
    <w:p>
      <w:pPr>
        <w:spacing w:after="0" w:line="302" w:lineRule="exact"/>
        <w:rPr>
          <w:rFonts w:ascii="Times New Roman" w:cs="Times New Roman" w:eastAsia="Times New Roman" w:hAnsi="Times New Roman"/>
          <w:sz w:val="14"/>
          <w:szCs w:val="14"/>
          <w:b w:val="1"/>
          <w:bCs w:val="1"/>
          <w:color w:val="auto"/>
        </w:rPr>
      </w:pPr>
    </w:p>
    <w:p>
      <w:pPr>
        <w:ind w:left="780" w:hanging="774"/>
        <w:spacing w:after="0"/>
        <w:tabs>
          <w:tab w:leader="none" w:pos="780" w:val="left"/>
        </w:tabs>
        <w:numPr>
          <w:ilvl w:val="0"/>
          <w:numId w:val="1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Proof of Indebtedness</w:t>
      </w:r>
    </w:p>
    <w:p>
      <w:pPr>
        <w:spacing w:after="0" w:line="184" w:lineRule="exact"/>
        <w:rPr>
          <w:rFonts w:ascii="Times New Roman" w:cs="Times New Roman" w:eastAsia="Times New Roman" w:hAnsi="Times New Roman"/>
          <w:sz w:val="14"/>
          <w:szCs w:val="14"/>
          <w:b w:val="1"/>
          <w:bCs w:val="1"/>
          <w:color w:val="auto"/>
        </w:rPr>
      </w:pPr>
    </w:p>
    <w:p>
      <w:pPr>
        <w:ind w:left="78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certificate of the balance owing to Capitec or of any calculation as provided herein, signed by any manager or director of Capitec, whose appointment need not be proved, shall be prima facie proof of the amount owing by the Borrower and/or such calculation, in any court, arbitration or business rescue proceedings.</w:t>
      </w:r>
    </w:p>
    <w:p>
      <w:pPr>
        <w:spacing w:after="0" w:line="121" w:lineRule="exact"/>
        <w:rPr>
          <w:rFonts w:ascii="Times New Roman" w:cs="Times New Roman" w:eastAsia="Times New Roman" w:hAnsi="Times New Roman"/>
          <w:sz w:val="14"/>
          <w:szCs w:val="14"/>
          <w:b w:val="1"/>
          <w:bCs w:val="1"/>
          <w:color w:val="auto"/>
        </w:rPr>
      </w:pPr>
    </w:p>
    <w:p>
      <w:pPr>
        <w:ind w:left="780" w:hanging="774"/>
        <w:spacing w:after="0"/>
        <w:tabs>
          <w:tab w:leader="none" w:pos="780" w:val="left"/>
        </w:tabs>
        <w:numPr>
          <w:ilvl w:val="0"/>
          <w:numId w:val="1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Bank Liability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17.1</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Capitec shall not have influenced or be deemed to have influenced, nor exercised, or be deemed to have exercised, any control over the decisions of the Borrower regarding the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transactions for which the Facility(ies) is/are to be established and any other matters of any nature whatsoever, directly or indirectly pertaining to the business of the Borrower.</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17.2</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Furthermore, any and all determinations which Capitec has, or may make, or opinions which Capitec and its officers have, or may express in the course of its due diligence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investigation have been, and shall be made or expressed, as the case may be, solely for the purposes of Capitec as a prudent lender acting in good faith.</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17.3</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Upon the occurrence of an Event of Default Capitec will have no further obligation to make any advances under the Facility(ies) and shall bear no liability whatsoever for not making</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any advance which the Borrower may then request from Capitec.</w:t>
            </w:r>
          </w:p>
        </w:tc>
      </w:tr>
    </w:tbl>
    <w:p>
      <w:pPr>
        <w:spacing w:after="0" w:line="156" w:lineRule="exact"/>
        <w:rPr>
          <w:sz w:val="20"/>
          <w:szCs w:val="20"/>
          <w:color w:val="auto"/>
        </w:rPr>
      </w:pPr>
    </w:p>
    <w:p>
      <w:pPr>
        <w:ind w:left="780" w:hanging="774"/>
        <w:spacing w:after="0"/>
        <w:tabs>
          <w:tab w:leader="none" w:pos="780" w:val="left"/>
        </w:tabs>
        <w:numPr>
          <w:ilvl w:val="0"/>
          <w:numId w:val="1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Confidentiality Undertaking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18.1</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Borrower and its directors, officers, employees, external auditors, legal advisors and other bona fide consultants retained by and acting on behalf of the Borrower will not divulge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Terms and Conditions of the Facility(ies) to any other person without the prior written permission of Capitec.</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18.2</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Capitec will not divulge any information provided to it by the Borrower, without the prior written consent of the Borrower, to any other person except to the external auditors, legal</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advisors and other bona fide consultants retained by and acting on behalf of Capitec and its Shareholders or when obliged to do so by law provided that such disclosure shall comply</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with applicable 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7"/>
          <w:szCs w:val="17"/>
          <w:color w:val="auto"/>
        </w:rPr>
        <w:t>Annexure A - Page 15 of 24</w:t>
      </w:r>
    </w:p>
    <w:p>
      <w:pPr>
        <w:spacing w:after="0" w:line="346" w:lineRule="exact"/>
        <w:rPr>
          <w:sz w:val="20"/>
          <w:szCs w:val="20"/>
          <w:color w:val="auto"/>
        </w:rPr>
      </w:pPr>
    </w:p>
    <w:p>
      <w:pPr>
        <w:ind w:left="780" w:hanging="774"/>
        <w:spacing w:after="0"/>
        <w:tabs>
          <w:tab w:leader="none" w:pos="780" w:val="left"/>
        </w:tabs>
        <w:numPr>
          <w:ilvl w:val="0"/>
          <w:numId w:val="1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Jurisdiction</w:t>
      </w:r>
    </w:p>
    <w:p>
      <w:pPr>
        <w:spacing w:after="0" w:line="185"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19.1</w:t>
      </w:r>
      <w:r>
        <w:rPr>
          <w:sz w:val="20"/>
          <w:szCs w:val="20"/>
          <w:color w:val="auto"/>
        </w:rPr>
        <w:tab/>
      </w:r>
      <w:r>
        <w:rPr>
          <w:rFonts w:ascii="Times New Roman" w:cs="Times New Roman" w:eastAsia="Times New Roman" w:hAnsi="Times New Roman"/>
          <w:sz w:val="14"/>
          <w:szCs w:val="14"/>
          <w:color w:val="auto"/>
        </w:rPr>
        <w:t>The Facility(ies) shall in all respects be governed by and construed in accordance with the laws of the Republic of South Africa and all disputes, actions and other matters in connection therewith shall be determined in accordance with such laws.</w:t>
      </w:r>
    </w:p>
    <w:p>
      <w:pPr>
        <w:spacing w:after="0" w:line="124" w:lineRule="exact"/>
        <w:rPr>
          <w:sz w:val="20"/>
          <w:szCs w:val="20"/>
          <w:color w:val="auto"/>
        </w:rPr>
      </w:pPr>
    </w:p>
    <w:p>
      <w:pPr>
        <w:jc w:val="both"/>
        <w:ind w:left="780" w:hanging="772"/>
        <w:spacing w:after="0" w:line="271" w:lineRule="auto"/>
        <w:tabs>
          <w:tab w:leader="none" w:pos="760" w:val="left"/>
        </w:tabs>
        <w:rPr>
          <w:sz w:val="20"/>
          <w:szCs w:val="20"/>
          <w:color w:val="auto"/>
        </w:rPr>
      </w:pPr>
      <w:r>
        <w:rPr>
          <w:rFonts w:ascii="Times New Roman" w:cs="Times New Roman" w:eastAsia="Times New Roman" w:hAnsi="Times New Roman"/>
          <w:sz w:val="14"/>
          <w:szCs w:val="14"/>
          <w:color w:val="auto"/>
        </w:rPr>
        <w:t>19.2</w:t>
      </w:r>
      <w:r>
        <w:rPr>
          <w:sz w:val="20"/>
          <w:szCs w:val="20"/>
          <w:color w:val="auto"/>
        </w:rPr>
        <w:tab/>
      </w:r>
      <w:r>
        <w:rPr>
          <w:rFonts w:ascii="Times New Roman" w:cs="Times New Roman" w:eastAsia="Times New Roman" w:hAnsi="Times New Roman"/>
          <w:sz w:val="14"/>
          <w:szCs w:val="14"/>
          <w:color w:val="auto"/>
        </w:rPr>
        <w:t>The Borrower, in accepting the Facility(ies) consents and submits to the jurisdiction of the Magistrates Court in respect of all proceedings connected with the Facility(ies), notwithstanding that the amount claimed or the value of the matter disputed exceeds such jurisdiction. Notwithstanding the above, Capitec shall be entitled to institute all and any proceedings against the Borrower in connection with this Facility(ies) in the High Court of South Africa and the Borrower hereby consents and submits to the jurisdiction of that Court, if so stipulated by Capitec.</w:t>
      </w:r>
    </w:p>
    <w:p>
      <w:pPr>
        <w:spacing w:after="0" w:line="312" w:lineRule="exact"/>
        <w:rPr>
          <w:sz w:val="20"/>
          <w:szCs w:val="20"/>
          <w:color w:val="auto"/>
        </w:rPr>
      </w:pPr>
    </w:p>
    <w:p>
      <w:pPr>
        <w:ind w:left="780" w:hanging="774"/>
        <w:spacing w:after="0"/>
        <w:tabs>
          <w:tab w:leader="none" w:pos="780" w:val="left"/>
        </w:tabs>
        <w:numPr>
          <w:ilvl w:val="0"/>
          <w:numId w:val="1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Early repayment</w:t>
      </w:r>
    </w:p>
    <w:p>
      <w:pPr>
        <w:spacing w:after="0" w:line="184" w:lineRule="exact"/>
        <w:rPr>
          <w:rFonts w:ascii="Times New Roman" w:cs="Times New Roman" w:eastAsia="Times New Roman" w:hAnsi="Times New Roman"/>
          <w:sz w:val="14"/>
          <w:szCs w:val="14"/>
          <w:b w:val="1"/>
          <w:bCs w:val="1"/>
          <w:color w:val="auto"/>
        </w:rPr>
      </w:pPr>
    </w:p>
    <w:p>
      <w:pPr>
        <w:ind w:left="7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interest rate levied in respect of the Facility(ies) is a variable interest rate then: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20.1</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Full repayment of the Facility(ies) or any early reductions thereof in multiples of R10 000 may be made by the Borrower at any time subject to Capitec being given 90 days’ written</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notice (or such shorter notice period as Capitec may agree to in writing) of the Borrower’s intention to make such repayment or reduction. Early reductions will be limited to one in</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each calendar month</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20.2</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the Borrower makes an early reduction of the Facility(ies), the repayment of the remaining outstanding balance of the loan will, unless rescheduled by agreement between the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parties, continue to be made according to the original payment terms.</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20.3</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no rescheduling arising from an early reduction is agreed to, the Borrower may (in addition to the utilisation of any undrawn portion of the Facility(ies)) draw, once in any calendar</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month and in multiples of R10 000, up to the amount of such reduction.</w:t>
            </w:r>
          </w:p>
        </w:tc>
      </w:tr>
      <w:tr>
        <w:trPr>
          <w:trHeight w:val="344"/>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20.4</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Capitec may, however, at any time withdraw in whole or in part the Borrower’s rights in terms of 20.3.</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20.5</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the interest rate levied in respect of the Facility(ies) is a fixed interest rate, the Borrower may only settle or terminate the Facility(ies) earlier as originally agreed upon if the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Borrower immediately pays to Capitec all the amounts, costs, fees, losses and damages referred to in 4.2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7"/>
          <w:szCs w:val="17"/>
          <w:color w:val="auto"/>
        </w:rPr>
        <w:t>Annexure A - Page 16 of 24</w:t>
      </w:r>
    </w:p>
    <w:p>
      <w:pPr>
        <w:spacing w:after="0" w:line="346" w:lineRule="exact"/>
        <w:rPr>
          <w:sz w:val="20"/>
          <w:szCs w:val="20"/>
          <w:color w:val="auto"/>
        </w:rPr>
      </w:pPr>
    </w:p>
    <w:p>
      <w:pPr>
        <w:ind w:left="780" w:hanging="774"/>
        <w:spacing w:after="0"/>
        <w:tabs>
          <w:tab w:leader="none" w:pos="780" w:val="left"/>
        </w:tabs>
        <w:numPr>
          <w:ilvl w:val="0"/>
          <w:numId w:val="1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Domicilium</w:t>
      </w:r>
    </w:p>
    <w:p>
      <w:pPr>
        <w:spacing w:after="0" w:line="184" w:lineRule="exact"/>
        <w:rPr>
          <w:rFonts w:ascii="Times New Roman" w:cs="Times New Roman" w:eastAsia="Times New Roman" w:hAnsi="Times New Roman"/>
          <w:sz w:val="14"/>
          <w:szCs w:val="14"/>
          <w:b w:val="1"/>
          <w:bCs w:val="1"/>
          <w:color w:val="auto"/>
        </w:rPr>
      </w:pPr>
    </w:p>
    <w:p>
      <w:pPr>
        <w:ind w:left="78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Borrower hereby chooses domicilium citandi at executandi for all purposes arising out of these Standard Terms and Conditions and all other agreements relating to the Facility(ies) granted to the Borrower at:</w:t>
      </w:r>
    </w:p>
    <w:p>
      <w:pPr>
        <w:spacing w:after="0" w:line="123" w:lineRule="exact"/>
        <w:rPr>
          <w:rFonts w:ascii="Times New Roman" w:cs="Times New Roman" w:eastAsia="Times New Roman" w:hAnsi="Times New Roman"/>
          <w:sz w:val="14"/>
          <w:szCs w:val="14"/>
          <w:b w:val="1"/>
          <w:bCs w:val="1"/>
          <w:color w:val="auto"/>
        </w:rPr>
      </w:pPr>
    </w:p>
    <w:p>
      <w:pPr>
        <w:ind w:left="7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Grosvenor Corner</w:t>
      </w:r>
    </w:p>
    <w:p>
      <w:pPr>
        <w:spacing w:after="0" w:line="24" w:lineRule="exact"/>
        <w:rPr>
          <w:rFonts w:ascii="Times New Roman" w:cs="Times New Roman" w:eastAsia="Times New Roman" w:hAnsi="Times New Roman"/>
          <w:sz w:val="14"/>
          <w:szCs w:val="14"/>
          <w:b w:val="1"/>
          <w:bCs w:val="1"/>
          <w:color w:val="auto"/>
        </w:rPr>
      </w:pPr>
    </w:p>
    <w:p>
      <w:pPr>
        <w:ind w:left="780" w:right="9000"/>
        <w:spacing w:after="0" w:line="27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195 Jan Smuts Ave JOHANNESBURG, 2196</w:t>
      </w:r>
    </w:p>
    <w:p>
      <w:pPr>
        <w:spacing w:after="0" w:line="136" w:lineRule="exact"/>
        <w:rPr>
          <w:rFonts w:ascii="Times New Roman" w:cs="Times New Roman" w:eastAsia="Times New Roman" w:hAnsi="Times New Roman"/>
          <w:sz w:val="14"/>
          <w:szCs w:val="14"/>
          <w:b w:val="1"/>
          <w:bCs w:val="1"/>
          <w:color w:val="auto"/>
        </w:rPr>
      </w:pPr>
    </w:p>
    <w:p>
      <w:pPr>
        <w:ind w:left="78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and agrees that all communications sent by ordinary post and addressed to the aforesaid domicilium by or on behalf of Capitec shall be deemed to have been delivered to and received by the Borrower within 7 days after the date of the communication. The Borrower may change this domicilium by giving Capitec 7 days written notice to that effect.</w:t>
      </w:r>
    </w:p>
    <w:p>
      <w:pPr>
        <w:spacing w:after="0" w:line="121" w:lineRule="exact"/>
        <w:rPr>
          <w:rFonts w:ascii="Times New Roman" w:cs="Times New Roman" w:eastAsia="Times New Roman" w:hAnsi="Times New Roman"/>
          <w:sz w:val="14"/>
          <w:szCs w:val="14"/>
          <w:b w:val="1"/>
          <w:bCs w:val="1"/>
          <w:color w:val="auto"/>
        </w:rPr>
      </w:pPr>
    </w:p>
    <w:p>
      <w:pPr>
        <w:ind w:left="780" w:hanging="774"/>
        <w:spacing w:after="0"/>
        <w:tabs>
          <w:tab w:leader="none" w:pos="780" w:val="left"/>
        </w:tabs>
        <w:numPr>
          <w:ilvl w:val="0"/>
          <w:numId w:val="1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Company to be incorporated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this Facility letter is signed by a person in the name of, or if a person, in respect of the Facility, purports to act in the name of or on behalf of an entity that is contemplated to be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incorporated in terms of the Companies Act 71 of 2008 (“the Act”) but which does not yet exist at the time, the following shall apply as conditions precedent:</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22.1</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company must be incorporated within 30 days of date hereof (unless such period has been extended by Capitec in writing) and written proof thereof submitted to Capitec on</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request</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22.2</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board of the company must within 3 months after the date on which the entity was incorporated, completely ratify this Facility letter and/or the actions contemplated herein, proof</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which must immediately be provided to Capitec. If the board of company has neither ratified nor rejected this Facility letter and/or the actions contemplated herein, the company</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must immediately provide Capitec with proof thereof, on receipt of which Capitec will give effect to this Facility letter and the company will be regarded to have ratified this Facility</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letter and/or the actions contemplated herein as provided in the Act;</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22.3</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Any person signing this Agreement shall be jointly and severally with the other persons who signed the Facility letter, where applicable, and personally liable for the liabilities created</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 provided in the Facility letter should the contemplated entity subsequently not be incorporated or if the company after incorporation rejects any part of this Facility letter;</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22.4</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Should the provisions of 22.1 to 22.3 not be complied with strictly in accordance with their terms, Capitec may withdraw the Facility, in which event the person(s) who signed the</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Facility letter as contemplated herein, shall be jointly and severally with the other persons who signed the Facility letter, where applicable and personally liable to immediately pay to</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Capitec all amounts outstanding under the Facility as well as fees, costs, expenses and/or disbursements incurred by Capitec as envisaged in the Facility letter.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7"/>
          <w:szCs w:val="17"/>
          <w:color w:val="auto"/>
        </w:rPr>
        <w:t>Annexure A - Page 17 of 24</w:t>
      </w:r>
    </w:p>
    <w:p>
      <w:pPr>
        <w:spacing w:after="0" w:line="346" w:lineRule="exact"/>
        <w:rPr>
          <w:sz w:val="20"/>
          <w:szCs w:val="20"/>
          <w:color w:val="auto"/>
        </w:rPr>
      </w:pPr>
    </w:p>
    <w:p>
      <w:pPr>
        <w:ind w:left="780" w:hanging="774"/>
        <w:spacing w:after="0"/>
        <w:tabs>
          <w:tab w:leader="none" w:pos="780" w:val="left"/>
        </w:tabs>
        <w:numPr>
          <w:ilvl w:val="0"/>
          <w:numId w:val="1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Indulgences</w:t>
      </w:r>
    </w:p>
    <w:p>
      <w:pPr>
        <w:spacing w:after="0" w:line="184" w:lineRule="exact"/>
        <w:rPr>
          <w:rFonts w:ascii="Times New Roman" w:cs="Times New Roman" w:eastAsia="Times New Roman" w:hAnsi="Times New Roman"/>
          <w:sz w:val="14"/>
          <w:szCs w:val="14"/>
          <w:b w:val="1"/>
          <w:bCs w:val="1"/>
          <w:color w:val="auto"/>
        </w:rPr>
      </w:pPr>
    </w:p>
    <w:p>
      <w:pPr>
        <w:ind w:left="78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extension or leniency of time that may be granted by Capitec to the Borrower for payment of any amount or performance of any obligation under this agreement shall not be construed as a waiver or novation of, and will not otherwise effect any of Capitec’s rights in terms hereof.</w:t>
      </w:r>
    </w:p>
    <w:p>
      <w:pPr>
        <w:spacing w:after="0" w:line="122" w:lineRule="exact"/>
        <w:rPr>
          <w:sz w:val="20"/>
          <w:szCs w:val="20"/>
          <w:color w:val="auto"/>
        </w:rPr>
      </w:pPr>
    </w:p>
    <w:p>
      <w:pPr>
        <w:ind w:left="780" w:hanging="774"/>
        <w:spacing w:after="0"/>
        <w:tabs>
          <w:tab w:leader="none" w:pos="780" w:val="left"/>
        </w:tabs>
        <w:numPr>
          <w:ilvl w:val="0"/>
          <w:numId w:val="1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24.1</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Notwithstanding anything else to the contrary contained herein, if the Facility(ies) or security referred to herein are subject to an existing instalment sale agreement or existing bond</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agreements or existing security agreements or any other written agreement, such agreements shall remain in full force and effect and the terms thereof shall not be</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varied/amended in any way whatsoever except as specifically agreed herein.</w:t>
            </w:r>
          </w:p>
        </w:tc>
      </w:tr>
      <w:tr>
        <w:trPr>
          <w:trHeight w:val="330"/>
        </w:trPr>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24.2</w:t>
            </w: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Capitec has granted a credit card, foreign exchange, automated clearing bureau, letter of credit, guarantee or instalment finance facility to the Borrower or any other type of facility</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which may be subject to other/further terms and conditions not recorded herein, such facility is subject to the Borrower signing Capitec’s required agreements and other documentation</w:t>
            </w:r>
          </w:p>
        </w:tc>
      </w:tr>
      <w:tr>
        <w:trPr>
          <w:trHeight w:val="172"/>
        </w:trPr>
        <w:tc>
          <w:tcPr>
            <w:tcW w:w="520" w:type="dxa"/>
            <w:vAlign w:val="bottom"/>
          </w:tcPr>
          <w:p>
            <w:pPr>
              <w:spacing w:after="0"/>
              <w:rPr>
                <w:sz w:val="14"/>
                <w:szCs w:val="14"/>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the Facility(ies) may be withdrawn at any time prior to the signing of such agreements and documentation. If there is a conflict between the provisions of such other agreement(s)</w:t>
            </w:r>
          </w:p>
        </w:tc>
      </w:tr>
      <w:tr>
        <w:trPr>
          <w:trHeight w:val="186"/>
        </w:trPr>
        <w:tc>
          <w:tcPr>
            <w:tcW w:w="520" w:type="dxa"/>
            <w:vAlign w:val="bottom"/>
          </w:tcPr>
          <w:p>
            <w:pPr>
              <w:spacing w:after="0"/>
              <w:rPr>
                <w:sz w:val="16"/>
                <w:szCs w:val="16"/>
                <w:color w:val="auto"/>
              </w:rPr>
            </w:pPr>
          </w:p>
        </w:tc>
        <w:tc>
          <w:tcPr>
            <w:tcW w:w="10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the provisions of the Facility letter, the provisions of the other agreement(s) will prevail.</w:t>
            </w:r>
          </w:p>
        </w:tc>
      </w:tr>
    </w:tbl>
    <w:p>
      <w:pPr>
        <w:spacing w:after="0" w:line="156" w:lineRule="exact"/>
        <w:rPr>
          <w:sz w:val="20"/>
          <w:szCs w:val="20"/>
          <w:color w:val="auto"/>
        </w:rPr>
      </w:pPr>
    </w:p>
    <w:p>
      <w:pPr>
        <w:ind w:left="780" w:hanging="774"/>
        <w:spacing w:after="0"/>
        <w:tabs>
          <w:tab w:leader="none" w:pos="780" w:val="left"/>
        </w:tabs>
        <w:numPr>
          <w:ilvl w:val="0"/>
          <w:numId w:val="1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Cession and Assignment</w:t>
      </w:r>
    </w:p>
    <w:p>
      <w:pPr>
        <w:spacing w:after="0" w:line="184" w:lineRule="exact"/>
        <w:rPr>
          <w:rFonts w:ascii="Times New Roman" w:cs="Times New Roman" w:eastAsia="Times New Roman" w:hAnsi="Times New Roman"/>
          <w:sz w:val="14"/>
          <w:szCs w:val="14"/>
          <w:b w:val="1"/>
          <w:bCs w:val="1"/>
          <w:color w:val="auto"/>
        </w:rPr>
      </w:pPr>
    </w:p>
    <w:p>
      <w:pPr>
        <w:ind w:left="78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Borrower shall not be entitled to cede, transfer or assign, partially or entirely, any of his rights or obligations under this agreement to a third party. Capitec may cede, transfer or assign, partially or entirely, any of its rights or obligations under this agreement.</w:t>
      </w:r>
    </w:p>
    <w:p>
      <w:pPr>
        <w:spacing w:after="0" w:line="121" w:lineRule="exact"/>
        <w:rPr>
          <w:rFonts w:ascii="Times New Roman" w:cs="Times New Roman" w:eastAsia="Times New Roman" w:hAnsi="Times New Roman"/>
          <w:sz w:val="14"/>
          <w:szCs w:val="14"/>
          <w:b w:val="1"/>
          <w:bCs w:val="1"/>
          <w:color w:val="auto"/>
        </w:rPr>
      </w:pPr>
    </w:p>
    <w:p>
      <w:pPr>
        <w:ind w:left="780" w:hanging="774"/>
        <w:spacing w:after="0"/>
        <w:tabs>
          <w:tab w:leader="none" w:pos="780" w:val="left"/>
        </w:tabs>
        <w:numPr>
          <w:ilvl w:val="0"/>
          <w:numId w:val="1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Consent and Condonation</w:t>
      </w:r>
    </w:p>
    <w:p>
      <w:pPr>
        <w:spacing w:after="0" w:line="184" w:lineRule="exact"/>
        <w:rPr>
          <w:rFonts w:ascii="Times New Roman" w:cs="Times New Roman" w:eastAsia="Times New Roman" w:hAnsi="Times New Roman"/>
          <w:sz w:val="14"/>
          <w:szCs w:val="14"/>
          <w:b w:val="1"/>
          <w:bCs w:val="1"/>
          <w:color w:val="auto"/>
        </w:rPr>
      </w:pPr>
    </w:p>
    <w:p>
      <w:pPr>
        <w:jc w:val="both"/>
        <w:ind w:left="780"/>
        <w:spacing w:after="0" w:line="26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Borrower consents and authorises Capitec to make enquiries concerning its credit history and/or conduct of accounts with any credit reference agencies and/or bank/s with which the Borrower has/had an account and to provide such agencies and/or banks with both positive and negative information regarding the conduct on the accounts of the Borrower held with Capitec. If Capitec made enquiries with any credit reference agencies and/or bank/s with which the Borrower has/had an account and/or provided such agencies and/or bank/s with both positive and negative information regarding the conduct on the accounts of the Borrower held with Capitec, prior to the signing of this Facility letter, the Borrower herewith condones such action/s of Capitec..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160260" cy="133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10700" w:type="dxa"/>
            <w:vAlign w:val="bottom"/>
          </w:tcPr>
          <w:p>
            <w:pPr>
              <w:ind w:left="8760"/>
              <w:spacing w:after="0"/>
              <w:rPr>
                <w:sz w:val="20"/>
                <w:szCs w:val="20"/>
                <w:color w:val="auto"/>
              </w:rPr>
            </w:pPr>
            <w:r>
              <w:rPr>
                <w:rFonts w:ascii="Times New Roman" w:cs="Times New Roman" w:eastAsia="Times New Roman" w:hAnsi="Times New Roman"/>
                <w:sz w:val="17"/>
                <w:szCs w:val="17"/>
                <w:color w:val="auto"/>
              </w:rPr>
              <w:t>Annexure A - Page 18 of 24</w:t>
            </w:r>
          </w:p>
        </w:tc>
      </w:tr>
      <w:tr>
        <w:trPr>
          <w:trHeight w:val="505"/>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27</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Arbitration</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 the purposes of this clause 27, the following words shall bear the meanings ascribed them hereunder:</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27.1.1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“Act” – the Arbitration Act No. 42 of 1965, as amended;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27.1.2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“Rules” – the Uniform Rules of Court regulating the conduct of the proceedings of the Provincial and Local Divisions of the High Court of South Africa, excluding Rule 23 thereof.</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Should any dispute arise between Capitec and the Borrower in relation to:</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interpretation of;</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27.2.2</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validity, enforceability or binding effect of;</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27.2.3</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carrying into effect of;</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27.2.4</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either of the parties’ rights and obligations arising from;</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27.2.5</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termination of or arising from the termination of;</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27.2.6</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rectification of; or</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27.2.7</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any document delivered by either of the parties arising from the terms of, this agreement, then that dispute shall be submitted to and decided by arbitration.</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27.3</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Either party may require a dispute to be referred to arbitration in terms of this clause by way of written notice to the other party.</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27.4</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Capitec, notwithstanding the provisions of this clause, shall be entitled, in its sole and absolute discretion, to submit any dispute to be decided by arbitration, or to institute legal</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proceedings.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27.5</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parties may, notwithstanding the provisions of this clause, claim interim relief on an urgent basis from a court with competent jurisdiction, in anticipation of the award of the</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arbitrator.</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27.6</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arbitration shall at the discretion of Capitec be held at Cape Town or Johannesburg.</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27.7</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arbitrator shall be a retired judge or practising senior advocate.</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27.8</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Should the parties fail to agree on an arbitrator within seven (7) days after the arbitration has been demanded, then the arbitrator shall be nominated and appointed, at the request of</w:t>
            </w:r>
          </w:p>
        </w:tc>
      </w:tr>
      <w:tr>
        <w:trPr>
          <w:trHeight w:val="186"/>
        </w:trPr>
        <w:tc>
          <w:tcPr>
            <w:tcW w:w="580" w:type="dxa"/>
            <w:vAlign w:val="bottom"/>
          </w:tcPr>
          <w:p>
            <w:pPr>
              <w:spacing w:after="0"/>
              <w:rPr>
                <w:sz w:val="16"/>
                <w:szCs w:val="16"/>
                <w:color w:val="auto"/>
              </w:rPr>
            </w:pP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any of the parties, by the Chairperson of the Cape or Johannesburg Bar Council.</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27.9</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 deciding the disputes and conducting the arbitration, the arbitrator shall have all such powers in the conduct of the arbitration as are conferred:</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27.9.1</w:t>
            </w:r>
          </w:p>
        </w:tc>
        <w:tc>
          <w:tcPr>
            <w:tcW w:w="10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by the provisions of the Act;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60260"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7"/>
          <w:szCs w:val="17"/>
          <w:color w:val="auto"/>
        </w:rPr>
        <w:t>Annexure A - Page 19 of 24</w:t>
      </w:r>
    </w:p>
    <w:p>
      <w:pPr>
        <w:spacing w:after="0" w:line="3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27.9.2</w:t>
      </w:r>
      <w:r>
        <w:rPr>
          <w:sz w:val="20"/>
          <w:szCs w:val="20"/>
          <w:color w:val="auto"/>
        </w:rPr>
        <w:tab/>
      </w:r>
      <w:r>
        <w:rPr>
          <w:rFonts w:ascii="Times New Roman" w:cs="Times New Roman" w:eastAsia="Times New Roman" w:hAnsi="Times New Roman"/>
          <w:sz w:val="14"/>
          <w:szCs w:val="14"/>
          <w:color w:val="auto"/>
        </w:rPr>
        <w:t>on a High Court judge under the Rules;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w:t>
      </w:r>
      <w:r>
        <w:rPr>
          <w:sz w:val="20"/>
          <w:szCs w:val="20"/>
          <w:color w:val="auto"/>
        </w:rPr>
        <w:tab/>
      </w:r>
      <w:r>
        <w:rPr>
          <w:rFonts w:ascii="Times New Roman" w:cs="Times New Roman" w:eastAsia="Times New Roman" w:hAnsi="Times New Roman"/>
          <w:sz w:val="14"/>
          <w:szCs w:val="14"/>
          <w:color w:val="auto"/>
        </w:rPr>
        <w:t>Without derogating from the above stated powers and for the purposes of ensuring an expeditious and cost-effective arbitral process, the arbitrator shall have the following powers:</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27.10.1</w:t>
      </w:r>
      <w:r>
        <w:rPr>
          <w:sz w:val="20"/>
          <w:szCs w:val="20"/>
          <w:color w:val="auto"/>
        </w:rPr>
        <w:tab/>
      </w:r>
      <w:r>
        <w:rPr>
          <w:rFonts w:ascii="Times New Roman" w:cs="Times New Roman" w:eastAsia="Times New Roman" w:hAnsi="Times New Roman"/>
          <w:sz w:val="14"/>
          <w:szCs w:val="14"/>
          <w:color w:val="auto"/>
        </w:rPr>
        <w:t>to consider and decide all interlocutory and interim issues in a manner determined by her/him, and to prescribe time limits for delivery of applications, affidavits and related documents in this regard notwithstanding, inter alia, the time limits prescribed in the Rules;</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27.10.2</w:t>
      </w:r>
      <w:r>
        <w:rPr>
          <w:sz w:val="20"/>
          <w:szCs w:val="20"/>
          <w:color w:val="auto"/>
        </w:rPr>
        <w:tab/>
      </w:r>
      <w:r>
        <w:rPr>
          <w:rFonts w:ascii="Times New Roman" w:cs="Times New Roman" w:eastAsia="Times New Roman" w:hAnsi="Times New Roman"/>
          <w:sz w:val="14"/>
          <w:szCs w:val="14"/>
          <w:color w:val="auto"/>
        </w:rPr>
        <w:t>failing agreement between the parties, to determine the date and times for the hearing of all interlocutory and interim applications, if necessary;</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27.10.3</w:t>
      </w:r>
      <w:r>
        <w:rPr>
          <w:sz w:val="20"/>
          <w:szCs w:val="20"/>
          <w:color w:val="auto"/>
        </w:rPr>
        <w:tab/>
      </w:r>
      <w:r>
        <w:rPr>
          <w:rFonts w:ascii="Times New Roman" w:cs="Times New Roman" w:eastAsia="Times New Roman" w:hAnsi="Times New Roman"/>
          <w:sz w:val="14"/>
          <w:szCs w:val="14"/>
          <w:color w:val="auto"/>
        </w:rPr>
        <w:t>to determine the timetable for the delivery of pleadings, discovery affidavits and requests for trial particulars;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27.10.4</w:t>
      </w:r>
      <w:r>
        <w:rPr>
          <w:sz w:val="20"/>
          <w:szCs w:val="20"/>
          <w:color w:val="auto"/>
        </w:rPr>
        <w:tab/>
      </w:r>
      <w:r>
        <w:rPr>
          <w:rFonts w:ascii="Times New Roman" w:cs="Times New Roman" w:eastAsia="Times New Roman" w:hAnsi="Times New Roman"/>
          <w:sz w:val="14"/>
          <w:szCs w:val="14"/>
          <w:color w:val="auto"/>
        </w:rPr>
        <w:t>to rule on her/his own jurisdiction, including rulings on any dispute in regard to the existence or validity of this clause 27 or the scope thereof;</w:t>
      </w:r>
    </w:p>
    <w:p>
      <w:pPr>
        <w:spacing w:after="0" w:line="183"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27.10.5</w:t>
      </w:r>
      <w:r>
        <w:rPr>
          <w:sz w:val="20"/>
          <w:szCs w:val="20"/>
          <w:color w:val="auto"/>
        </w:rPr>
        <w:tab/>
      </w:r>
      <w:r>
        <w:rPr>
          <w:rFonts w:ascii="Times New Roman" w:cs="Times New Roman" w:eastAsia="Times New Roman" w:hAnsi="Times New Roman"/>
          <w:sz w:val="14"/>
          <w:szCs w:val="14"/>
          <w:color w:val="auto"/>
        </w:rPr>
        <w:t>to permit any amendment to be made to the pleadings, and no such amendment shall derogate from his/her authority and/or jurisdiction to determine the disputes. For the avoidance of doubt, to the extent that the arbitrator in his/her discretion, permits any amendments to any pleadings, his jurisdiction to determine the disputes shall be extended as far as is necessary to enable him/her to determine the issues raised in the said amendment. Such powers shall include the right to make interim orders, rulings and cost orders;</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27.10.6</w:t>
      </w:r>
      <w:r>
        <w:rPr>
          <w:sz w:val="20"/>
          <w:szCs w:val="20"/>
          <w:color w:val="auto"/>
        </w:rPr>
        <w:tab/>
      </w:r>
      <w:r>
        <w:rPr>
          <w:rFonts w:ascii="Times New Roman" w:cs="Times New Roman" w:eastAsia="Times New Roman" w:hAnsi="Times New Roman"/>
          <w:sz w:val="14"/>
          <w:szCs w:val="14"/>
          <w:color w:val="auto"/>
        </w:rPr>
        <w:t>to receive evidence given by telecasting means affording all parties adequate opportunity of examining the witness giving such evidence;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27.10.7</w:t>
      </w:r>
      <w:r>
        <w:rPr>
          <w:sz w:val="20"/>
          <w:szCs w:val="20"/>
          <w:color w:val="auto"/>
        </w:rPr>
        <w:tab/>
      </w:r>
      <w:r>
        <w:rPr>
          <w:rFonts w:ascii="Times New Roman" w:cs="Times New Roman" w:eastAsia="Times New Roman" w:hAnsi="Times New Roman"/>
          <w:sz w:val="14"/>
          <w:szCs w:val="14"/>
          <w:color w:val="auto"/>
        </w:rPr>
        <w:t>to make an order of absolution from the instance;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27.10.8</w:t>
      </w:r>
      <w:r>
        <w:rPr>
          <w:sz w:val="20"/>
          <w:szCs w:val="20"/>
          <w:color w:val="auto"/>
        </w:rPr>
        <w:tab/>
      </w:r>
      <w:r>
        <w:rPr>
          <w:rFonts w:ascii="Times New Roman" w:cs="Times New Roman" w:eastAsia="Times New Roman" w:hAnsi="Times New Roman"/>
          <w:sz w:val="14"/>
          <w:szCs w:val="14"/>
          <w:color w:val="auto"/>
        </w:rPr>
        <w:t>to proceed with the arbitration and make an award in the absence of or without hearing any party who is in default or fails to appear or to comply with any ruling or interim award;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27.10.9</w:t>
      </w:r>
      <w:r>
        <w:rPr>
          <w:sz w:val="20"/>
          <w:szCs w:val="20"/>
          <w:color w:val="auto"/>
        </w:rPr>
        <w:tab/>
      </w:r>
      <w:r>
        <w:rPr>
          <w:rFonts w:ascii="Times New Roman" w:cs="Times New Roman" w:eastAsia="Times New Roman" w:hAnsi="Times New Roman"/>
          <w:sz w:val="14"/>
          <w:szCs w:val="14"/>
          <w:color w:val="auto"/>
        </w:rPr>
        <w:t>to order any party who is a claimant, or claimant under a counterclaim, to furnish security for costs in respect of her/his claim or counterclaim;</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27.10.10</w:t>
      </w:r>
      <w:r>
        <w:rPr>
          <w:sz w:val="20"/>
          <w:szCs w:val="20"/>
          <w:color w:val="auto"/>
        </w:rPr>
        <w:tab/>
      </w:r>
      <w:r>
        <w:rPr>
          <w:rFonts w:ascii="Times New Roman" w:cs="Times New Roman" w:eastAsia="Times New Roman" w:hAnsi="Times New Roman"/>
          <w:sz w:val="14"/>
          <w:szCs w:val="14"/>
          <w:color w:val="auto"/>
        </w:rPr>
        <w:t>to make any costs order;</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27.10.11</w:t>
      </w:r>
      <w:r>
        <w:rPr>
          <w:sz w:val="20"/>
          <w:szCs w:val="20"/>
          <w:color w:val="auto"/>
        </w:rPr>
        <w:tab/>
      </w:r>
      <w:r>
        <w:rPr>
          <w:rFonts w:ascii="Times New Roman" w:cs="Times New Roman" w:eastAsia="Times New Roman" w:hAnsi="Times New Roman"/>
          <w:sz w:val="14"/>
          <w:szCs w:val="14"/>
          <w:color w:val="auto"/>
        </w:rPr>
        <w:t>to rule on any legal dispute arising from the taxation of any bill of costs, whether arising out of the arbitration or an appeal;</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w:t>
      </w:r>
      <w:r>
        <w:rPr>
          <w:sz w:val="20"/>
          <w:szCs w:val="20"/>
          <w:color w:val="auto"/>
        </w:rPr>
        <w:tab/>
      </w:r>
      <w:r>
        <w:rPr>
          <w:rFonts w:ascii="Times New Roman" w:cs="Times New Roman" w:eastAsia="Times New Roman" w:hAnsi="Times New Roman"/>
          <w:sz w:val="14"/>
          <w:szCs w:val="14"/>
          <w:color w:val="auto"/>
        </w:rPr>
        <w:t>failing agreement between the parties, to determine: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27.10.12.1</w:t>
        <w:tab/>
        <w:t>the dates, time and venue of the arbitration hearing;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160260" cy="133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7"/>
          <w:szCs w:val="17"/>
          <w:color w:val="auto"/>
        </w:rPr>
        <w:t>Annexure A - Page 20 of 24</w:t>
      </w:r>
    </w:p>
    <w:p>
      <w:pPr>
        <w:spacing w:after="0" w:line="3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27.10.12.2</w:t>
        <w:tab/>
        <w:t>that the arbitration hearing shall take place by way of video-conference;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27.10.12.3</w:t>
        <w:tab/>
        <w:t>the status of documents discovered;</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27.10.12.4</w:t>
        <w:tab/>
        <w:t>the dates for delivery of expert notices;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27.10.12.5</w:t>
        <w:tab/>
        <w:t>the date and time of a pre-arbitration meeting;</w:t>
      </w:r>
    </w:p>
    <w:p>
      <w:pPr>
        <w:spacing w:after="0" w:line="183" w:lineRule="exact"/>
        <w:rPr>
          <w:sz w:val="20"/>
          <w:szCs w:val="20"/>
          <w:color w:val="auto"/>
        </w:rPr>
      </w:pPr>
    </w:p>
    <w:p>
      <w:pPr>
        <w:jc w:val="both"/>
        <w:ind w:left="780" w:hanging="772"/>
        <w:spacing w:after="0" w:line="266" w:lineRule="auto"/>
        <w:tabs>
          <w:tab w:leader="none" w:pos="760" w:val="left"/>
        </w:tabs>
        <w:rPr>
          <w:sz w:val="20"/>
          <w:szCs w:val="20"/>
          <w:color w:val="auto"/>
        </w:rPr>
      </w:pPr>
      <w:r>
        <w:rPr>
          <w:rFonts w:ascii="Times New Roman" w:cs="Times New Roman" w:eastAsia="Times New Roman" w:hAnsi="Times New Roman"/>
          <w:sz w:val="14"/>
          <w:szCs w:val="14"/>
          <w:color w:val="auto"/>
        </w:rPr>
        <w:t>27.10.12.6</w:t>
        <w:tab/>
        <w:t>the language or languages in which the proceedings shall be conducted, and the award made, and which party shall have the duty to provide for the services of an interpreter if required;</w:t>
      </w:r>
    </w:p>
    <w:p>
      <w:pPr>
        <w:spacing w:after="0" w:line="3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27.10.12.7</w:t>
        <w:tab/>
        <w:t>the party responsible for the compilation of a trial bundle;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27.10.12.8</w:t>
        <w:tab/>
        <w:t>the application of the Rules relating to discovery, expert evidence and requests for further particulars for purposes of trial;</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27.10.12.9</w:t>
        <w:tab/>
        <w:t>the manner in which notices, pleadings and any documentation relating to the arbitration will be effected; 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27.10.12.10  the party responsible for the recording of the hearing.</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27.11</w:t>
      </w:r>
      <w:r>
        <w:rPr>
          <w:sz w:val="20"/>
          <w:szCs w:val="20"/>
          <w:color w:val="auto"/>
        </w:rPr>
        <w:tab/>
      </w:r>
      <w:r>
        <w:rPr>
          <w:rFonts w:ascii="Times New Roman" w:cs="Times New Roman" w:eastAsia="Times New Roman" w:hAnsi="Times New Roman"/>
          <w:sz w:val="14"/>
          <w:szCs w:val="14"/>
          <w:color w:val="auto"/>
        </w:rPr>
        <w:t>The arbitration hearing will be governed by the provisions of the Act and the Rules and in the event of a conflict between the Act and the Rules, the Rules will apply.</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27.12</w:t>
      </w:r>
      <w:r>
        <w:rPr>
          <w:sz w:val="20"/>
          <w:szCs w:val="20"/>
          <w:color w:val="auto"/>
        </w:rPr>
        <w:tab/>
      </w:r>
      <w:r>
        <w:rPr>
          <w:rFonts w:ascii="Times New Roman" w:cs="Times New Roman" w:eastAsia="Times New Roman" w:hAnsi="Times New Roman"/>
          <w:sz w:val="14"/>
          <w:szCs w:val="14"/>
          <w:color w:val="auto"/>
        </w:rPr>
        <w:t>It is agreed that, pending the arbitrator’s determination of liability for costs, the parties will be liable pro tem in equal shares for the said costs which includes the fees of the arbitrator.</w:t>
      </w:r>
    </w:p>
    <w:p>
      <w:pPr>
        <w:spacing w:after="0" w:line="183" w:lineRule="exact"/>
        <w:rPr>
          <w:sz w:val="20"/>
          <w:szCs w:val="20"/>
          <w:color w:val="auto"/>
        </w:rPr>
      </w:pPr>
    </w:p>
    <w:p>
      <w:pPr>
        <w:jc w:val="both"/>
        <w:ind w:left="780" w:hanging="772"/>
        <w:spacing w:after="0" w:line="268" w:lineRule="auto"/>
        <w:tabs>
          <w:tab w:leader="none" w:pos="760" w:val="left"/>
        </w:tabs>
        <w:rPr>
          <w:sz w:val="20"/>
          <w:szCs w:val="20"/>
          <w:color w:val="auto"/>
        </w:rPr>
      </w:pPr>
      <w:r>
        <w:rPr>
          <w:rFonts w:ascii="Times New Roman" w:cs="Times New Roman" w:eastAsia="Times New Roman" w:hAnsi="Times New Roman"/>
          <w:sz w:val="14"/>
          <w:szCs w:val="14"/>
          <w:color w:val="auto"/>
        </w:rPr>
        <w:t>27.13</w:t>
      </w:r>
      <w:r>
        <w:rPr>
          <w:sz w:val="20"/>
          <w:szCs w:val="20"/>
          <w:color w:val="auto"/>
        </w:rPr>
        <w:tab/>
      </w:r>
      <w:r>
        <w:rPr>
          <w:rFonts w:ascii="Times New Roman" w:cs="Times New Roman" w:eastAsia="Times New Roman" w:hAnsi="Times New Roman"/>
          <w:sz w:val="14"/>
          <w:szCs w:val="14"/>
          <w:color w:val="auto"/>
        </w:rPr>
        <w:t>The parties will have a right of appeal against the arbitrator’s final award to an appeal panel. A party desiring to appeal shall be entitled to do so without the need to obtain leave to appeal. Either party intending to exercise a right of appeal must give notice of its intention to appeal by delivery a notice of appeal within 20 (twenty) days of the arbitrator’s award being published. Thereafter the appeal procedure will be in terms of the Rules of the Supreme Court of Appeal, subject to the overriding discretion of the appeal panel to regulate the proceedings.</w:t>
      </w:r>
    </w:p>
    <w:p>
      <w:pPr>
        <w:spacing w:after="0" w:line="1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27.14</w:t>
      </w:r>
      <w:r>
        <w:rPr>
          <w:sz w:val="20"/>
          <w:szCs w:val="20"/>
          <w:color w:val="auto"/>
        </w:rPr>
        <w:tab/>
      </w:r>
      <w:r>
        <w:rPr>
          <w:rFonts w:ascii="Times New Roman" w:cs="Times New Roman" w:eastAsia="Times New Roman" w:hAnsi="Times New Roman"/>
          <w:sz w:val="14"/>
          <w:szCs w:val="14"/>
          <w:color w:val="auto"/>
        </w:rPr>
        <w:t>The nature of the appeal and cross-appeal, and the powers of the arbitrators appointed, shall be the same as if it were a civil appeal to the Supreme Court of Appeal.</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27.15</w:t>
      </w:r>
      <w:r>
        <w:rPr>
          <w:sz w:val="20"/>
          <w:szCs w:val="20"/>
          <w:color w:val="auto"/>
        </w:rPr>
        <w:tab/>
      </w:r>
      <w:r>
        <w:rPr>
          <w:rFonts w:ascii="Times New Roman" w:cs="Times New Roman" w:eastAsia="Times New Roman" w:hAnsi="Times New Roman"/>
          <w:sz w:val="14"/>
          <w:szCs w:val="14"/>
          <w:color w:val="auto"/>
        </w:rPr>
        <w:t>The appeal will be heard by a panel of 3 (three) appeal arbitrators. The appeal arbitrators will be appointed from senior counsel and or retired judges.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27.16</w:t>
      </w:r>
      <w:r>
        <w:rPr>
          <w:sz w:val="20"/>
          <w:szCs w:val="20"/>
          <w:color w:val="auto"/>
        </w:rPr>
        <w:tab/>
      </w:r>
      <w:r>
        <w:rPr>
          <w:rFonts w:ascii="Times New Roman" w:cs="Times New Roman" w:eastAsia="Times New Roman" w:hAnsi="Times New Roman"/>
          <w:sz w:val="14"/>
          <w:szCs w:val="14"/>
          <w:color w:val="auto"/>
        </w:rPr>
        <w:t>The appeal panel will be appointed as follows: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27.16.1</w:t>
      </w:r>
      <w:r>
        <w:rPr>
          <w:sz w:val="20"/>
          <w:szCs w:val="20"/>
          <w:color w:val="auto"/>
        </w:rPr>
        <w:tab/>
      </w:r>
      <w:r>
        <w:rPr>
          <w:rFonts w:ascii="Times New Roman" w:cs="Times New Roman" w:eastAsia="Times New Roman" w:hAnsi="Times New Roman"/>
          <w:sz w:val="14"/>
          <w:szCs w:val="14"/>
          <w:color w:val="auto"/>
        </w:rPr>
        <w:t>Capitec will nominate one member of the appeal panel and the Borrower will nominate one member;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160260" cy="133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7"/>
          <w:szCs w:val="17"/>
          <w:color w:val="auto"/>
        </w:rPr>
        <w:t>Annexure A - Page 21 of 24</w:t>
      </w:r>
    </w:p>
    <w:p>
      <w:pPr>
        <w:spacing w:after="0" w:line="348"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27.16.2</w:t>
      </w:r>
      <w:r>
        <w:rPr>
          <w:sz w:val="20"/>
          <w:szCs w:val="20"/>
          <w:color w:val="auto"/>
        </w:rPr>
        <w:tab/>
      </w:r>
      <w:r>
        <w:rPr>
          <w:rFonts w:ascii="Times New Roman" w:cs="Times New Roman" w:eastAsia="Times New Roman" w:hAnsi="Times New Roman"/>
          <w:sz w:val="14"/>
          <w:szCs w:val="14"/>
          <w:color w:val="auto"/>
        </w:rPr>
        <w:t>unless the parties can agree on the third member to be appointed, those members of the panel nominated by the parties shall nominate the third member of the appeal panel who will act as chairman.</w:t>
      </w:r>
    </w:p>
    <w:p>
      <w:pPr>
        <w:spacing w:after="0" w:line="124"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27.17</w:t>
      </w:r>
      <w:r>
        <w:rPr>
          <w:sz w:val="20"/>
          <w:szCs w:val="20"/>
          <w:color w:val="auto"/>
        </w:rPr>
        <w:tab/>
      </w:r>
      <w:r>
        <w:rPr>
          <w:rFonts w:ascii="Times New Roman" w:cs="Times New Roman" w:eastAsia="Times New Roman" w:hAnsi="Times New Roman"/>
          <w:sz w:val="14"/>
          <w:szCs w:val="14"/>
          <w:color w:val="auto"/>
        </w:rPr>
        <w:t>The parties will, in conjunction with the appeal panel, agree on the dates for the filing of heads of argument and a date and venue for the hearing of the appeal. In the event of agreement not being reached on the date for the filing of heads of argument and the date and venue for the hearing of the appeal, the appeal panel will rule on the dates and venue.</w:t>
      </w:r>
    </w:p>
    <w:p>
      <w:pPr>
        <w:spacing w:after="0" w:line="124"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27.18</w:t>
      </w:r>
      <w:r>
        <w:rPr>
          <w:sz w:val="20"/>
          <w:szCs w:val="20"/>
          <w:color w:val="auto"/>
        </w:rPr>
        <w:tab/>
      </w:r>
      <w:r>
        <w:rPr>
          <w:rFonts w:ascii="Times New Roman" w:cs="Times New Roman" w:eastAsia="Times New Roman" w:hAnsi="Times New Roman"/>
          <w:sz w:val="14"/>
          <w:szCs w:val="14"/>
          <w:color w:val="auto"/>
        </w:rPr>
        <w:t>The costs of any appeal shall be borne by both parties on an equal basis until the final award of the appeal arbitrators is published, and when such costs will be determined by the appeal arbitrators.</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27.19</w:t>
      </w:r>
      <w:r>
        <w:rPr>
          <w:sz w:val="20"/>
          <w:szCs w:val="20"/>
          <w:color w:val="auto"/>
        </w:rPr>
        <w:tab/>
      </w:r>
      <w:r>
        <w:rPr>
          <w:rFonts w:ascii="Times New Roman" w:cs="Times New Roman" w:eastAsia="Times New Roman" w:hAnsi="Times New Roman"/>
          <w:sz w:val="14"/>
          <w:szCs w:val="14"/>
          <w:color w:val="auto"/>
        </w:rPr>
        <w:t>The award of the costs shall be taxed by the appeal arbitrators in accordance with clause 27.10.11 above.</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27.20</w:t>
      </w:r>
      <w:r>
        <w:rPr>
          <w:sz w:val="20"/>
          <w:szCs w:val="20"/>
          <w:color w:val="auto"/>
        </w:rPr>
        <w:tab/>
      </w:r>
      <w:r>
        <w:rPr>
          <w:rFonts w:ascii="Times New Roman" w:cs="Times New Roman" w:eastAsia="Times New Roman" w:hAnsi="Times New Roman"/>
          <w:sz w:val="14"/>
          <w:szCs w:val="14"/>
          <w:color w:val="auto"/>
        </w:rPr>
        <w:t>In the event of either party exercising its right of appeal, it will not be necessary for an appeal record, duly cross-referenced, to be prepared. Instead the bundles of documents and pleadings that served before the arbitrator a quo, together with a transcript of the arbitration hearing and award, will serve as the appeal record.</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27.21</w:t>
      </w:r>
      <w:r>
        <w:rPr>
          <w:sz w:val="20"/>
          <w:szCs w:val="20"/>
          <w:color w:val="auto"/>
        </w:rPr>
        <w:tab/>
      </w:r>
      <w:r>
        <w:rPr>
          <w:rFonts w:ascii="Times New Roman" w:cs="Times New Roman" w:eastAsia="Times New Roman" w:hAnsi="Times New Roman"/>
          <w:sz w:val="14"/>
          <w:szCs w:val="14"/>
          <w:color w:val="auto"/>
        </w:rPr>
        <w:t>The award of the appeal panel shall be final and binding on the parties.</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27.22</w:t>
      </w:r>
      <w:r>
        <w:rPr>
          <w:sz w:val="20"/>
          <w:szCs w:val="20"/>
          <w:color w:val="auto"/>
        </w:rPr>
        <w:tab/>
      </w:r>
      <w:r>
        <w:rPr>
          <w:rFonts w:ascii="Times New Roman" w:cs="Times New Roman" w:eastAsia="Times New Roman" w:hAnsi="Times New Roman"/>
          <w:sz w:val="14"/>
          <w:szCs w:val="14"/>
          <w:color w:val="auto"/>
        </w:rPr>
        <w:t>Either of the parties shall be entitled to have the award of the arbitrator or the award of the appeal tribunal, as the case may be, made an order of a court with competent jurisdiction.</w:t>
      </w:r>
    </w:p>
    <w:p>
      <w:pPr>
        <w:spacing w:after="0" w:line="183" w:lineRule="exact"/>
        <w:rPr>
          <w:sz w:val="20"/>
          <w:szCs w:val="20"/>
          <w:color w:val="auto"/>
        </w:rPr>
      </w:pPr>
    </w:p>
    <w:p>
      <w:pPr>
        <w:jc w:val="both"/>
        <w:ind w:left="780" w:hanging="772"/>
        <w:spacing w:after="0" w:line="274" w:lineRule="auto"/>
        <w:tabs>
          <w:tab w:leader="none" w:pos="760" w:val="left"/>
        </w:tabs>
        <w:rPr>
          <w:sz w:val="20"/>
          <w:szCs w:val="20"/>
          <w:color w:val="auto"/>
        </w:rPr>
      </w:pPr>
      <w:r>
        <w:rPr>
          <w:rFonts w:ascii="Times New Roman" w:cs="Times New Roman" w:eastAsia="Times New Roman" w:hAnsi="Times New Roman"/>
          <w:sz w:val="14"/>
          <w:szCs w:val="14"/>
          <w:color w:val="auto"/>
        </w:rPr>
        <w:t>27.23</w:t>
      </w:r>
      <w:r>
        <w:rPr>
          <w:sz w:val="20"/>
          <w:szCs w:val="20"/>
          <w:color w:val="auto"/>
        </w:rPr>
        <w:tab/>
      </w:r>
      <w:r>
        <w:rPr>
          <w:rFonts w:ascii="Times New Roman" w:cs="Times New Roman" w:eastAsia="Times New Roman" w:hAnsi="Times New Roman"/>
          <w:sz w:val="14"/>
          <w:szCs w:val="14"/>
          <w:color w:val="auto"/>
        </w:rPr>
        <w:t>An independent cost consultant, whose identity will be agreed between the parties, will be appointed to adjudicate on costs arising out of the arbitration proceedings from inception to finality. The decision of such cost consultant will be final and binding and may, at the instance of either party, be incorporated into the award made by the arbitrator, ex post facto. In the event that the parties are unable to agree on the identity of such cost consultant, the arbitrator will make an appropriate appointment in his/her discretion.</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27.24</w:t>
      </w:r>
      <w:r>
        <w:rPr>
          <w:sz w:val="20"/>
          <w:szCs w:val="20"/>
          <w:color w:val="auto"/>
        </w:rPr>
        <w:tab/>
      </w:r>
      <w:r>
        <w:rPr>
          <w:rFonts w:ascii="Times New Roman" w:cs="Times New Roman" w:eastAsia="Times New Roman" w:hAnsi="Times New Roman"/>
          <w:sz w:val="14"/>
          <w:szCs w:val="14"/>
          <w:color w:val="auto"/>
        </w:rPr>
        <w:t>The provisions of this clause:</w:t>
      </w:r>
    </w:p>
    <w:p>
      <w:pPr>
        <w:spacing w:after="0" w:line="183" w:lineRule="exact"/>
        <w:rPr>
          <w:sz w:val="20"/>
          <w:szCs w:val="20"/>
          <w:color w:val="auto"/>
        </w:rPr>
      </w:pPr>
    </w:p>
    <w:p>
      <w:pPr>
        <w:jc w:val="both"/>
        <w:ind w:left="780" w:hanging="772"/>
        <w:spacing w:after="0" w:line="292" w:lineRule="auto"/>
        <w:tabs>
          <w:tab w:leader="none" w:pos="760" w:val="left"/>
        </w:tabs>
        <w:rPr>
          <w:sz w:val="20"/>
          <w:szCs w:val="20"/>
          <w:color w:val="auto"/>
        </w:rPr>
      </w:pPr>
      <w:r>
        <w:rPr>
          <w:rFonts w:ascii="Times New Roman" w:cs="Times New Roman" w:eastAsia="Times New Roman" w:hAnsi="Times New Roman"/>
          <w:sz w:val="14"/>
          <w:szCs w:val="14"/>
          <w:color w:val="auto"/>
        </w:rPr>
        <w:t>27.24.1</w:t>
      </w:r>
      <w:r>
        <w:rPr>
          <w:sz w:val="20"/>
          <w:szCs w:val="20"/>
          <w:color w:val="auto"/>
        </w:rPr>
        <w:tab/>
      </w:r>
      <w:r>
        <w:rPr>
          <w:rFonts w:ascii="Times New Roman" w:cs="Times New Roman" w:eastAsia="Times New Roman" w:hAnsi="Times New Roman"/>
          <w:sz w:val="14"/>
          <w:szCs w:val="14"/>
          <w:color w:val="auto"/>
        </w:rPr>
        <w:t>constitute an irrevocable consent by the parties to any proceedings in terms hereof and neither of the parties shall be entitled to withdraw from it or to claim or to state at such proceedings that it is not bound by the terms of this clause; and</w:t>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color w:val="auto"/>
        </w:rPr>
        <w:t>27.24.2</w:t>
      </w:r>
      <w:r>
        <w:rPr>
          <w:sz w:val="20"/>
          <w:szCs w:val="20"/>
          <w:color w:val="auto"/>
        </w:rPr>
        <w:tab/>
      </w:r>
      <w:r>
        <w:rPr>
          <w:rFonts w:ascii="Times New Roman" w:cs="Times New Roman" w:eastAsia="Times New Roman" w:hAnsi="Times New Roman"/>
          <w:sz w:val="14"/>
          <w:szCs w:val="14"/>
          <w:color w:val="auto"/>
        </w:rPr>
        <w:t>are severable from this agreement and shall remain in force, notwithstanding the termination of, or the invalidity for whatsoever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160260"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7"/>
          <w:szCs w:val="17"/>
          <w:color w:val="auto"/>
        </w:rPr>
        <w:t>Annexure A - Page 22 of 24</w:t>
      </w:r>
    </w:p>
    <w:p>
      <w:pPr>
        <w:spacing w:after="0" w:line="346" w:lineRule="exact"/>
        <w:rPr>
          <w:sz w:val="20"/>
          <w:szCs w:val="20"/>
          <w:color w:val="auto"/>
        </w:rPr>
      </w:pPr>
    </w:p>
    <w:p>
      <w:pPr>
        <w:ind w:left="780" w:hanging="774"/>
        <w:spacing w:after="0"/>
        <w:tabs>
          <w:tab w:leader="none" w:pos="780" w:val="left"/>
        </w:tabs>
        <w:numPr>
          <w:ilvl w:val="0"/>
          <w:numId w:val="1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Value Added Services</w:t>
      </w:r>
    </w:p>
    <w:p>
      <w:pPr>
        <w:spacing w:after="0" w:line="182" w:lineRule="exact"/>
        <w:rPr>
          <w:rFonts w:ascii="Times New Roman" w:cs="Times New Roman" w:eastAsia="Times New Roman" w:hAnsi="Times New Roman"/>
          <w:sz w:val="14"/>
          <w:szCs w:val="14"/>
          <w:b w:val="1"/>
          <w:bCs w:val="1"/>
          <w:color w:val="auto"/>
        </w:rPr>
      </w:pPr>
    </w:p>
    <w:p>
      <w:pPr>
        <w:ind w:left="7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Personalised automated and non- automated communications:</w:t>
      </w:r>
    </w:p>
    <w:p>
      <w:pPr>
        <w:spacing w:after="0" w:line="182" w:lineRule="exact"/>
        <w:rPr>
          <w:rFonts w:ascii="Times New Roman" w:cs="Times New Roman" w:eastAsia="Times New Roman" w:hAnsi="Times New Roman"/>
          <w:sz w:val="14"/>
          <w:szCs w:val="14"/>
          <w:b w:val="1"/>
          <w:bCs w:val="1"/>
          <w:color w:val="auto"/>
        </w:rPr>
      </w:pPr>
    </w:p>
    <w:p>
      <w:pPr>
        <w:jc w:val="both"/>
        <w:ind w:left="78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To assist you, the Borrower, with personalised financial services while protecting your personal information, Capitec undertakes to responsibly process personal information (as defined in the Protection of Personal Information Act 4 of 2013) relating to the Borrower, as an identifiable existing juristic person, as well as relevant transactional data to provide additional value to Borrowers through the following processing activities:</w:t>
      </w:r>
    </w:p>
    <w:p>
      <w:pPr>
        <w:spacing w:after="0" w:line="133" w:lineRule="exact"/>
        <w:rPr>
          <w:rFonts w:ascii="Times New Roman" w:cs="Times New Roman" w:eastAsia="Times New Roman" w:hAnsi="Times New Roman"/>
          <w:sz w:val="14"/>
          <w:szCs w:val="14"/>
          <w:b w:val="1"/>
          <w:bCs w:val="1"/>
          <w:color w:val="auto"/>
        </w:rPr>
      </w:pPr>
    </w:p>
    <w:p>
      <w:pPr>
        <w:ind w:left="1040" w:hanging="261"/>
        <w:spacing w:after="0"/>
        <w:tabs>
          <w:tab w:leader="none" w:pos="104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Analyse the type of transactions performed to provide insights and make recommendations where appropriate (Insights and Next Best Actions)</w:t>
      </w:r>
    </w:p>
    <w:p>
      <w:pPr>
        <w:spacing w:after="0" w:line="182" w:lineRule="exact"/>
        <w:rPr>
          <w:rFonts w:ascii="Times New Roman" w:cs="Times New Roman" w:eastAsia="Times New Roman" w:hAnsi="Times New Roman"/>
          <w:sz w:val="14"/>
          <w:szCs w:val="14"/>
          <w:color w:val="auto"/>
        </w:rPr>
      </w:pPr>
    </w:p>
    <w:p>
      <w:pPr>
        <w:ind w:left="1040" w:hanging="261"/>
        <w:spacing w:after="0" w:line="295" w:lineRule="auto"/>
        <w:tabs>
          <w:tab w:leader="none" w:pos="104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Analyse usage data to provide the Borrower with personalised/customised information relating to product and services that may benefit the Borrower (Behavioural/Marketing)</w:t>
      </w:r>
    </w:p>
    <w:p>
      <w:pPr>
        <w:spacing w:after="0" w:line="119" w:lineRule="exact"/>
        <w:rPr>
          <w:rFonts w:ascii="Times New Roman" w:cs="Times New Roman" w:eastAsia="Times New Roman" w:hAnsi="Times New Roman"/>
          <w:sz w:val="14"/>
          <w:szCs w:val="14"/>
          <w:color w:val="auto"/>
        </w:rPr>
      </w:pPr>
    </w:p>
    <w:p>
      <w:pPr>
        <w:ind w:left="1040" w:hanging="261"/>
        <w:spacing w:after="0"/>
        <w:tabs>
          <w:tab w:leader="none" w:pos="104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Pre-assesses the Borrower in order to give you further access to products and services, limit changes, discounts and incentives (Pre-assessments)</w:t>
      </w:r>
    </w:p>
    <w:p>
      <w:pPr>
        <w:spacing w:after="0" w:line="182" w:lineRule="exact"/>
        <w:rPr>
          <w:rFonts w:ascii="Times New Roman" w:cs="Times New Roman" w:eastAsia="Times New Roman" w:hAnsi="Times New Roman"/>
          <w:sz w:val="14"/>
          <w:szCs w:val="14"/>
          <w:color w:val="auto"/>
        </w:rPr>
      </w:pPr>
    </w:p>
    <w:p>
      <w:pPr>
        <w:ind w:left="1040" w:hanging="261"/>
        <w:spacing w:after="0"/>
        <w:tabs>
          <w:tab w:leader="none" w:pos="104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Statistical and other analysis to evaluate and improve existing and new personalized/customised products and services to benefit Borrowers. (Analysis)</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Collection and/or Sharing with Third- Parties:</w:t>
      </w:r>
    </w:p>
    <w:p>
      <w:pPr>
        <w:spacing w:after="0" w:line="183" w:lineRule="exact"/>
        <w:rPr>
          <w:sz w:val="20"/>
          <w:szCs w:val="20"/>
          <w:color w:val="auto"/>
        </w:rPr>
      </w:pPr>
    </w:p>
    <w:p>
      <w:pPr>
        <w:jc w:val="both"/>
        <w:ind w:left="780"/>
        <w:spacing w:after="0" w:line="264" w:lineRule="auto"/>
        <w:rPr>
          <w:sz w:val="20"/>
          <w:szCs w:val="20"/>
          <w:color w:val="auto"/>
        </w:rPr>
      </w:pPr>
      <w:r>
        <w:rPr>
          <w:rFonts w:ascii="Times New Roman" w:cs="Times New Roman" w:eastAsia="Times New Roman" w:hAnsi="Times New Roman"/>
          <w:sz w:val="14"/>
          <w:szCs w:val="14"/>
          <w:b w:val="1"/>
          <w:bCs w:val="1"/>
          <w:color w:val="auto"/>
        </w:rPr>
        <w:t>Capitec may process personal information (as defined in the Protection of Personal Information Act 4 of 2013) including such personal information relating, where applicable, to the Borrower as an identifiable existing juristic person and information collected from third parties. This processing may include, but is not limited to, the sharing of information with third parties, locally and outside the country, as well as within the Capitec Group (Capitec Bank Holdings Limited and Capitec Bank Limited and their subsidiaries) to provide Borrowers with new/improved products and services, and/or personalized offers to your benefit and for the continued performance contractual rights and obligations. Third parties must comply with our privacy policies and applicable law. Our personal information processing practices are more fully described on our Privacy Centre on the Capitec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160260" cy="133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7"/>
          <w:szCs w:val="17"/>
          <w:color w:val="auto"/>
        </w:rPr>
        <w:t>Annexure A - Page 23 of 24</w:t>
      </w:r>
    </w:p>
    <w:p>
      <w:pPr>
        <w:spacing w:after="0" w:line="346" w:lineRule="exact"/>
        <w:rPr>
          <w:sz w:val="20"/>
          <w:szCs w:val="20"/>
          <w:color w:val="auto"/>
        </w:rPr>
      </w:pPr>
    </w:p>
    <w:p>
      <w:pPr>
        <w:ind w:left="780" w:hanging="774"/>
        <w:spacing w:after="0"/>
        <w:tabs>
          <w:tab w:leader="none" w:pos="780" w:val="left"/>
        </w:tabs>
        <w:numPr>
          <w:ilvl w:val="0"/>
          <w:numId w:val="1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Data Protection</w:t>
      </w:r>
    </w:p>
    <w:p>
      <w:pPr>
        <w:spacing w:after="0" w:line="182" w:lineRule="exact"/>
        <w:rPr>
          <w:rFonts w:ascii="Times New Roman" w:cs="Times New Roman" w:eastAsia="Times New Roman" w:hAnsi="Times New Roman"/>
          <w:sz w:val="14"/>
          <w:szCs w:val="14"/>
          <w:b w:val="1"/>
          <w:bCs w:val="1"/>
          <w:color w:val="auto"/>
        </w:rPr>
      </w:pPr>
    </w:p>
    <w:p>
      <w:pPr>
        <w:jc w:val="both"/>
        <w:ind w:left="78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Capitec respects the Borrower’s privacy and Capitec processes the Borrower’s personal information lawfully to the extent necessary to provide the Borrower with quality, secure and affordable products and services. Capitec’s personal information processing practices are more fully described on its Privacy Centre on the Capitec website https://www.capitecbank.co.za/privacy-centre/</w:t>
      </w:r>
    </w:p>
    <w:p>
      <w:pPr>
        <w:spacing w:after="0" w:line="133" w:lineRule="exact"/>
        <w:rPr>
          <w:rFonts w:ascii="Times New Roman" w:cs="Times New Roman" w:eastAsia="Times New Roman" w:hAnsi="Times New Roman"/>
          <w:sz w:val="14"/>
          <w:szCs w:val="14"/>
          <w:b w:val="1"/>
          <w:bCs w:val="1"/>
          <w:color w:val="auto"/>
        </w:rPr>
      </w:pPr>
    </w:p>
    <w:p>
      <w:pPr>
        <w:ind w:left="780"/>
        <w:spacing w:after="0" w:line="29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Capitec processes personal information that is necessary for the purpose of providing the Borrower with Capitec’s products and services, or that the law requires Capitec to process; or that may be appropriate for the legitimate conduct of banking, or that the Borrower has expressly consented to Capitec processing.</w:t>
      </w:r>
    </w:p>
    <w:p>
      <w:pPr>
        <w:spacing w:after="0" w:line="119" w:lineRule="exact"/>
        <w:rPr>
          <w:rFonts w:ascii="Times New Roman" w:cs="Times New Roman" w:eastAsia="Times New Roman" w:hAnsi="Times New Roman"/>
          <w:sz w:val="14"/>
          <w:szCs w:val="14"/>
          <w:b w:val="1"/>
          <w:bCs w:val="1"/>
          <w:color w:val="auto"/>
        </w:rPr>
      </w:pPr>
    </w:p>
    <w:p>
      <w:pPr>
        <w:ind w:left="780"/>
        <w:spacing w:after="0" w:line="29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Capitec takes appropriate technical and organisational measures to safeguard the Borrower’s personal information against unauthorised access and loss or damage to the information.</w:t>
      </w:r>
    </w:p>
    <w:p>
      <w:pPr>
        <w:spacing w:after="0" w:line="119" w:lineRule="exact"/>
        <w:rPr>
          <w:rFonts w:ascii="Times New Roman" w:cs="Times New Roman" w:eastAsia="Times New Roman" w:hAnsi="Times New Roman"/>
          <w:sz w:val="14"/>
          <w:szCs w:val="14"/>
          <w:b w:val="1"/>
          <w:bCs w:val="1"/>
          <w:color w:val="auto"/>
        </w:rPr>
      </w:pPr>
    </w:p>
    <w:p>
      <w:pPr>
        <w:jc w:val="both"/>
        <w:ind w:left="78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Borrower may request confirmation of what personal information Capitec processes and exercise any of the Borrower’s rights in terms of data protection and privacy law, as described on the Capitec website.Capitec’s personal information processing practices are more fully described on its Privacy Centre on the Capitec website https://www.capitecbank.co.za/privacy-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7160260"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7160260" cy="133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color w:val="auto"/>
        </w:rPr>
        <w:t>The terms to this Facility Letter Incorporating these Standard Terms and Conditions are hereby accepted.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at Rosebank on 22 April 2024</w:t>
            </w:r>
          </w:p>
        </w:tc>
        <w:tc>
          <w:tcPr>
            <w:tcW w:w="64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Signed at Rosebank on 22 April 2024</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Signature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JEANNE STEPHANIE JORDAAN</w:t>
            </w:r>
          </w:p>
        </w:tc>
        <w:tc>
          <w:tcPr>
            <w:tcW w:w="24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Signature: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JOSHUA DAVID VICTOR</w:t>
            </w:r>
          </w:p>
        </w:tc>
      </w:tr>
      <w:tr>
        <w:trPr>
          <w:trHeight w:val="329"/>
        </w:trPr>
        <w:tc>
          <w:tcPr>
            <w:tcW w:w="92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For and on behalf of the Borrower/The Borrower (and in his/her</w:t>
            </w:r>
          </w:p>
        </w:tc>
        <w:tc>
          <w:tcPr>
            <w:tcW w:w="248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For and on behalf of the Borrower/The Borrower (and in his/her</w:t>
            </w:r>
          </w:p>
        </w:tc>
      </w:tr>
      <w:tr>
        <w:trPr>
          <w:trHeight w:val="186"/>
        </w:trPr>
        <w:tc>
          <w:tcPr>
            <w:tcW w:w="9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personal capacity in the event of an entity to be incorporated</w:t>
            </w:r>
          </w:p>
        </w:tc>
        <w:tc>
          <w:tcPr>
            <w:tcW w:w="248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personal capacity in the event of an entity to be incorporated</w:t>
            </w: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Full Name: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JEANNE STEPHANIE JORDAAN</w:t>
            </w:r>
          </w:p>
        </w:tc>
        <w:tc>
          <w:tcPr>
            <w:tcW w:w="24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Full Name: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JOSHUA DAVID VICTOR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436880</wp:posOffset>
            </wp:positionV>
            <wp:extent cx="7160260" cy="13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Form 313C (V02/2024)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Capitec Bank is an authorised financial services provider (FSP46669) and registered credit provider (NCRCP13) Capitec Bank Limited Reg. No.: 1980/003695/06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4"/>
          <w:szCs w:val="14"/>
          <w:b w:val="1"/>
          <w:bCs w:val="1"/>
          <w:color w:val="auto"/>
        </w:rPr>
        <w:t>Exhibit 8.1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Karooooo Limited Subsidiary Companies FY2025</w:t>
      </w:r>
    </w:p>
    <w:p>
      <w:pPr>
        <w:spacing w:after="0" w:line="185" w:lineRule="exact"/>
        <w:rPr>
          <w:sz w:val="20"/>
          <w:szCs w:val="20"/>
          <w:color w:val="auto"/>
        </w:rPr>
      </w:pPr>
    </w:p>
    <w:p>
      <w:pPr>
        <w:ind w:left="520" w:hanging="514"/>
        <w:spacing w:after="0"/>
        <w:tabs>
          <w:tab w:leader="none" w:pos="5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Cartrack Holdings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2Cartrack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3Cartrack Manufacturing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4Cartrack Telematics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5Cartrack Insurance Agency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6Cartrack Namibia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7Cartrack Australia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8Cartrack New Zealand Limited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9Cartrack Tanzania Limited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10Cartrack Ireland Limited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11Cartrack Malaysia SDN. BHD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12Cartrack Vietnam Limited Liability Company</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13Cartrack Portugal SA</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14Cartrack Espana S.L.U (Spain)</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15Cartrack Inc. (USA)</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16Cartrack Polska SP.ZO.O (Poland)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17Cartrack Limitada (Mozambique)</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18Cartrack (Cambodia) Co.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19Cartrack Swaziland (Pty)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20Cartrack Investments (UK) Limited (United Kingdom)</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21Cartrack Technologies Pte Ltd (Singapore)</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22Cartrack Technologies (Thailand) Pte.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23Cartrack Technologies South East Asia Pte. Ltd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24PT Cartrack Technologies Indonesia</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25Cartrack Technologies Zambia Limited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26Cartrack Technologies Phil Incorporated (Philippines)</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27Cartrack Technologies China Limited</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28Cartrack Technologies LLC (UAE)</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29Cartrack Engineering Technologies Limited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316230</wp:posOffset>
            </wp:positionV>
            <wp:extent cx="7160260" cy="133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271" w:name="page272"/>
    <w:bookmarkEnd w:id="271"/>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Cartrack for Information Technology (Kingdom of Saudi Arabia)</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Carzuka.com. Pte. Ltd (Singapore)</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Logistics (Pty) Ltd</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Cartrack Limited (Uganda)</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Management Company Pte. Ltd (Singapore)</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(Pty) Ltd</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Technologies (Pty) Ltd</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Karooooo Kenya Limited</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Karu Holdings (Pty) Ltd</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Karu.Com Unipessoal LDA (Portugal)</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Purple Rain Properties no 444 (Pty) Ltd</w:t>
      </w:r>
    </w:p>
    <w:p>
      <w:pPr>
        <w:spacing w:after="0" w:line="182"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 Club LDA (Mozambique)</w:t>
      </w:r>
    </w:p>
    <w:p>
      <w:pPr>
        <w:spacing w:after="0" w:line="182" w:lineRule="exact"/>
        <w:rPr>
          <w:rFonts w:ascii="Times New Roman" w:cs="Times New Roman" w:eastAsia="Times New Roman" w:hAnsi="Times New Roman"/>
          <w:sz w:val="14"/>
          <w:szCs w:val="14"/>
          <w:color w:val="auto"/>
        </w:rPr>
      </w:pPr>
    </w:p>
    <w:p>
      <w:pPr>
        <w:ind w:left="394" w:hanging="394"/>
        <w:spacing w:after="0"/>
        <w:tabs>
          <w:tab w:leader="none" w:pos="39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Telematics Services (Pty) Ltd</w:t>
      </w:r>
    </w:p>
    <w:p>
      <w:pPr>
        <w:spacing w:after="0" w:line="182" w:lineRule="exact"/>
        <w:rPr>
          <w:rFonts w:ascii="Times New Roman" w:cs="Times New Roman" w:eastAsia="Times New Roman" w:hAnsi="Times New Roman"/>
          <w:sz w:val="14"/>
          <w:szCs w:val="14"/>
          <w:color w:val="auto"/>
        </w:rPr>
      </w:pPr>
    </w:p>
    <w:p>
      <w:pPr>
        <w:ind w:left="394" w:hanging="394"/>
        <w:spacing w:after="0"/>
        <w:tabs>
          <w:tab w:leader="none" w:pos="39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Cartrack Academy (Pty) Ltd</w:t>
      </w:r>
    </w:p>
    <w:p>
      <w:pPr>
        <w:spacing w:after="0" w:line="182" w:lineRule="exact"/>
        <w:rPr>
          <w:rFonts w:ascii="Times New Roman" w:cs="Times New Roman" w:eastAsia="Times New Roman" w:hAnsi="Times New Roman"/>
          <w:sz w:val="14"/>
          <w:szCs w:val="14"/>
          <w:color w:val="auto"/>
        </w:rPr>
      </w:pPr>
    </w:p>
    <w:p>
      <w:pPr>
        <w:ind w:left="394" w:hanging="394"/>
        <w:spacing w:after="0"/>
        <w:tabs>
          <w:tab w:leader="none" w:pos="39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CTK Shell 2 (Pty) Ltd</w:t>
      </w:r>
    </w:p>
    <w:p>
      <w:pPr>
        <w:spacing w:after="0" w:line="182" w:lineRule="exact"/>
        <w:rPr>
          <w:rFonts w:ascii="Times New Roman" w:cs="Times New Roman" w:eastAsia="Times New Roman" w:hAnsi="Times New Roman"/>
          <w:sz w:val="14"/>
          <w:szCs w:val="14"/>
          <w:color w:val="auto"/>
        </w:rPr>
      </w:pPr>
    </w:p>
    <w:p>
      <w:pPr>
        <w:ind w:left="394" w:hanging="394"/>
        <w:spacing w:after="0"/>
        <w:tabs>
          <w:tab w:leader="none" w:pos="39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Cartrack Management Services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7160260" cy="13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153"/>
          </w:cols>
          <w:pgMar w:left="306" w:top="683" w:right="1440"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4"/>
          <w:szCs w:val="14"/>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126365</wp:posOffset>
            </wp:positionV>
            <wp:extent cx="988695" cy="5594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KAROOOOO LIMITED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including its subsidiaries and affiliates</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(“KRO” / the “Company” or the “Group”)</w:t>
      </w:r>
    </w:p>
    <w:p>
      <w:pPr>
        <w:spacing w:after="0" w:line="16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358140</wp:posOffset>
            </wp:positionV>
            <wp:extent cx="7160260" cy="133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73" w:name="page274"/>
    <w:bookmarkEnd w:id="2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968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00" w:type="dxa"/>
            <w:vAlign w:val="bottom"/>
          </w:tcPr>
          <w:p>
            <w:pPr>
              <w:spacing w:after="0"/>
              <w:rPr>
                <w:sz w:val="16"/>
                <w:szCs w:val="16"/>
                <w:color w:val="auto"/>
              </w:rPr>
            </w:pPr>
          </w:p>
        </w:tc>
      </w:tr>
      <w:tr>
        <w:trPr>
          <w:trHeight w:val="346"/>
        </w:trPr>
        <w:tc>
          <w:tcPr>
            <w:tcW w:w="600" w:type="dxa"/>
            <w:vAlign w:val="bottom"/>
            <w:tcBorders>
              <w:bottom w:val="single" w:sz="8" w:color="CCEEFF"/>
            </w:tcBorders>
          </w:tcPr>
          <w:p>
            <w:pPr>
              <w:spacing w:after="0"/>
              <w:rPr>
                <w:sz w:val="24"/>
                <w:szCs w:val="24"/>
                <w:color w:val="auto"/>
              </w:rPr>
            </w:pPr>
          </w:p>
        </w:tc>
        <w:tc>
          <w:tcPr>
            <w:tcW w:w="96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72"/>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 SUMMARY OF POLICY CONCERNING TRADING IN COMPANY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1028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II. THE USE OF INSIDE INFORMATION IN CONNECTION WITH TRADING IN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Rule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Who Does this Policy Apply To?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Companies’ Stock</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Hedging and Derivatives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Pledging of Securities, Margin Accounts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Guidelines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Applicability of U.S. Securities Laws to International Transactions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1028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III.OTHER LIMITATIONS ON SECURITIES TRANSACTIONS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Public Resales – Rule 144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Private Resales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60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w:t>
            </w:r>
          </w:p>
        </w:tc>
        <w:tc>
          <w:tcPr>
            <w:tcW w:w="9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Restrictions on Purchases of Company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60260" cy="13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74" w:name="page275"/>
    <w:bookmarkEnd w:id="2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spacing w:after="0" w:line="202" w:lineRule="exact"/>
        <w:rPr>
          <w:sz w:val="20"/>
          <w:szCs w:val="20"/>
          <w:color w:val="auto"/>
        </w:rPr>
      </w:pPr>
    </w:p>
    <w:p>
      <w:pPr>
        <w:ind w:left="260" w:hanging="254"/>
        <w:spacing w:after="0"/>
        <w:tabs>
          <w:tab w:leader="none" w:pos="260"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To promote compliance with applicable insider trading laws, rules and regulations, and any applicable listing standards, Karooooo has adopted this Insider Trading Policy (“Policy”) to govern the purchase, sale, and other dispositions of our securities by directors, senior management and employees, including their associates and investment managers (hereafter referred to as “Insiders”).</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Although these limitations do not apply to transactions pursuant to written plans for trading securities that comply with Rule 10b5-1 under the Securities Exchange Act of 1934, as amended (the “Exchange Act”), the adoption, amendment, suspension or termination of any such written trading plan is subject to pre-approval requirements and other limitations.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 to “directors” include alternate directors and designated officers of the Company.</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conducting the business of the Company, Insiders may from time to time obtain material nonpublic information regarding the Company or other companies. Insiders may be sued civilly either by the Securities and Exchange Commission (“SEC”) or by private litigants if they trade in securities while in possession of material nonpublic information concerning the issuer of the securities. They may also be charged with a criminal violation.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RESPONSIBILITY</w:t>
      </w:r>
    </w:p>
    <w:p>
      <w:pPr>
        <w:spacing w:after="0" w:line="18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The prime responsibility for ensuring that this Policy is observed resides with the individual concerned. The spirit as well as the letter of the Policy must be observed as failure to do so may result in regulatory sanction and reputational risk.</w:t>
      </w:r>
    </w:p>
    <w:p>
      <w:pPr>
        <w:spacing w:after="0" w:line="122" w:lineRule="exact"/>
        <w:rPr>
          <w:sz w:val="20"/>
          <w:szCs w:val="20"/>
          <w:color w:val="auto"/>
        </w:rPr>
      </w:pPr>
    </w:p>
    <w:p>
      <w:pPr>
        <w:ind w:right="5080" w:firstLine="6"/>
        <w:spacing w:after="0" w:line="513" w:lineRule="auto"/>
        <w:tabs>
          <w:tab w:leader="none" w:pos="258" w:val="left"/>
        </w:tabs>
        <w:numPr>
          <w:ilvl w:val="0"/>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USE OF INSIDE INFORMATION IN CONNECTION WITH TRADING IN SECURITIES A. General Rule.</w:t>
      </w:r>
    </w:p>
    <w:p>
      <w:pPr>
        <w:spacing w:after="0" w:line="1" w:lineRule="exact"/>
        <w:rPr>
          <w:sz w:val="20"/>
          <w:szCs w:val="20"/>
          <w:color w:val="auto"/>
        </w:rPr>
      </w:pPr>
    </w:p>
    <w:p>
      <w:pPr>
        <w:jc w:val="both"/>
        <w:ind w:left="260"/>
        <w:spacing w:after="0" w:line="292" w:lineRule="auto"/>
        <w:rPr>
          <w:sz w:val="20"/>
          <w:szCs w:val="20"/>
          <w:color w:val="auto"/>
        </w:rPr>
      </w:pPr>
      <w:r>
        <w:rPr>
          <w:rFonts w:ascii="Times New Roman" w:cs="Times New Roman" w:eastAsia="Times New Roman" w:hAnsi="Times New Roman"/>
          <w:sz w:val="14"/>
          <w:szCs w:val="14"/>
          <w:color w:val="auto"/>
        </w:rPr>
        <w:t>The U.S. federal securities laws regulate the sale and purchase of securities in the interest of protecting the investing public. U.S. securities laws prohibit the Company’s Insiders from using information about the Company in the purchase and sale of securities (such as stocks, bonds, notes, debentures, limited partnership units or other equity or debt securities).</w:t>
      </w:r>
    </w:p>
    <w:p>
      <w:pPr>
        <w:spacing w:after="0" w:line="124"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All Insiders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or a director of a company knows material inside information, that employee or director is prohibited from buying or selling securities (including the Company’s securities and the securities of other companies that could be impacted by the information) until the information has been adequately disclosed to the public. This is because the employee or director knows information that could cause the price of the security to change, and has a duty to the Company not to use the information for personal gain. Trading on the basis of material inside information is fraudulent and illegal. Civil and criminal penalties for this kind of activity are severe.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Material information can be favorable or unfavorable. Courts and regulators often second guess materiality determinations with the benefit of hindsight. If it is not clear whether inside information is material, it should be treated as if it were material. Some examples of information that could be considered material include:</w:t>
      </w:r>
    </w:p>
    <w:p>
      <w:pPr>
        <w:spacing w:after="0" w:line="140" w:lineRule="exact"/>
        <w:rPr>
          <w:sz w:val="20"/>
          <w:szCs w:val="20"/>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Company’s prospects or key performance indicators,</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anticipated or targeted revenue, earnings and dividends and other financial information,</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developments that could affect the Company’s financial performance or forecasts, such as changes in the Company’s relationship with a key customer or supplier,</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sales and other internal business forecasts, or a change in previously released estimates,</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or proposed mergers, business acquisitions, tender offers, joint ventures, restructurings, dispositions, or the expansion or curtailment of operations,</w:t>
      </w:r>
    </w:p>
    <w:p>
      <w:pPr>
        <w:spacing w:after="0" w:line="182" w:lineRule="exact"/>
        <w:rPr>
          <w:rFonts w:ascii="Times New Roman" w:cs="Times New Roman" w:eastAsia="Times New Roman" w:hAnsi="Times New Roman"/>
          <w:sz w:val="14"/>
          <w:szCs w:val="14"/>
          <w:color w:val="auto"/>
        </w:rPr>
      </w:pPr>
    </w:p>
    <w:p>
      <w:pPr>
        <w:ind w:left="260" w:hanging="256"/>
        <w:spacing w:after="0" w:line="292" w:lineRule="auto"/>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cybersecurity or data protection events affecting the Company’s operations, including any breach of information systems that compromises the functioning of the Company’s information or other systems or results in the exposure or loss of customer information, in particular personal or sensitive information,</w:t>
      </w:r>
    </w:p>
    <w:p>
      <w:pPr>
        <w:spacing w:after="0" w:line="12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equity or debt offerings or significant borrowing,</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debt ratings, or analyst upgrades or downgrades of the Company or one of its securities,</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accounting treatment, write-offs or effective tax rate</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opinions by the Company’s auditors,</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or threatened significant litigation or governmental investigation, or the resolution thereof,</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problems or impending bankruptcy,</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auditors or auditor notification that the Company may no longer rely on an audit report,</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control of the Company or changes in the board of director or senior management,</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splits or other corporate actions,</w:t>
      </w:r>
    </w:p>
    <w:p>
      <w:pPr>
        <w:spacing w:after="0" w:line="18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controlling shareholders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this Policy, we use the term “inside information” to refer to information that has not been publicly disclosed in a manner making it available to investors generally on a broad-based non-exclusionary basis (e.g., the filing of a press release or a Form 6-K or an important event notice) and/or the investing public has not had time to fully absorb the information. If it is not clear whether material information has been sufficiently publicized, it should be treated as if it is inside information. Furthermore, it is illegal for any Insider in possession of material inside information to provide other people with such information or to recommend that they buy or sell any securities. This is called “tipping”. In that case, the person providing the information and the person trading the securities may both be held liable.</w:t>
      </w:r>
    </w:p>
    <w:p>
      <w:pPr>
        <w:spacing w:after="0" w:line="3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16510</wp:posOffset>
            </wp:positionV>
            <wp:extent cx="7160260" cy="13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560" w:top="1440" w:right="319"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spacing w:after="0" w:line="204"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The Securities and Exchange Commission (the “SEC”), the Financial Industry Regulatory Authority (“FINRA”), prosecutors, the stock exchanges and plaintiffs’ lawyers devote considerable resources to identifying insider trading. A breach of the insider trading laws could expose the insider or anyone who trades on information provided by an insider to criminal fines and imprisonment, in addition to civil penalties and injunctive actions. Even if allegations of insider trading do not lead to a conviction, defending against such allegations is expensive.</w:t>
      </w:r>
    </w:p>
    <w:p>
      <w:pPr>
        <w:spacing w:after="0" w:line="136" w:lineRule="exact"/>
        <w:rPr>
          <w:sz w:val="20"/>
          <w:szCs w:val="20"/>
          <w:color w:val="auto"/>
        </w:rPr>
      </w:pPr>
    </w:p>
    <w:p>
      <w:pPr>
        <w:jc w:val="both"/>
        <w:ind w:left="260"/>
        <w:spacing w:after="0" w:line="267" w:lineRule="auto"/>
        <w:rPr>
          <w:sz w:val="20"/>
          <w:szCs w:val="20"/>
          <w:color w:val="auto"/>
        </w:rPr>
      </w:pPr>
      <w:r>
        <w:rPr>
          <w:rFonts w:ascii="Times New Roman" w:cs="Times New Roman" w:eastAsia="Times New Roman" w:hAnsi="Times New Roman"/>
          <w:sz w:val="14"/>
          <w:szCs w:val="14"/>
          <w:color w:val="auto"/>
        </w:rPr>
        <w:t>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 The mere perception that an Insider traded with the knowledge of material inside information could harm the reputation of both the Company and that Insider. Accordingly, this Policy is in some cases more restrictive than what applicable insider trading laws might otherwise require.</w:t>
      </w: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sake of clarity, unless otherwise permitted by this Policy, you must not -</w:t>
      </w:r>
    </w:p>
    <w:p>
      <w:pPr>
        <w:spacing w:after="0" w:line="183" w:lineRule="exact"/>
        <w:rPr>
          <w:sz w:val="20"/>
          <w:szCs w:val="20"/>
          <w:color w:val="auto"/>
        </w:rPr>
      </w:pPr>
    </w:p>
    <w:p>
      <w:pPr>
        <w:ind w:left="520" w:hanging="256"/>
        <w:spacing w:after="0"/>
        <w:tabs>
          <w:tab w:leader="none" w:pos="52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sell, gift or otherwise transfer any security of the Company while you possess material nonpublic information about the Company or</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sell, gift or otherwise transfer any security of any other company, while you possess material nonpublic information about the other company that you obtained in connection with your employment by or service to the Company.</w:t>
      </w:r>
    </w:p>
    <w:p>
      <w:pPr>
        <w:spacing w:after="0" w:line="12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Does this Policy Apply to</w:t>
      </w:r>
    </w:p>
    <w:p>
      <w:pPr>
        <w:spacing w:after="0" w:line="184" w:lineRule="exact"/>
        <w:rPr>
          <w:rFonts w:ascii="Times New Roman" w:cs="Times New Roman" w:eastAsia="Times New Roman" w:hAnsi="Times New Roman"/>
          <w:sz w:val="14"/>
          <w:szCs w:val="14"/>
          <w:b w:val="1"/>
          <w:bCs w:val="1"/>
          <w:color w:val="auto"/>
        </w:rPr>
      </w:pPr>
    </w:p>
    <w:p>
      <w:pPr>
        <w:ind w:left="26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prohibition against trading on inside information applies to directors, officers and employees of the Company and its subsidiaries, and to other people who gain access to that information. The prohibition also applies to:</w:t>
      </w:r>
    </w:p>
    <w:p>
      <w:pPr>
        <w:spacing w:after="0" w:line="124" w:lineRule="exact"/>
        <w:rPr>
          <w:sz w:val="20"/>
          <w:szCs w:val="20"/>
          <w:color w:val="auto"/>
        </w:rPr>
      </w:pPr>
    </w:p>
    <w:p>
      <w:pPr>
        <w:ind w:left="520" w:hanging="256"/>
        <w:spacing w:after="0"/>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spouses, domestic partners and minor children (even if financially independent) of such employees or directors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anyone to whom such employees or directors provide significant financial support</w:t>
      </w:r>
    </w:p>
    <w:p>
      <w:pPr>
        <w:spacing w:after="0" w:line="182" w:lineRule="exact"/>
        <w:rPr>
          <w:rFonts w:ascii="Times New Roman" w:cs="Times New Roman" w:eastAsia="Times New Roman" w:hAnsi="Times New Roman"/>
          <w:sz w:val="14"/>
          <w:szCs w:val="14"/>
          <w:color w:val="auto"/>
        </w:rPr>
      </w:pPr>
    </w:p>
    <w:p>
      <w:pPr>
        <w:jc w:val="both"/>
        <w:ind w:left="520" w:hanging="256"/>
        <w:spacing w:after="0" w:line="274" w:lineRule="auto"/>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account over which employees, directors and the persons listed in a) and b) above have or share the power, directly or indirectly, to make investment decisions (whether or not such persons have a financial interest in the account) and those accounts established or maintained by such persons with their consent or knowledge and in which such persons have a direct or indirect financial interest, collectively, “Insiders”</w:t>
      </w:r>
    </w:p>
    <w:p>
      <w:pPr>
        <w:spacing w:after="0" w:line="136"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Because of their access to confidential information on a regular basis, this policy subjects the Company’s directors, officers and certain employees (the “Window Group”) to additional restrictions on trading in Company securities. The restrictions for the Window Group are discussed in Section G below. In addition, directors, officers and certain employees with inside knowledge of material information may be subject to ad hoc restrictions on trading from time to time.</w:t>
      </w:r>
    </w:p>
    <w:p>
      <w:pPr>
        <w:spacing w:after="0" w:line="136"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The Company itself must also comply with U.S. securities laws applicable to its own securities trading activities, and will not execute transactions in respect of its securities, or adopt any securities repurchase plans, when it is in possession of material non-public information concerning the Company, other than in compliance with applicable law, subject to the policies and procedures adopted by the Company from time to time, and the prior approval of the Governance Officer.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directors and employees with inside knowledge of material information may be subject to ad hoc restrictions on trading from time to time.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spacing w:after="0" w:line="202" w:lineRule="exact"/>
        <w:rPr>
          <w:sz w:val="20"/>
          <w:szCs w:val="20"/>
          <w:color w:val="auto"/>
        </w:rPr>
      </w:pPr>
    </w:p>
    <w:p>
      <w:pPr>
        <w:ind w:left="260" w:hanging="254"/>
        <w:spacing w:after="0"/>
        <w:tabs>
          <w:tab w:leader="none" w:pos="260" w:val="left"/>
        </w:tabs>
        <w:numPr>
          <w:ilvl w:val="0"/>
          <w:numId w:val="1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and Derivatives.</w:t>
      </w:r>
    </w:p>
    <w:p>
      <w:pPr>
        <w:spacing w:after="0" w:line="184" w:lineRule="exact"/>
        <w:rPr>
          <w:rFonts w:ascii="Times New Roman" w:cs="Times New Roman" w:eastAsia="Times New Roman" w:hAnsi="Times New Roman"/>
          <w:sz w:val="14"/>
          <w:szCs w:val="14"/>
          <w:b w:val="1"/>
          <w:bCs w:val="1"/>
          <w:color w:val="auto"/>
        </w:rPr>
      </w:pPr>
    </w:p>
    <w:p>
      <w:pPr>
        <w:jc w:val="both"/>
        <w:ind w:left="26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Insiders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As discussed below, Insiders are also prohibited from shorting the Company’s securities.</w:t>
      </w:r>
    </w:p>
    <w:p>
      <w:pPr>
        <w:spacing w:after="0" w:line="135" w:lineRule="exact"/>
        <w:rPr>
          <w:rFonts w:ascii="Times New Roman" w:cs="Times New Roman" w:eastAsia="Times New Roman" w:hAnsi="Times New Roman"/>
          <w:sz w:val="14"/>
          <w:szCs w:val="14"/>
          <w:b w:val="1"/>
          <w:bCs w:val="1"/>
          <w:color w:val="auto"/>
        </w:rPr>
      </w:pPr>
    </w:p>
    <w:p>
      <w:pPr>
        <w:jc w:val="both"/>
        <w:ind w:left="26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Trading in options or other derivatives is generally highly speculative and very risky. People who buy options are betting that the stock price will move rapidly. For that reason, when a person trades in options in his or her employer’s stock, it may arouse suspicion in the eyes of the competent authority that the person was trading on the basis of inside information, particularly where the trading occurs before a company announcement or major event. It is difficult for a director, officer or employee to prove that he or she did not know about the announcement or event.</w:t>
      </w:r>
    </w:p>
    <w:p>
      <w:pPr>
        <w:spacing w:after="0" w:line="135" w:lineRule="exact"/>
        <w:rPr>
          <w:rFonts w:ascii="Times New Roman" w:cs="Times New Roman" w:eastAsia="Times New Roman" w:hAnsi="Times New Roman"/>
          <w:sz w:val="14"/>
          <w:szCs w:val="14"/>
          <w:b w:val="1"/>
          <w:bCs w:val="1"/>
          <w:color w:val="auto"/>
        </w:rPr>
      </w:pPr>
    </w:p>
    <w:p>
      <w:pPr>
        <w:jc w:val="both"/>
        <w:ind w:left="26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competent authorities or the stock exchanges were to notice active options trading by one or more directors, officers or employees of the Company prior to an announcement, this could trigger an investigation with potential legal action. Such an investigation could be embarrassing to the Company (as well as expensive), and could result in severe penalties and expense for the persons involved. For all of these reasons, the Company prohibits Insiders from trading in options or other securities involving the Company’s stock.</w:t>
      </w:r>
    </w:p>
    <w:p>
      <w:pPr>
        <w:spacing w:after="0" w:line="133" w:lineRule="exact"/>
        <w:rPr>
          <w:rFonts w:ascii="Times New Roman" w:cs="Times New Roman" w:eastAsia="Times New Roman" w:hAnsi="Times New Roman"/>
          <w:sz w:val="14"/>
          <w:szCs w:val="14"/>
          <w:b w:val="1"/>
          <w:bCs w:val="1"/>
          <w:color w:val="auto"/>
        </w:rPr>
      </w:pPr>
    </w:p>
    <w:p>
      <w:pPr>
        <w:ind w:left="260" w:hanging="254"/>
        <w:spacing w:after="0"/>
        <w:tabs>
          <w:tab w:leader="none" w:pos="260" w:val="left"/>
        </w:tabs>
        <w:numPr>
          <w:ilvl w:val="0"/>
          <w:numId w:val="1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Pledging of Securities, Margin Accounts.</w:t>
      </w:r>
    </w:p>
    <w:p>
      <w:pPr>
        <w:spacing w:after="0" w:line="184" w:lineRule="exact"/>
        <w:rPr>
          <w:rFonts w:ascii="Times New Roman" w:cs="Times New Roman" w:eastAsia="Times New Roman" w:hAnsi="Times New Roman"/>
          <w:sz w:val="14"/>
          <w:szCs w:val="14"/>
          <w:b w:val="1"/>
          <w:bCs w:val="1"/>
          <w:color w:val="auto"/>
        </w:rPr>
      </w:pPr>
    </w:p>
    <w:p>
      <w:pPr>
        <w:jc w:val="both"/>
        <w:ind w:left="260"/>
        <w:spacing w:after="0" w:line="26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or a director has material inside information or is otherwise not permitted to trade in Company securities, the Company prohibits employees and directors from pledging Company securities in any circumstance, including by purchasing Company securities on margin or holding Company securities in a margin account.</w:t>
      </w:r>
    </w:p>
    <w:p>
      <w:pPr>
        <w:spacing w:after="0" w:line="138" w:lineRule="exact"/>
        <w:rPr>
          <w:rFonts w:ascii="Times New Roman" w:cs="Times New Roman" w:eastAsia="Times New Roman" w:hAnsi="Times New Roman"/>
          <w:sz w:val="14"/>
          <w:szCs w:val="14"/>
          <w:b w:val="1"/>
          <w:bCs w:val="1"/>
          <w:color w:val="auto"/>
        </w:rPr>
      </w:pPr>
    </w:p>
    <w:p>
      <w:pPr>
        <w:ind w:left="260" w:hanging="254"/>
        <w:spacing w:after="0"/>
        <w:tabs>
          <w:tab w:leader="none" w:pos="260" w:val="left"/>
        </w:tabs>
        <w:numPr>
          <w:ilvl w:val="0"/>
          <w:numId w:val="1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Guidelines.</w:t>
      </w:r>
    </w:p>
    <w:p>
      <w:pPr>
        <w:spacing w:after="0" w:line="184" w:lineRule="exact"/>
        <w:rPr>
          <w:rFonts w:ascii="Times New Roman" w:cs="Times New Roman" w:eastAsia="Times New Roman" w:hAnsi="Times New Roman"/>
          <w:sz w:val="14"/>
          <w:szCs w:val="14"/>
          <w:b w:val="1"/>
          <w:bCs w:val="1"/>
          <w:color w:val="auto"/>
        </w:rPr>
      </w:pPr>
    </w:p>
    <w:p>
      <w:pPr>
        <w:ind w:left="260"/>
        <w:spacing w:after="0" w:line="29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Nondisclosure</w:t>
      </w:r>
      <w:r>
        <w:rPr>
          <w:rFonts w:ascii="Times New Roman" w:cs="Times New Roman" w:eastAsia="Times New Roman" w:hAnsi="Times New Roman"/>
          <w:sz w:val="14"/>
          <w:szCs w:val="14"/>
          <w:color w:val="auto"/>
        </w:rPr>
        <w:t>. Material inside information must not be disclosed to anyone, except to persons within the Company whose positions require them to know it. No employee or director should discuss material inside information in public places or in common areas on Company property.</w:t>
      </w:r>
    </w:p>
    <w:p>
      <w:pPr>
        <w:spacing w:after="0" w:line="123" w:lineRule="exact"/>
        <w:rPr>
          <w:rFonts w:ascii="Times New Roman" w:cs="Times New Roman" w:eastAsia="Times New Roman" w:hAnsi="Times New Roman"/>
          <w:sz w:val="14"/>
          <w:szCs w:val="14"/>
          <w:b w:val="1"/>
          <w:bCs w:val="1"/>
          <w:color w:val="auto"/>
        </w:rPr>
      </w:pPr>
    </w:p>
    <w:p>
      <w:pPr>
        <w:jc w:val="both"/>
        <w:ind w:left="260"/>
        <w:spacing w:after="0" w:line="26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Trading in Company Securities</w:t>
      </w:r>
      <w:r>
        <w:rPr>
          <w:rFonts w:ascii="Times New Roman" w:cs="Times New Roman" w:eastAsia="Times New Roman" w:hAnsi="Times New Roman"/>
          <w:sz w:val="14"/>
          <w:szCs w:val="14"/>
          <w:color w:val="auto"/>
        </w:rPr>
        <w:t>. No employee or director may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convertible securities and other securities (e.g., bonds) and includes increasing or decreasing investment in Company securities through a retirement account. Any employee or director who possesses material inside information should wait until the start of the second business day after the information has been publicly released before trading. There is no exception to this policy, even for hardship to the employee or director or based on the use of proceeds (such as making a mortgage payment or for an emergency expenditure).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78" w:name="page279"/>
    <w:bookmarkEnd w:id="278"/>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For the sake of clarity, the period during which the Company prepares quarterly financials is a sensitive time for insider trading purposes, as Company employees may be more likely to possess, or be presumed to possess, material nonpublic information. To avoid the appearance of impropriety and assist Company employees in planning transactions in the Company’s securities for appropriate times, </w:t>
      </w:r>
      <w:r>
        <w:rPr>
          <w:rFonts w:ascii="Times New Roman" w:cs="Times New Roman" w:eastAsia="Times New Roman" w:hAnsi="Times New Roman"/>
          <w:sz w:val="14"/>
          <w:szCs w:val="14"/>
          <w:b w:val="1"/>
          <w:bCs w:val="1"/>
          <w:color w:val="auto"/>
        </w:rPr>
        <w:t>no officer, director, or employee shall purchase or sell any security of the Company during the period beginning at 11:59 p.m. ET on the 14th calendar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day before the end of any financial quarter of the Company and ending upon completion of the second full trading day after the public release of earnings data for such financial quarter or during any other trading suspension period declared by the Company </w:t>
      </w:r>
      <w:r>
        <w:rPr>
          <w:rFonts w:ascii="Times New Roman" w:cs="Times New Roman" w:eastAsia="Times New Roman" w:hAnsi="Times New Roman"/>
          <w:sz w:val="14"/>
          <w:szCs w:val="14"/>
          <w:color w:val="auto"/>
        </w:rPr>
        <w:t>(such period, a “blackout” or “closed period” and any time outside a blackout period, a “Window”)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example, if the Company’s fourth financial quarter ends on December 31, the corresponding blackout period would begin at 11:59 p.m. ET, on December 17 and end at the close of trading (generally, 4:01 p.m. ET) on the second full trading day after the public release of earnings data for such financial quarter. These restrictions do not apply to transactions pursuant to written plans for trading securities that comply with Rule 10b5-1 under the Exchange Act (“10b5-1 Plans”).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u w:val="single" w:color="auto"/>
          <w:color w:val="auto"/>
        </w:rPr>
        <w:t>Avoid Speculation</w:t>
      </w:r>
      <w:r>
        <w:rPr>
          <w:rFonts w:ascii="Times New Roman" w:cs="Times New Roman" w:eastAsia="Times New Roman" w:hAnsi="Times New Roman"/>
          <w:sz w:val="14"/>
          <w:szCs w:val="14"/>
          <w:color w:val="auto"/>
        </w:rPr>
        <w:t>. Investing in the Company’s common stock or other securities provides an opportunity to share in the future growth of the Company. But investment in the Company and sharing in the growth of the Company does not mean short range speculation based on fluctuations in the market. Such activities put the personal gain of the Insider in conflict with the best interests of the Company and its stockholders. Although this policy does not mean that Insiders may never sell shares, the Company encourages Insiders to avoid frequent trading in Company stock. Speculating in Company stock is not part of the Company culture.</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u w:val="single" w:color="auto"/>
          <w:color w:val="auto"/>
        </w:rPr>
        <w:t>Trading in Other Securities</w:t>
      </w:r>
      <w:r>
        <w:rPr>
          <w:rFonts w:ascii="Times New Roman" w:cs="Times New Roman" w:eastAsia="Times New Roman" w:hAnsi="Times New Roman"/>
          <w:sz w:val="14"/>
          <w:szCs w:val="14"/>
          <w:color w:val="auto"/>
        </w:rPr>
        <w:t>. No Insider should place a purchase or sale order (including investment through a retirement account), or recommend that another person place a purchase or sale order, in the securities of another corporation, if the employee or director learns in the course of his or her employment confidential information about the other corporation that is likely to affect the value of those securities. For example, it would be a violation of the securities laws if an employee or director learned through Company sources that the Company intended to purchase assets from another company, and then placed an order to buy or sell stock in that other company because of the likely increase or decrease in the value of its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Restrictions on the Window Group</w:t>
      </w:r>
      <w:r>
        <w:rPr>
          <w:rFonts w:ascii="Times New Roman" w:cs="Times New Roman" w:eastAsia="Times New Roman" w:hAnsi="Times New Roman"/>
          <w:sz w:val="14"/>
          <w:szCs w:val="14"/>
          <w:color w:val="auto"/>
        </w:rPr>
        <w:t>. The Window Group (defined above) is subject to the following restrictions on trading in Company securities in addition to those set out above:</w:t>
      </w:r>
    </w:p>
    <w:p>
      <w:pPr>
        <w:spacing w:after="0" w:line="183" w:lineRule="exact"/>
        <w:rPr>
          <w:sz w:val="20"/>
          <w:szCs w:val="20"/>
          <w:color w:val="auto"/>
        </w:rPr>
      </w:pPr>
    </w:p>
    <w:p>
      <w:pPr>
        <w:ind w:left="260" w:hanging="256"/>
        <w:spacing w:after="0"/>
        <w:tabs>
          <w:tab w:leader="none" w:pos="2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is permitted during a Window, subject to the restrictions below;</w:t>
      </w:r>
    </w:p>
    <w:p>
      <w:pPr>
        <w:spacing w:after="0" w:line="35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16510</wp:posOffset>
            </wp:positionV>
            <wp:extent cx="7160260" cy="133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560" w:top="1440" w:right="319" w:bottom="1440" w:gutter="0" w:footer="0" w:header="0"/>
        </w:sectPr>
      </w:pPr>
    </w:p>
    <w:bookmarkStart w:id="279" w:name="page280"/>
    <w:bookmarkEnd w:id="279"/>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ind w:left="520" w:hanging="256"/>
        <w:spacing w:after="0"/>
        <w:tabs>
          <w:tab w:leader="none" w:pos="5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trades are subject to prior review by the Governance Officer;</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clearance for all trades must be obtained from the Company’s Governance Officer;</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trading is permitted outside the Window except for reasons of exceptional personal hardship and subject to prior approval by the Chief Executive Officer and Governance Officer; provided that, if one of these individuals wishes to trade outside the Window, it shall be subject to prior approval by the other; and</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in the Window Group are also subject to the general restrictions on all employees</w:t>
      </w:r>
    </w:p>
    <w:p>
      <w:pPr>
        <w:spacing w:after="0" w:line="183"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Note that at times the Governance Officer may determine that no trades may occur even during the Window when clearance is requested. This may occur as a result of a pending business transaction, a cyber-breach, or any material development that has not yet been publicly disclosed. No reasons may be provided and the closing of the Window may itself constitute material inside information that should not be communicated.</w:t>
      </w:r>
    </w:p>
    <w:p>
      <w:pPr>
        <w:spacing w:after="0" w:line="136"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The foregoing Window Group restrictions do not apply to transactions pursuant to written plans for trading securities that comply with 10b5-1 Plans. However, Window Group members may not enter into, amend or terminate a 10b5-1 Plan relating to Company securities without the prior approval of the Governance Officer, which will only be given during a Window period and only if the Window Group member does not have knowledge of material nonpublic information.</w:t>
      </w:r>
    </w:p>
    <w:p>
      <w:pPr>
        <w:spacing w:after="0" w:line="134" w:lineRule="exact"/>
        <w:rPr>
          <w:sz w:val="20"/>
          <w:szCs w:val="20"/>
          <w:color w:val="auto"/>
        </w:rPr>
      </w:pPr>
    </w:p>
    <w:p>
      <w:pPr>
        <w:ind w:left="260" w:hanging="254"/>
        <w:spacing w:after="0"/>
        <w:tabs>
          <w:tab w:leader="none" w:pos="260" w:val="left"/>
        </w:tabs>
        <w:numPr>
          <w:ilvl w:val="0"/>
          <w:numId w:val="1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Applicability of U.S. Securities Laws to International Transactions.</w:t>
      </w:r>
    </w:p>
    <w:p>
      <w:pPr>
        <w:spacing w:after="0" w:line="185" w:lineRule="exact"/>
        <w:rPr>
          <w:sz w:val="20"/>
          <w:szCs w:val="20"/>
          <w:color w:val="auto"/>
        </w:rPr>
      </w:pPr>
    </w:p>
    <w:p>
      <w:pPr>
        <w:jc w:val="both"/>
        <w:ind w:left="260"/>
        <w:spacing w:after="0" w:line="271" w:lineRule="auto"/>
        <w:rPr>
          <w:sz w:val="20"/>
          <w:szCs w:val="20"/>
          <w:color w:val="auto"/>
        </w:rPr>
      </w:pPr>
      <w:r>
        <w:rPr>
          <w:rFonts w:ascii="Times New Roman" w:cs="Times New Roman" w:eastAsia="Times New Roman" w:hAnsi="Times New Roman"/>
          <w:sz w:val="14"/>
          <w:szCs w:val="14"/>
          <w:color w:val="auto"/>
        </w:rPr>
        <w:t>All employees of the Company’ and its subsidiaries are subject to the restrictions on trading in Company securities and the securities of other companies. The U.S. securities laws may be applicable to trades in the Company’s securities executed outside the U.S., as well as to the securities of the Company’s subsidiaries or affiliates, even if they are located outside the United States. Transactions involving securities of subsidiaries or affiliates should be carefully reviewed for compliance not only with local law but also for possible application of U.S. securities laws.</w:t>
      </w:r>
    </w:p>
    <w:p>
      <w:pPr>
        <w:spacing w:after="0" w:line="312" w:lineRule="exact"/>
        <w:rPr>
          <w:sz w:val="20"/>
          <w:szCs w:val="20"/>
          <w:color w:val="auto"/>
        </w:rPr>
      </w:pPr>
    </w:p>
    <w:p>
      <w:pPr>
        <w:ind w:right="6980" w:firstLine="6"/>
        <w:spacing w:after="0" w:line="513" w:lineRule="auto"/>
        <w:tabs>
          <w:tab w:leader="none" w:pos="258" w:val="left"/>
        </w:tabs>
        <w:numPr>
          <w:ilvl w:val="0"/>
          <w:numId w:val="1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LIMITATIONS ON SECURITIES TRANSACTIONS A. Public Resales – SEC Registration Requirements and Exemptions.</w:t>
      </w:r>
    </w:p>
    <w:p>
      <w:pPr>
        <w:spacing w:after="0" w:line="1" w:lineRule="exact"/>
        <w:rPr>
          <w:sz w:val="20"/>
          <w:szCs w:val="20"/>
          <w:color w:val="auto"/>
        </w:rPr>
      </w:pPr>
    </w:p>
    <w:p>
      <w:pPr>
        <w:ind w:left="260"/>
        <w:spacing w:after="0" w:line="292" w:lineRule="auto"/>
        <w:rPr>
          <w:sz w:val="20"/>
          <w:szCs w:val="20"/>
          <w:color w:val="auto"/>
        </w:rPr>
      </w:pPr>
      <w:r>
        <w:rPr>
          <w:rFonts w:ascii="Times New Roman" w:cs="Times New Roman" w:eastAsia="Times New Roman" w:hAnsi="Times New Roman"/>
          <w:sz w:val="14"/>
          <w:szCs w:val="14"/>
          <w:color w:val="auto"/>
        </w:rPr>
        <w:t>The Securities Act of 1933, as amended (the “Securities Act”), requires every person who offers or sells a security to register such transaction with the SEC unless an exemption from registration is available.</w:t>
      </w:r>
    </w:p>
    <w:p>
      <w:pPr>
        <w:spacing w:after="0" w:line="122" w:lineRule="exact"/>
        <w:rPr>
          <w:sz w:val="20"/>
          <w:szCs w:val="20"/>
          <w:color w:val="auto"/>
        </w:rPr>
      </w:pPr>
    </w:p>
    <w:p>
      <w:pPr>
        <w:ind w:left="260"/>
        <w:spacing w:after="0" w:line="295" w:lineRule="auto"/>
        <w:rPr>
          <w:sz w:val="20"/>
          <w:szCs w:val="20"/>
          <w:color w:val="auto"/>
        </w:rPr>
      </w:pPr>
      <w:r>
        <w:rPr>
          <w:rFonts w:ascii="Times New Roman" w:cs="Times New Roman" w:eastAsia="Times New Roman" w:hAnsi="Times New Roman"/>
          <w:sz w:val="14"/>
          <w:szCs w:val="14"/>
          <w:color w:val="auto"/>
        </w:rPr>
        <w:t>Rule 144 under the Securities Act is the exemption typically relied upon for (i) public resales by any person of “restricted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unregistered securities acquired in a private offering or sale) and (ii) public resales by directors, officers and other control persons of a company (known as “affiliates”) of any of the Company’s securities, whether restricted or unrestricted.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80" w:name="page281"/>
    <w:bookmarkEnd w:id="280"/>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jc w:val="both"/>
        <w:spacing w:after="0" w:line="268" w:lineRule="auto"/>
        <w:rPr>
          <w:sz w:val="20"/>
          <w:szCs w:val="20"/>
          <w:color w:val="auto"/>
        </w:rPr>
      </w:pPr>
      <w:r>
        <w:rPr>
          <w:rFonts w:ascii="Times New Roman" w:cs="Times New Roman" w:eastAsia="Times New Roman" w:hAnsi="Times New Roman"/>
          <w:sz w:val="14"/>
          <w:szCs w:val="14"/>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employees and directors should not make a sale of Company securities in reliance on Rule 144 without consulting with the Governance Officer, who may require an outside legal opinion that the proposed sale qualifies for the Rule 144 exemption.</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Holding Period</w:t>
      </w:r>
      <w:r>
        <w:rPr>
          <w:rFonts w:ascii="Times New Roman" w:cs="Times New Roman" w:eastAsia="Times New Roman" w:hAnsi="Times New Roman"/>
          <w:sz w:val="14"/>
          <w:szCs w:val="14"/>
          <w:color w:val="auto"/>
        </w:rPr>
        <w:t>. Restricted securities issued by a reporting company (i.e.,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u w:val="single" w:color="auto"/>
          <w:color w:val="auto"/>
        </w:rPr>
        <w:t>Current Public Information</w:t>
      </w:r>
      <w:r>
        <w:rPr>
          <w:rFonts w:ascii="Times New Roman" w:cs="Times New Roman" w:eastAsia="Times New Roman" w:hAnsi="Times New Roman"/>
          <w:sz w:val="14"/>
          <w:szCs w:val="14"/>
          <w:color w:val="auto"/>
        </w:rPr>
        <w:t>.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u w:val="single" w:color="auto"/>
          <w:color w:val="auto"/>
        </w:rPr>
        <w:t>Volume Limitations</w:t>
      </w:r>
      <w:r>
        <w:rPr>
          <w:rFonts w:ascii="Times New Roman" w:cs="Times New Roman" w:eastAsia="Times New Roman" w:hAnsi="Times New Roman"/>
          <w:sz w:val="14"/>
          <w:szCs w:val="14"/>
          <w:color w:val="auto"/>
        </w:rPr>
        <w:t>. The amount of debt securities that can be sold by an affiliate and by certain persons associated with the affiliate during any three-month period cannot exceed 10% of a tranche (or class when the securities are non- participatory preferred stock), together with all sales of securities of the same tranche sold for the account of the affiliate. The amount of equity securities that can be sold by an affiliate during any three- 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Manner of Sale</w:t>
      </w:r>
      <w:r>
        <w:rPr>
          <w:rFonts w:ascii="Times New Roman" w:cs="Times New Roman" w:eastAsia="Times New Roman" w:hAnsi="Times New Roman"/>
          <w:sz w:val="14"/>
          <w:szCs w:val="14"/>
          <w:color w:val="auto"/>
        </w:rPr>
        <w:t>. Equity securities held by affiliates must be sold in unsolicited brokers’ transactions, directly to a market-maker or in riskless principal transactions.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u w:val="single" w:color="auto"/>
          <w:color w:val="auto"/>
        </w:rPr>
        <w:t>Notice of Sale</w:t>
      </w:r>
      <w:r>
        <w:rPr>
          <w:rFonts w:ascii="Times New Roman" w:cs="Times New Roman" w:eastAsia="Times New Roman" w:hAnsi="Times New Roman"/>
          <w:sz w:val="14"/>
          <w:szCs w:val="14"/>
          <w:color w:val="auto"/>
        </w:rPr>
        <w:t>. An affiliate seller relying on Rule 144 must file a notice of the proposed sale with the SEC at the time the order to sell is placed with the broker, unless the amount to be sold neither exceeds 5,000 shares nor involves sale proceeds greater than $50,000.</w:t>
      </w:r>
    </w:p>
    <w:p>
      <w:pPr>
        <w:spacing w:after="0" w:line="29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16510</wp:posOffset>
            </wp:positionV>
            <wp:extent cx="7160260" cy="133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560" w:top="1440" w:right="319" w:bottom="1440" w:gutter="0" w:footer="0" w:header="0"/>
        </w:sectPr>
      </w:pPr>
    </w:p>
    <w:bookmarkStart w:id="281" w:name="page282"/>
    <w:bookmarkEnd w:id="281"/>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484505</wp:posOffset>
            </wp:positionV>
            <wp:extent cx="988695" cy="5594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988695" cy="559435"/>
                    </a:xfrm>
                    <a:prstGeom prst="rect">
                      <a:avLst/>
                    </a:prstGeom>
                    <a:noFill/>
                  </pic:spPr>
                </pic:pic>
              </a:graphicData>
            </a:graphic>
          </wp:anchor>
        </w:drawing>
      </w:r>
    </w:p>
    <w:p>
      <w:pPr>
        <w:jc w:val="both"/>
        <w:ind w:left="260"/>
        <w:spacing w:after="0" w:line="274" w:lineRule="auto"/>
        <w:rPr>
          <w:sz w:val="20"/>
          <w:szCs w:val="20"/>
          <w:color w:val="auto"/>
        </w:rPr>
      </w:pPr>
      <w:r>
        <w:rPr>
          <w:rFonts w:ascii="Times New Roman" w:cs="Times New Roman" w:eastAsia="Times New Roman" w:hAnsi="Times New Roman"/>
          <w:sz w:val="14"/>
          <w:szCs w:val="14"/>
          <w:color w:val="auto"/>
        </w:rPr>
        <w:t>Gift transactions for family or estate planning purposes, where securities are gifted to a person or entity subject to this policy are not deemed to involve sales of shares for purposes of Rule 144, so they can be made at any time without limitation on the amount of the gift, conditional upon compliance with this policy. Beneficiaries who receive restricted securities from an affiliate generally will be subject to the same restrictions under Rule 144 that would have applied to the donor, depending on the circumstances.</w:t>
      </w:r>
    </w:p>
    <w:p>
      <w:pPr>
        <w:spacing w:after="0" w:line="134" w:lineRule="exact"/>
        <w:rPr>
          <w:sz w:val="20"/>
          <w:szCs w:val="20"/>
          <w:color w:val="auto"/>
        </w:rPr>
      </w:pPr>
    </w:p>
    <w:p>
      <w:pPr>
        <w:ind w:left="260" w:hanging="254"/>
        <w:spacing w:after="0"/>
        <w:tabs>
          <w:tab w:leader="none" w:pos="260" w:val="left"/>
        </w:tabs>
        <w:numPr>
          <w:ilvl w:val="0"/>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Private Resales</w:t>
      </w:r>
    </w:p>
    <w:p>
      <w:pPr>
        <w:spacing w:after="0" w:line="184" w:lineRule="exact"/>
        <w:rPr>
          <w:rFonts w:ascii="Times New Roman" w:cs="Times New Roman" w:eastAsia="Times New Roman" w:hAnsi="Times New Roman"/>
          <w:sz w:val="14"/>
          <w:szCs w:val="14"/>
          <w:b w:val="1"/>
          <w:bCs w:val="1"/>
          <w:color w:val="auto"/>
        </w:rPr>
      </w:pPr>
    </w:p>
    <w:p>
      <w:pPr>
        <w:jc w:val="both"/>
        <w:ind w:left="260"/>
        <w:spacing w:after="0" w:line="26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must be reviewed in advance by the Company’s Governance Officer and may require the participation of outside counsel.</w:t>
      </w:r>
    </w:p>
    <w:p>
      <w:pPr>
        <w:spacing w:after="0" w:line="140" w:lineRule="exact"/>
        <w:rPr>
          <w:rFonts w:ascii="Times New Roman" w:cs="Times New Roman" w:eastAsia="Times New Roman" w:hAnsi="Times New Roman"/>
          <w:sz w:val="14"/>
          <w:szCs w:val="14"/>
          <w:b w:val="1"/>
          <w:bCs w:val="1"/>
          <w:color w:val="auto"/>
        </w:rPr>
      </w:pPr>
    </w:p>
    <w:p>
      <w:pPr>
        <w:ind w:left="260" w:hanging="254"/>
        <w:spacing w:after="0"/>
        <w:tabs>
          <w:tab w:leader="none" w:pos="260" w:val="left"/>
        </w:tabs>
        <w:numPr>
          <w:ilvl w:val="0"/>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Restrictions on Purchases of Company Securities</w:t>
      </w:r>
    </w:p>
    <w:p>
      <w:pPr>
        <w:spacing w:after="0" w:line="184" w:lineRule="exact"/>
        <w:rPr>
          <w:rFonts w:ascii="Times New Roman" w:cs="Times New Roman" w:eastAsia="Times New Roman" w:hAnsi="Times New Roman"/>
          <w:sz w:val="14"/>
          <w:szCs w:val="14"/>
          <w:b w:val="1"/>
          <w:bCs w:val="1"/>
          <w:color w:val="auto"/>
        </w:rPr>
      </w:pPr>
    </w:p>
    <w:p>
      <w:pPr>
        <w:jc w:val="both"/>
        <w:ind w:left="260"/>
        <w:spacing w:after="0" w:line="26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order to prevent market manipulation, the SEC adopted Regulation M under the U.S.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Governance Officer if you desire to make purchases of Company stock during any period in which the Company is conducting an offering. Similar considerations may apply during period when the Company is conducting or has announced a tender offer.</w:t>
      </w:r>
    </w:p>
    <w:p>
      <w:pPr>
        <w:spacing w:after="0" w:line="138" w:lineRule="exact"/>
        <w:rPr>
          <w:rFonts w:ascii="Times New Roman" w:cs="Times New Roman" w:eastAsia="Times New Roman" w:hAnsi="Times New Roman"/>
          <w:sz w:val="14"/>
          <w:szCs w:val="14"/>
          <w:b w:val="1"/>
          <w:bCs w:val="1"/>
          <w:color w:val="auto"/>
        </w:rPr>
      </w:pPr>
    </w:p>
    <w:p>
      <w:pPr>
        <w:ind w:left="260" w:hanging="254"/>
        <w:spacing w:after="0"/>
        <w:tabs>
          <w:tab w:leader="none" w:pos="260" w:val="left"/>
        </w:tabs>
        <w:numPr>
          <w:ilvl w:val="0"/>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Filing Requirements.</w:t>
      </w:r>
    </w:p>
    <w:p>
      <w:pPr>
        <w:spacing w:after="0" w:line="184" w:lineRule="exact"/>
        <w:rPr>
          <w:rFonts w:ascii="Times New Roman" w:cs="Times New Roman" w:eastAsia="Times New Roman" w:hAnsi="Times New Roman"/>
          <w:sz w:val="14"/>
          <w:szCs w:val="14"/>
          <w:b w:val="1"/>
          <w:bCs w:val="1"/>
          <w:color w:val="auto"/>
        </w:rPr>
      </w:pPr>
    </w:p>
    <w:p>
      <w:pPr>
        <w:jc w:val="both"/>
        <w:ind w:left="26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13(d) of the Exchange Act requires the filing of a statement on Schedule 13D (or on Schedule 13G, in certain limited circumstances) by 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35" w:lineRule="exact"/>
        <w:rPr>
          <w:rFonts w:ascii="Times New Roman" w:cs="Times New Roman" w:eastAsia="Times New Roman" w:hAnsi="Times New Roman"/>
          <w:sz w:val="14"/>
          <w:szCs w:val="14"/>
          <w:b w:val="1"/>
          <w:bCs w:val="1"/>
          <w:color w:val="auto"/>
        </w:rPr>
      </w:pPr>
    </w:p>
    <w:p>
      <w:pPr>
        <w:jc w:val="both"/>
        <w:ind w:left="26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report on Schedule 13D is required to be filed with the SEC and submitted to the Company within five business days after the reporting threshold is reached. If a material change occurs in the facts set forth in the Schedule 13D, such as an increase or decrease of one percent or more in the percentage of stock beneficially owned, an amendment disclosing the change must be filed within two business days.</w:t>
      </w:r>
    </w:p>
    <w:p>
      <w:pPr>
        <w:spacing w:after="0" w:line="135"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decrease in beneficial ownership to less than five percent is per se material and must be reported.</w:t>
      </w:r>
    </w:p>
    <w:p>
      <w:pPr>
        <w:spacing w:after="0" w:line="182" w:lineRule="exact"/>
        <w:rPr>
          <w:rFonts w:ascii="Times New Roman" w:cs="Times New Roman" w:eastAsia="Times New Roman" w:hAnsi="Times New Roman"/>
          <w:sz w:val="14"/>
          <w:szCs w:val="14"/>
          <w:b w:val="1"/>
          <w:bCs w:val="1"/>
          <w:color w:val="auto"/>
        </w:rPr>
      </w:pPr>
    </w:p>
    <w:p>
      <w:pPr>
        <w:jc w:val="both"/>
        <w:ind w:left="26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limited category of persons (such as banks, broker-dealers and insurance companies) may file on Schedule 13G, which is an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calendar quarter in which the reporting threshold is reached.</w:t>
      </w:r>
    </w:p>
    <w:p>
      <w:pPr>
        <w:spacing w:after="0" w:line="133" w:lineRule="exact"/>
        <w:rPr>
          <w:rFonts w:ascii="Times New Roman" w:cs="Times New Roman" w:eastAsia="Times New Roman" w:hAnsi="Times New Roman"/>
          <w:sz w:val="14"/>
          <w:szCs w:val="14"/>
          <w:b w:val="1"/>
          <w:bCs w:val="1"/>
          <w:color w:val="auto"/>
        </w:rPr>
      </w:pPr>
    </w:p>
    <w:p>
      <w:pPr>
        <w:jc w:val="both"/>
        <w:ind w:left="26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person is deemed the beneficial owner of securities for purposes of Section 13(d) if such person has or shares voting power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the power to vote or direct the voting of the securities) or dispositive power (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power to sell or direct the sale of the securities). A person filing a Schedule 13D may seek to disclaim beneficial ownership of any securities attributed to him or her if he or she believes there is a reasonable basis for doing so.</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82" w:name="page283"/>
    <w:bookmarkEnd w:id="282"/>
    <w:p>
      <w:pPr>
        <w:ind w:left="10540"/>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183"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14"/>
          <w:szCs w:val="14"/>
          <w:b w:val="1"/>
          <w:bCs w:val="1"/>
          <w:color w:val="auto"/>
        </w:rPr>
        <w:t>CERTIFICATION BY THE PRINCIPAL EXECUTIVE OFFICER PURSUANT TO SECURITIES EXCHANGE ACT RULES 13a-14(a) AND 15d-14(a) AS ADOPTED PURSUANT TO 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Isaias (Zak) Jose Calisto, certify that:</w:t>
      </w:r>
    </w:p>
    <w:p>
      <w:pPr>
        <w:spacing w:after="0" w:line="183" w:lineRule="exact"/>
        <w:rPr>
          <w:sz w:val="20"/>
          <w:szCs w:val="20"/>
          <w:color w:val="auto"/>
        </w:rPr>
      </w:pPr>
    </w:p>
    <w:p>
      <w:pPr>
        <w:ind w:left="520" w:hanging="256"/>
        <w:spacing w:after="0"/>
        <w:tabs>
          <w:tab w:leader="none" w:pos="5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Karooooo Ltd.;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83" w:lineRule="exact"/>
        <w:rPr>
          <w:sz w:val="20"/>
          <w:szCs w:val="20"/>
          <w:color w:val="auto"/>
        </w:rPr>
      </w:pPr>
    </w:p>
    <w:p>
      <w:pPr>
        <w:spacing w:after="0"/>
        <w:tabs>
          <w:tab w:leader="none" w:pos="6760" w:val="left"/>
          <w:tab w:leader="none" w:pos="7200" w:val="left"/>
        </w:tabs>
        <w:rPr>
          <w:sz w:val="20"/>
          <w:szCs w:val="20"/>
          <w:color w:val="auto"/>
        </w:rPr>
      </w:pPr>
      <w:r>
        <w:rPr>
          <w:rFonts w:ascii="Times New Roman" w:cs="Times New Roman" w:eastAsia="Times New Roman" w:hAnsi="Times New Roman"/>
          <w:sz w:val="14"/>
          <w:szCs w:val="14"/>
          <w:color w:val="auto"/>
        </w:rPr>
        <w:t>Date: June 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16510</wp:posOffset>
            </wp:positionV>
            <wp:extent cx="2577465" cy="133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2577465" cy="13335"/>
                    </a:xfrm>
                    <a:prstGeom prst="rect">
                      <a:avLst/>
                    </a:prstGeom>
                    <a:noFill/>
                  </pic:spPr>
                </pic:pic>
              </a:graphicData>
            </a:graphic>
          </wp:anchor>
        </w:drawing>
      </w:r>
    </w:p>
    <w:p>
      <w:pPr>
        <w:spacing w:after="0" w:line="1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Isaias (Zak) Jose Calisto</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3" w:right="319" w:bottom="1440" w:gutter="0" w:footer="0" w:header="0"/>
        </w:sectPr>
      </w:pPr>
    </w:p>
    <w:bookmarkStart w:id="283" w:name="page284"/>
    <w:bookmarkEnd w:id="283"/>
    <w:p>
      <w:pPr>
        <w:ind w:left="10540"/>
        <w:spacing w:after="0"/>
        <w:rPr>
          <w:sz w:val="20"/>
          <w:szCs w:val="20"/>
          <w:color w:val="auto"/>
        </w:rPr>
      </w:pPr>
      <w:r>
        <w:rPr>
          <w:rFonts w:ascii="Times New Roman" w:cs="Times New Roman" w:eastAsia="Times New Roman" w:hAnsi="Times New Roman"/>
          <w:sz w:val="14"/>
          <w:szCs w:val="14"/>
          <w:b w:val="1"/>
          <w:bCs w:val="1"/>
          <w:color w:val="auto"/>
        </w:rPr>
        <w:t>Exhibit 12.2</w:t>
      </w:r>
    </w:p>
    <w:p>
      <w:pPr>
        <w:spacing w:after="0" w:line="183"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14"/>
          <w:szCs w:val="14"/>
          <w:b w:val="1"/>
          <w:bCs w:val="1"/>
          <w:color w:val="auto"/>
        </w:rPr>
        <w:t>CERTIFICATION BY THE PRINCIPAL FINANCIAL OFFICER PURSUANT TO SECURITIES EXCHANGE ACT RULES 13a-14(a) AND 15d-14(a) AS ADOPTED PURSUANT TO 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Hoe Shin Goy, certify that:</w:t>
      </w:r>
    </w:p>
    <w:p>
      <w:pPr>
        <w:spacing w:after="0" w:line="183" w:lineRule="exact"/>
        <w:rPr>
          <w:sz w:val="20"/>
          <w:szCs w:val="20"/>
          <w:color w:val="auto"/>
        </w:rPr>
      </w:pPr>
    </w:p>
    <w:p>
      <w:pPr>
        <w:ind w:left="520" w:hanging="256"/>
        <w:spacing w:after="0"/>
        <w:tabs>
          <w:tab w:leader="none" w:pos="5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Karooooo Ltd.;</w:t>
      </w:r>
    </w:p>
    <w:p>
      <w:pPr>
        <w:spacing w:after="0" w:line="182"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Times New Roman" w:cs="Times New Roman" w:eastAsia="Times New Roman" w:hAnsi="Times New Roman"/>
          <w:sz w:val="14"/>
          <w:szCs w:val="14"/>
          <w:color w:val="auto"/>
        </w:rPr>
      </w:pPr>
    </w:p>
    <w:p>
      <w:pPr>
        <w:ind w:left="520" w:hanging="256"/>
        <w:spacing w:after="0" w:line="292" w:lineRule="auto"/>
        <w:tabs>
          <w:tab w:leader="none" w:pos="5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80" w:hanging="259"/>
        <w:spacing w:after="0" w:line="292" w:lineRule="auto"/>
        <w:tabs>
          <w:tab w:leader="none" w:pos="7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780" w:hanging="259"/>
        <w:spacing w:after="0"/>
        <w:tabs>
          <w:tab w:leader="none" w:pos="7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83" w:lineRule="exact"/>
        <w:rPr>
          <w:sz w:val="20"/>
          <w:szCs w:val="20"/>
          <w:color w:val="auto"/>
        </w:rPr>
      </w:pPr>
    </w:p>
    <w:p>
      <w:pPr>
        <w:spacing w:after="0"/>
        <w:tabs>
          <w:tab w:leader="none" w:pos="6760" w:val="left"/>
          <w:tab w:leader="none" w:pos="7200" w:val="left"/>
        </w:tabs>
        <w:rPr>
          <w:sz w:val="20"/>
          <w:szCs w:val="20"/>
          <w:color w:val="auto"/>
        </w:rPr>
      </w:pPr>
      <w:r>
        <w:rPr>
          <w:rFonts w:ascii="Times New Roman" w:cs="Times New Roman" w:eastAsia="Times New Roman" w:hAnsi="Times New Roman"/>
          <w:sz w:val="14"/>
          <w:szCs w:val="14"/>
          <w:color w:val="auto"/>
        </w:rPr>
        <w:t>Date: June 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16510</wp:posOffset>
            </wp:positionV>
            <wp:extent cx="2577465" cy="133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2577465" cy="13335"/>
                    </a:xfrm>
                    <a:prstGeom prst="rect">
                      <a:avLst/>
                    </a:prstGeom>
                    <a:noFill/>
                  </pic:spPr>
                </pic:pic>
              </a:graphicData>
            </a:graphic>
          </wp:anchor>
        </w:drawing>
      </w:r>
    </w:p>
    <w:p>
      <w:pPr>
        <w:spacing w:after="0" w:line="1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Hoe Shin Goy</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23" w:right="319" w:bottom="1440" w:gutter="0" w:footer="0" w:header="0"/>
        </w:sectPr>
      </w:pPr>
    </w:p>
    <w:bookmarkStart w:id="284" w:name="page285"/>
    <w:bookmarkEnd w:id="284"/>
    <w:p>
      <w:pPr>
        <w:ind w:left="10540"/>
        <w:spacing w:after="0"/>
        <w:rPr>
          <w:sz w:val="20"/>
          <w:szCs w:val="20"/>
          <w:color w:val="auto"/>
        </w:rPr>
      </w:pPr>
      <w:r>
        <w:rPr>
          <w:rFonts w:ascii="Times New Roman" w:cs="Times New Roman" w:eastAsia="Times New Roman" w:hAnsi="Times New Roman"/>
          <w:sz w:val="14"/>
          <w:szCs w:val="14"/>
          <w:b w:val="1"/>
          <w:bCs w:val="1"/>
          <w:color w:val="auto"/>
        </w:rPr>
        <w:t>Exhibit 13.1</w:t>
      </w:r>
    </w:p>
    <w:p>
      <w:pPr>
        <w:spacing w:after="0" w:line="183" w:lineRule="exact"/>
        <w:rPr>
          <w:sz w:val="20"/>
          <w:szCs w:val="20"/>
          <w:color w:val="auto"/>
        </w:rPr>
      </w:pPr>
    </w:p>
    <w:p>
      <w:pPr>
        <w:jc w:val="center"/>
        <w:ind w:left="320" w:right="400"/>
        <w:spacing w:after="0" w:line="295" w:lineRule="auto"/>
        <w:rPr>
          <w:sz w:val="20"/>
          <w:szCs w:val="20"/>
          <w:color w:val="auto"/>
        </w:rPr>
      </w:pPr>
      <w:r>
        <w:rPr>
          <w:rFonts w:ascii="Times New Roman" w:cs="Times New Roman" w:eastAsia="Times New Roman" w:hAnsi="Times New Roman"/>
          <w:sz w:val="14"/>
          <w:szCs w:val="14"/>
          <w:b w:val="1"/>
          <w:bCs w:val="1"/>
          <w:color w:val="auto"/>
        </w:rPr>
        <w:t>CERTIFICATION BY THE PRINCIPAL EXECUTIVE OFFICER AND PRINCIPAL FINANCIAL OFFICER PURSUANT TO 18 U.S.C. SECTION 1350, AS ADOPTED PURSUANT TO SECTION 906 OF THE SARBANES-OXLEY ACT OF 2002</w:t>
      </w:r>
    </w:p>
    <w:p>
      <w:pPr>
        <w:spacing w:after="0" w:line="12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 certification set forth below is being submitted in connection with the Annual Report on Form 20-F for the year ended February 28, 2025 (the “Report”) for the purpose of complying with Rule 13a-14(b) or Rule 15d-14(b) of the Securities Exchange Act of 1934 (the “Exchange Act”) and Section 1350 of Chapter 63 of Title 18 of the United States Code.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Isaias (Zak) Jose Calisto, the Chief Executive Officer and Hoe Shin Goy, the Chief Financial Officer of Karooooo Ltd., each certifies that, to the best of his or her knowledge:</w:t>
      </w:r>
    </w:p>
    <w:p>
      <w:pPr>
        <w:spacing w:after="0" w:line="183" w:lineRule="exact"/>
        <w:rPr>
          <w:sz w:val="20"/>
          <w:szCs w:val="20"/>
          <w:color w:val="auto"/>
        </w:rPr>
      </w:pPr>
    </w:p>
    <w:p>
      <w:pPr>
        <w:ind w:left="520" w:hanging="256"/>
        <w:spacing w:after="0"/>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Exchange Act; and</w:t>
      </w:r>
    </w:p>
    <w:p>
      <w:pPr>
        <w:spacing w:after="0" w:line="18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Karooooo Ltd.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Date: June 9, 2025</w:t>
            </w:r>
          </w:p>
        </w:tc>
        <w:tc>
          <w:tcPr>
            <w:tcW w:w="330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Isaias (Zak) Jose Calisto</w:t>
            </w:r>
          </w:p>
        </w:tc>
      </w:tr>
      <w:tr>
        <w:trPr>
          <w:trHeight w:val="157"/>
        </w:trPr>
        <w:tc>
          <w:tcPr>
            <w:tcW w:w="3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0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Isaias (Zak) Jose Calisto</w:t>
            </w:r>
          </w:p>
        </w:tc>
      </w:tr>
      <w:tr>
        <w:trPr>
          <w:trHeight w:val="186"/>
        </w:trPr>
        <w:tc>
          <w:tcPr>
            <w:tcW w:w="39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46"/>
        </w:trPr>
        <w:tc>
          <w:tcPr>
            <w:tcW w:w="3920" w:type="dxa"/>
            <w:vAlign w:val="bottom"/>
          </w:tcPr>
          <w:p>
            <w:pPr>
              <w:spacing w:after="0"/>
              <w:rPr>
                <w:sz w:val="24"/>
                <w:szCs w:val="24"/>
                <w:color w:val="auto"/>
              </w:rPr>
            </w:pPr>
          </w:p>
        </w:tc>
        <w:tc>
          <w:tcPr>
            <w:tcW w:w="330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Hoe Shin Goy</w:t>
            </w:r>
          </w:p>
        </w:tc>
      </w:tr>
      <w:tr>
        <w:trPr>
          <w:trHeight w:val="157"/>
        </w:trPr>
        <w:tc>
          <w:tcPr>
            <w:tcW w:w="3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0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Hoe Shin Goy</w:t>
            </w:r>
          </w:p>
        </w:tc>
      </w:tr>
      <w:tr>
        <w:trPr>
          <w:trHeight w:val="186"/>
        </w:trPr>
        <w:tc>
          <w:tcPr>
            <w:tcW w:w="39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123" w:right="31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ectPr>
          <w:pgSz w:w="11900" w:h="16838" w:orient="portrait"/>
          <w:cols w:equalWidth="0" w:num="1">
            <w:col w:w="11280"/>
          </w:cols>
          <w:pgMar w:left="300" w:top="116" w:right="319" w:bottom="1440" w:gutter="0" w:footer="0" w:header="0"/>
        </w:sectPr>
      </w:pPr>
    </w:p>
    <w:p>
      <w:pPr>
        <w:spacing w:after="0" w:line="20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Private Bag 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1329690" cy="2863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1329690" cy="286385"/>
                    </a:xfrm>
                    <a:prstGeom prst="rect">
                      <a:avLst/>
                    </a:prstGeom>
                    <a:noFill/>
                  </pic:spPr>
                </pic:pic>
              </a:graphicData>
            </a:graphic>
          </wp:anchor>
        </w:drawing>
      </w:r>
    </w:p>
    <w:p>
      <w:pPr>
        <w:spacing w:after="0" w:line="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Gallo Manor 2052</w:t>
      </w:r>
    </w:p>
    <w:p>
      <w:pPr>
        <w:spacing w:after="0" w:line="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South Africa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Deloitte &amp; Touche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Auditors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 &amp; Assurance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Deloitte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Magwa Crescent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Waterfall City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Waterfall 2090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Docex 10 Johannesburg</w:t>
      </w:r>
    </w:p>
    <w:p>
      <w:pPr>
        <w:spacing w:after="0" w:line="169" w:lineRule="exact"/>
        <w:rPr>
          <w:sz w:val="20"/>
          <w:szCs w:val="20"/>
          <w:color w:val="auto"/>
        </w:rPr>
      </w:pPr>
    </w:p>
    <w:p>
      <w:pPr>
        <w:sectPr>
          <w:pgSz w:w="11900" w:h="16838" w:orient="portrait"/>
          <w:cols w:equalWidth="0" w:num="2">
            <w:col w:w="8400" w:space="620"/>
            <w:col w:w="2260"/>
          </w:cols>
          <w:pgMar w:left="300" w:top="116" w:right="319" w:bottom="1440" w:gutter="0" w:footer="0" w:header="0"/>
          <w:type w:val="continuous"/>
        </w:sectPr>
      </w:pPr>
    </w:p>
    <w:p>
      <w:pPr>
        <w:ind w:left="9020"/>
        <w:spacing w:after="0"/>
        <w:rPr>
          <w:sz w:val="20"/>
          <w:szCs w:val="20"/>
          <w:color w:val="auto"/>
        </w:rPr>
      </w:pPr>
      <w:r>
        <w:rPr>
          <w:rFonts w:ascii="Times New Roman" w:cs="Times New Roman" w:eastAsia="Times New Roman" w:hAnsi="Times New Roman"/>
          <w:sz w:val="14"/>
          <w:szCs w:val="14"/>
          <w:color w:val="auto"/>
        </w:rPr>
        <w:t>Tel: +27 (0)11 806 5000</w:t>
      </w:r>
    </w:p>
    <w:p>
      <w:pPr>
        <w:spacing w:after="0" w:line="25"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color w:val="auto"/>
        </w:rPr>
        <w:t>www.deloitte.com</w:t>
      </w:r>
    </w:p>
    <w:p>
      <w:pPr>
        <w:sectPr>
          <w:pgSz w:w="11900" w:h="16838" w:orient="portrait"/>
          <w:cols w:equalWidth="0" w:num="1">
            <w:col w:w="11280"/>
          </w:cols>
          <w:pgMar w:left="300" w:top="116" w:right="319" w:bottom="1440" w:gutter="0" w:footer="0" w:header="0"/>
          <w:type w:val="continuous"/>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333-280758 on Form F-3 of our report dated June 9, 2025, relating to the financial statements of Karooooo Ltd. appearing in this Annual Report on Form 20-F for the year ended February 28, 2025. We also consent to the reference to us under the heading “Experts” in such Registration statement and any related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363980" cy="273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1363980" cy="27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Deloitte &amp; Touche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Johannesburg, South Africa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9, 2025</w:t>
      </w:r>
    </w:p>
    <w:p>
      <w:pPr>
        <w:sectPr>
          <w:pgSz w:w="11900" w:h="16838" w:orient="portrait"/>
          <w:cols w:equalWidth="0" w:num="1">
            <w:col w:w="11280"/>
          </w:cols>
          <w:pgMar w:left="300" w:top="116" w:right="319" w:bottom="1440" w:gutter="0" w:footer="0" w:header="0"/>
          <w:type w:val="continuous"/>
        </w:sectPr>
      </w:pPr>
    </w:p>
    <w:bookmarkStart w:id="286" w:name="page287"/>
    <w:bookmarkEnd w:id="286"/>
    <w:p>
      <w:pPr>
        <w:jc w:val="right"/>
        <w:spacing w:after="0"/>
        <w:rPr>
          <w:sz w:val="20"/>
          <w:szCs w:val="20"/>
          <w:color w:val="auto"/>
        </w:rPr>
      </w:pPr>
      <w:r>
        <w:rPr>
          <w:rFonts w:ascii="Times New Roman" w:cs="Times New Roman" w:eastAsia="Times New Roman" w:hAnsi="Times New Roman"/>
          <w:sz w:val="14"/>
          <w:szCs w:val="14"/>
          <w:b w:val="1"/>
          <w:bCs w:val="1"/>
          <w:color w:val="auto"/>
        </w:rPr>
        <w:t>Exhibit 15.2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(Form F-3 No. 333-280758) of Karooooo Ltd. and in the related Prospectus of our report dated June 13, 2024, with respect to the consolidated financial statements of Karooooo Ltd. included in this Annual Report (Form 20-F) for the year ended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1363980" cy="2387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1363980" cy="2387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Singapore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09, 2025</w:t>
      </w:r>
    </w:p>
    <w:p>
      <w:pPr>
        <w:sectPr>
          <w:pgSz w:w="11900" w:h="16838" w:orient="portrait"/>
          <w:cols w:equalWidth="0" w:num="1">
            <w:col w:w="11280"/>
          </w:cols>
          <w:pgMar w:left="300" w:top="123"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477520" cy="279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477520"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KAROOOOO LIMITED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RECOUPMENT POLICY</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This Compensation Recoupment Policy (this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provides for the recoupment of certain executive compensation in the event of an accounting restatement resulting from material noncompliance with financial reporting requirements under U.S. federal securities laws in accordance with the terms and conditions set out below. This Policy is intended to comply with the requirements of Section 10D of the Exchange Act (as defined below) and Section 5608 of the Nasdaq Listing Rules (the “</w:t>
      </w:r>
      <w:r>
        <w:rPr>
          <w:rFonts w:ascii="Times New Roman" w:cs="Times New Roman" w:eastAsia="Times New Roman" w:hAnsi="Times New Roman"/>
          <w:sz w:val="14"/>
          <w:szCs w:val="14"/>
          <w:b w:val="1"/>
          <w:bCs w:val="1"/>
          <w:color w:val="auto"/>
        </w:rPr>
        <w:t>Listing Rule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60" w:hanging="254"/>
        <w:spacing w:after="0"/>
        <w:tabs>
          <w:tab w:leader="none" w:pos="260"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this Policy, the following terms shall have the meanings set forth below.</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xml:space="preserve">” means the compensation committee of the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means Karooooo Limited.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Covered Compensation</w:t>
      </w:r>
      <w:r>
        <w:rPr>
          <w:rFonts w:ascii="Times New Roman" w:cs="Times New Roman" w:eastAsia="Times New Roman" w:hAnsi="Times New Roman"/>
          <w:sz w:val="14"/>
          <w:szCs w:val="14"/>
          <w:color w:val="auto"/>
        </w:rPr>
        <w:t>” means any Incentive-based Compensation “received” by a Covered Executive during the applicable Recoupment Period; provided that:</w:t>
      </w:r>
    </w:p>
    <w:p>
      <w:pPr>
        <w:spacing w:after="0" w:line="185" w:lineRule="exact"/>
        <w:rPr>
          <w:sz w:val="20"/>
          <w:szCs w:val="20"/>
          <w:color w:val="auto"/>
        </w:rPr>
      </w:pPr>
    </w:p>
    <w:p>
      <w:pPr>
        <w:ind w:left="260" w:hanging="254"/>
        <w:spacing w:after="0" w:line="292" w:lineRule="auto"/>
        <w:tabs>
          <w:tab w:leader="none" w:pos="2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2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Covered Executive served as an Executive Officer at any time during the performance period applicable to such Incentive-based Compensation.</w:t>
      </w:r>
    </w:p>
    <w:p>
      <w:pPr>
        <w:spacing w:after="0" w:line="18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For purposes of this Policy, Incentive-based Compensation is “received”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2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Covered Executive</w:t>
      </w:r>
      <w:r>
        <w:rPr>
          <w:rFonts w:ascii="Times New Roman" w:cs="Times New Roman" w:eastAsia="Times New Roman" w:hAnsi="Times New Roman"/>
          <w:sz w:val="14"/>
          <w:szCs w:val="14"/>
          <w:color w:val="auto"/>
        </w:rPr>
        <w:t>” means any (i) current or former Executive Officer and (ii) any other employee of the Company and its subsidiaries designated by the Committee as subject to this Policy from time to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means October 2,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7160260" cy="133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8" w:name="page289"/>
    <w:bookmarkEnd w:id="288"/>
    <w:p>
      <w:pPr>
        <w:jc w:val="both"/>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Executive Officer</w:t>
      </w:r>
      <w:r>
        <w:rPr>
          <w:rFonts w:ascii="Times New Roman" w:cs="Times New Roman" w:eastAsia="Times New Roman" w:hAnsi="Times New Roman"/>
          <w:sz w:val="14"/>
          <w:szCs w:val="14"/>
          <w:color w:val="auto"/>
        </w:rPr>
        <w:t>” means, with respect to the Company, (i) its president, (ii) chief executive officer, (iii) its principal financial officer, (iv) its principal accounting officer (or if there is no such accounting officer, its controller), (v) any vice-president in charge of a principal business unit, division or function (such as sales, administration or finance), (vi) any other officer who performs a policy-making function for the Company (including any officer of the Company’s parent(s) or subsidiaries if they perform policy-making functions for the Company) and (vii) any other person who performs similar policy- 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“Financial Reporting Measure” </w:t>
      </w:r>
      <w:r>
        <w:rPr>
          <w:rFonts w:ascii="Times New Roman" w:cs="Times New Roman" w:eastAsia="Times New Roman" w:hAnsi="Times New Roman"/>
          <w:sz w:val="14"/>
          <w:szCs w:val="14"/>
          <w:color w:val="auto"/>
        </w:rPr>
        <w:t>means any (i) measure that is determined and presented in accordance with the accounting principles used in preparing the Company’s financial statements, (ii)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.S. Securities and Exchange Commission to constitute a Financial Reporting Measure.</w:t>
      </w:r>
    </w:p>
    <w:p>
      <w:pPr>
        <w:spacing w:after="0" w:line="1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Financial Restatement</w:t>
      </w:r>
      <w:r>
        <w:rPr>
          <w:rFonts w:ascii="Times New Roman" w:cs="Times New Roman" w:eastAsia="Times New Roman" w:hAnsi="Times New Roman"/>
          <w:sz w:val="14"/>
          <w:szCs w:val="14"/>
          <w:color w:val="auto"/>
        </w:rPr>
        <w:t>” means a restatement of the Company’s financial statements due to the Company’s material noncompliance with any financial reporting requirement under U.S. federal securities laws that is required in order to correct:</w:t>
      </w:r>
    </w:p>
    <w:p>
      <w:pPr>
        <w:spacing w:after="0" w:line="122" w:lineRule="exact"/>
        <w:rPr>
          <w:sz w:val="20"/>
          <w:szCs w:val="20"/>
          <w:color w:val="auto"/>
        </w:rPr>
      </w:pPr>
    </w:p>
    <w:p>
      <w:pPr>
        <w:ind w:left="260" w:hanging="254"/>
        <w:spacing w:after="0"/>
        <w:tabs>
          <w:tab w:leader="none" w:pos="2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error in previously issued financial statements that is material to the previously issued financial statements; or</w:t>
      </w:r>
    </w:p>
    <w:p>
      <w:pPr>
        <w:spacing w:after="0" w:line="182"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error that would result in a material misstatement if the error were (a) corrected in the current period or (b) left uncorrected in the current period.</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 or (6) adjustment to provisional amounts in connection with a prior business combination.</w:t>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Incentive-based Compensation</w:t>
      </w:r>
      <w:r>
        <w:rPr>
          <w:rFonts w:ascii="Times New Roman" w:cs="Times New Roman" w:eastAsia="Times New Roman" w:hAnsi="Times New Roman"/>
          <w:sz w:val="14"/>
          <w:szCs w:val="14"/>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 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means the NASDAQ Global Select Market, or any successor thereof.</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Recoupment Period</w:t>
      </w:r>
      <w:r>
        <w:rPr>
          <w:rFonts w:ascii="Times New Roman" w:cs="Times New Roman" w:eastAsia="Times New Roman" w:hAnsi="Times New Roman"/>
          <w:sz w:val="14"/>
          <w:szCs w:val="14"/>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660" w:right="319" w:bottom="1440" w:gutter="0" w:footer="0" w:header="0"/>
        </w:sectPr>
      </w:pPr>
    </w:p>
    <w:bookmarkStart w:id="289" w:name="page290"/>
    <w:bookmarkEnd w:id="289"/>
    <w:p>
      <w:pPr>
        <w:jc w:val="both"/>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“Recoupment Trigger Date” </w:t>
      </w:r>
      <w:r>
        <w:rPr>
          <w:rFonts w:ascii="Times New Roman" w:cs="Times New Roman" w:eastAsia="Times New Roman" w:hAnsi="Times New Roman"/>
          <w:sz w:val="14"/>
          <w:szCs w:val="14"/>
          <w:color w:val="auto"/>
        </w:rPr>
        <w:t>means the earlier of (i) the date that the Board (or a committee thereof or the officer(s) of the Company authorized to take such action if Board action is not required)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34" w:lineRule="exact"/>
        <w:rPr>
          <w:sz w:val="20"/>
          <w:szCs w:val="20"/>
          <w:color w:val="auto"/>
        </w:rPr>
      </w:pPr>
    </w:p>
    <w:p>
      <w:pPr>
        <w:ind w:left="260" w:hanging="254"/>
        <w:spacing w:after="0"/>
        <w:tabs>
          <w:tab w:leader="none" w:pos="2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Recoupment of Erroneously Awarded Compensation.</w:t>
      </w:r>
    </w:p>
    <w:p>
      <w:pPr>
        <w:spacing w:after="0" w:line="185" w:lineRule="exact"/>
        <w:rPr>
          <w:sz w:val="20"/>
          <w:szCs w:val="20"/>
          <w:color w:val="auto"/>
        </w:rPr>
      </w:pPr>
    </w:p>
    <w:p>
      <w:pPr>
        <w:jc w:val="both"/>
        <w:ind w:left="260" w:hanging="257"/>
        <w:spacing w:after="0" w:line="268" w:lineRule="auto"/>
        <w:rPr>
          <w:sz w:val="20"/>
          <w:szCs w:val="20"/>
          <w:color w:val="auto"/>
        </w:rPr>
      </w:pPr>
      <w:r>
        <w:rPr>
          <w:rFonts w:ascii="Times New Roman" w:cs="Times New Roman" w:eastAsia="Times New Roman" w:hAnsi="Times New Roman"/>
          <w:sz w:val="14"/>
          <w:szCs w:val="14"/>
          <w:color w:val="auto"/>
        </w:rPr>
        <w:t>2.1. In the event of a Financial Restatement, if the amount of any Covered Compensation received by a Covered Executive (the “Awarded Compensation”) exceeds the amount of such Covered Compensation that would have otherwise been received by such Covered Executive if calculated based on the Financial Restatement (the “Adjusted Compensation”), the Company shall reasonably promptly recover from such Covered Executive an amount equal to the excess of the Awarded Compensation over the Adjusted Compensation, each calculated on a pre-tax basis (such excess amount, the “Erroneously Awarded Compensation”).</w:t>
      </w:r>
    </w:p>
    <w:p>
      <w:pPr>
        <w:spacing w:after="0" w:line="140" w:lineRule="exact"/>
        <w:rPr>
          <w:sz w:val="20"/>
          <w:szCs w:val="20"/>
          <w:color w:val="auto"/>
        </w:rPr>
      </w:pPr>
    </w:p>
    <w:p>
      <w:pPr>
        <w:jc w:val="both"/>
        <w:ind w:left="260" w:hanging="257"/>
        <w:spacing w:after="0" w:line="268" w:lineRule="auto"/>
        <w:rPr>
          <w:sz w:val="20"/>
          <w:szCs w:val="20"/>
          <w:color w:val="auto"/>
        </w:rPr>
      </w:pPr>
      <w:r>
        <w:rPr>
          <w:rFonts w:ascii="Times New Roman" w:cs="Times New Roman" w:eastAsia="Times New Roman" w:hAnsi="Times New Roman"/>
          <w:sz w:val="14"/>
          <w:szCs w:val="14"/>
          <w:color w:val="auto"/>
        </w:rPr>
        <w:t>2.2. 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40" w:lineRule="exact"/>
        <w:rPr>
          <w:sz w:val="20"/>
          <w:szCs w:val="20"/>
          <w:color w:val="auto"/>
        </w:rPr>
      </w:pPr>
    </w:p>
    <w:p>
      <w:pPr>
        <w:jc w:val="both"/>
        <w:ind w:left="260" w:hanging="257"/>
        <w:spacing w:after="0" w:line="292" w:lineRule="auto"/>
        <w:rPr>
          <w:sz w:val="20"/>
          <w:szCs w:val="20"/>
          <w:color w:val="auto"/>
        </w:rPr>
      </w:pPr>
      <w:r>
        <w:rPr>
          <w:rFonts w:ascii="Times New Roman" w:cs="Times New Roman" w:eastAsia="Times New Roman" w:hAnsi="Times New Roman"/>
          <w:sz w:val="14"/>
          <w:szCs w:val="14"/>
          <w:color w:val="auto"/>
        </w:rPr>
        <w:t>2.3. 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24" w:lineRule="exact"/>
        <w:rPr>
          <w:sz w:val="20"/>
          <w:szCs w:val="20"/>
          <w:color w:val="auto"/>
        </w:rPr>
      </w:pPr>
    </w:p>
    <w:p>
      <w:pPr>
        <w:jc w:val="both"/>
        <w:ind w:left="260" w:hanging="257"/>
        <w:spacing w:after="0" w:line="274" w:lineRule="auto"/>
        <w:rPr>
          <w:sz w:val="20"/>
          <w:szCs w:val="20"/>
          <w:color w:val="auto"/>
        </w:rPr>
      </w:pPr>
      <w:r>
        <w:rPr>
          <w:rFonts w:ascii="Times New Roman" w:cs="Times New Roman" w:eastAsia="Times New Roman" w:hAnsi="Times New Roman"/>
          <w:sz w:val="14"/>
          <w:szCs w:val="14"/>
          <w:color w:val="auto"/>
        </w:rPr>
        <w:t>2.4. Notwithstanding anything to the contrary in Sections 2.1 through 2.3 hereof, the Company shall not be required to recover any Erroneously Awarded Compensation if both (i) the conditions set forth in either of the following clauses 2.4.1, 2.4.2, or 2.4.3 are satisfied and (ii) the Board’s committee of independent directors responsible for executive compensation decisions (or, in the absence of such a committee, a majority of the independent directors serving on the Board) has determined that recovery of the Erroneously Awarded Compensation would be impracticable:</w:t>
      </w:r>
    </w:p>
    <w:p>
      <w:pPr>
        <w:spacing w:after="0" w:line="136" w:lineRule="exact"/>
        <w:rPr>
          <w:sz w:val="20"/>
          <w:szCs w:val="20"/>
          <w:color w:val="auto"/>
        </w:rPr>
      </w:pPr>
    </w:p>
    <w:p>
      <w:pPr>
        <w:jc w:val="both"/>
        <w:ind w:left="520" w:hanging="514"/>
        <w:spacing w:after="0" w:line="268" w:lineRule="auto"/>
        <w:tabs>
          <w:tab w:leader="none" w:pos="500" w:val="left"/>
        </w:tabs>
        <w:rPr>
          <w:sz w:val="20"/>
          <w:szCs w:val="20"/>
          <w:color w:val="auto"/>
        </w:rPr>
      </w:pPr>
      <w:r>
        <w:rPr>
          <w:rFonts w:ascii="Times New Roman" w:cs="Times New Roman" w:eastAsia="Times New Roman" w:hAnsi="Times New Roman"/>
          <w:sz w:val="14"/>
          <w:szCs w:val="14"/>
          <w:color w:val="auto"/>
        </w:rPr>
        <w:t>2.4.1.</w:t>
        <w:tab/>
        <w:t>the direct expense paid to a third party to assist in enforcing the recovery of the Erroneously Awarded Compensation under this Policy would exceed the amount of such Erroneously Awarded Compensation to be recovered; provided that, before concluding that it would be impracticable to recover any amount of Erroneously Awarded Compensation pursuant to this Section 2.4, the Company shall have first made a reasonable attempt to recover such Erroneously Awarded Compensation, document such reasonable attempt(s) to make such recovery and provide that documentation to the Nasdaq;</w:t>
      </w:r>
    </w:p>
    <w:p>
      <w:pPr>
        <w:spacing w:after="0" w:line="138" w:lineRule="exact"/>
        <w:rPr>
          <w:sz w:val="20"/>
          <w:szCs w:val="20"/>
          <w:color w:val="auto"/>
        </w:rPr>
      </w:pPr>
    </w:p>
    <w:p>
      <w:pPr>
        <w:jc w:val="both"/>
        <w:ind w:left="520" w:hanging="514"/>
        <w:spacing w:after="0" w:line="275" w:lineRule="auto"/>
        <w:tabs>
          <w:tab w:leader="none" w:pos="500" w:val="left"/>
        </w:tabs>
        <w:rPr>
          <w:sz w:val="20"/>
          <w:szCs w:val="20"/>
          <w:color w:val="auto"/>
        </w:rPr>
      </w:pPr>
      <w:r>
        <w:rPr>
          <w:rFonts w:ascii="Times New Roman" w:cs="Times New Roman" w:eastAsia="Times New Roman" w:hAnsi="Times New Roman"/>
          <w:sz w:val="14"/>
          <w:szCs w:val="14"/>
          <w:color w:val="auto"/>
        </w:rPr>
        <w:t>2.4.2.</w:t>
        <w:tab/>
        <w:t xml:space="preserve">recovery of the Erroneously Awarded Compensation would violate Singapore law to the extent such law was adopted prior to November 28, 2022;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before concluding that it would be impracticable to recover any amount of Erroneously Awarded Compensation pursuant to this Section 2.4, the Company shall have first obtained an opinion of home country counsel of Singapore, that is acceptable to the Nasdaq, that recovery would result in such a violation, and the Company must provide such opinion to the Nasdaq; or</w:t>
      </w:r>
    </w:p>
    <w:p>
      <w:pPr>
        <w:spacing w:after="0" w:line="136" w:lineRule="exact"/>
        <w:rPr>
          <w:sz w:val="20"/>
          <w:szCs w:val="20"/>
          <w:color w:val="auto"/>
        </w:rPr>
      </w:pPr>
    </w:p>
    <w:p>
      <w:pPr>
        <w:jc w:val="both"/>
        <w:ind w:left="520" w:hanging="514"/>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2.4.3.</w:t>
        <w:tab/>
        <w:t>recovery of the Erroneously Awarded Compensation would likely cause an otherwise tax- qualified retirement plan, under which benefits are broadly available to employees of the Company, to fail to meet the requirements of Sections 401(a)(13) or 411(a) of the U.S. Internal Revenue Code of 1986, as amended (the “Code”).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660" w:right="319" w:bottom="1440" w:gutter="0" w:footer="0" w:header="0"/>
        </w:sectPr>
      </w:pPr>
    </w:p>
    <w:bookmarkStart w:id="290" w:name="page291"/>
    <w:bookmarkEnd w:id="290"/>
    <w:p>
      <w:pPr>
        <w:jc w:val="both"/>
        <w:ind w:left="260" w:hanging="257"/>
        <w:spacing w:after="0" w:line="292" w:lineRule="auto"/>
        <w:rPr>
          <w:sz w:val="20"/>
          <w:szCs w:val="20"/>
          <w:color w:val="auto"/>
        </w:rPr>
      </w:pPr>
      <w:r>
        <w:rPr>
          <w:rFonts w:ascii="Times New Roman" w:cs="Times New Roman" w:eastAsia="Times New Roman" w:hAnsi="Times New Roman"/>
          <w:sz w:val="14"/>
          <w:szCs w:val="14"/>
          <w:color w:val="auto"/>
        </w:rPr>
        <w:t>2.5. 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24" w:lineRule="exact"/>
        <w:rPr>
          <w:sz w:val="20"/>
          <w:szCs w:val="20"/>
          <w:color w:val="auto"/>
        </w:rPr>
      </w:pPr>
    </w:p>
    <w:p>
      <w:pPr>
        <w:jc w:val="both"/>
        <w:ind w:left="260" w:hanging="257"/>
        <w:spacing w:after="0" w:line="262" w:lineRule="auto"/>
        <w:rPr>
          <w:sz w:val="20"/>
          <w:szCs w:val="20"/>
          <w:color w:val="auto"/>
        </w:rPr>
      </w:pPr>
      <w:r>
        <w:rPr>
          <w:rFonts w:ascii="Times New Roman" w:cs="Times New Roman" w:eastAsia="Times New Roman" w:hAnsi="Times New Roman"/>
          <w:sz w:val="14"/>
          <w:szCs w:val="14"/>
          <w:color w:val="auto"/>
        </w:rPr>
        <w:t>2.6. 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2.4, in no event may the Company accept an amount that is less than the amount of Erroneously Awarded Compensation; provided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42" w:lineRule="exact"/>
        <w:rPr>
          <w:sz w:val="20"/>
          <w:szCs w:val="20"/>
          <w:color w:val="auto"/>
        </w:rPr>
      </w:pPr>
    </w:p>
    <w:p>
      <w:pPr>
        <w:ind w:left="260" w:hanging="254"/>
        <w:spacing w:after="0"/>
        <w:tabs>
          <w:tab w:leader="none" w:pos="26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Administration</w:t>
      </w:r>
    </w:p>
    <w:p>
      <w:pPr>
        <w:spacing w:after="0" w:line="184" w:lineRule="exact"/>
        <w:rPr>
          <w:rFonts w:ascii="Times New Roman" w:cs="Times New Roman" w:eastAsia="Times New Roman" w:hAnsi="Times New Roman"/>
          <w:sz w:val="14"/>
          <w:szCs w:val="14"/>
          <w:color w:val="auto"/>
        </w:rPr>
      </w:pPr>
    </w:p>
    <w:p>
      <w:pPr>
        <w:jc w:val="both"/>
        <w:ind w:left="26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42"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Amendment/Termination</w:t>
      </w:r>
    </w:p>
    <w:p>
      <w:pPr>
        <w:spacing w:after="0" w:line="184" w:lineRule="exact"/>
        <w:rPr>
          <w:rFonts w:ascii="Times New Roman" w:cs="Times New Roman" w:eastAsia="Times New Roman" w:hAnsi="Times New Roman"/>
          <w:sz w:val="14"/>
          <w:szCs w:val="14"/>
          <w:color w:val="auto"/>
        </w:rPr>
      </w:pPr>
    </w:p>
    <w:p>
      <w:pPr>
        <w:jc w:val="both"/>
        <w:ind w:left="26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10D of the Exchange Act and the Listing Rule, this Policy may be amended or terminated by the Committee at any time; subject furthermore to applicable provisions of the Singapore Companies Act and the Company’s Constitution, as may be required.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4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Interpretation</w:t>
      </w:r>
    </w:p>
    <w:p>
      <w:pPr>
        <w:spacing w:after="0" w:line="184" w:lineRule="exact"/>
        <w:rPr>
          <w:rFonts w:ascii="Times New Roman" w:cs="Times New Roman" w:eastAsia="Times New Roman" w:hAnsi="Times New Roman"/>
          <w:sz w:val="14"/>
          <w:szCs w:val="14"/>
          <w:color w:val="auto"/>
        </w:rPr>
      </w:pPr>
    </w:p>
    <w:p>
      <w:pPr>
        <w:jc w:val="both"/>
        <w:ind w:left="26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662" w:right="319" w:bottom="1440" w:gutter="0" w:footer="0" w:header="0"/>
        </w:sectPr>
      </w:pPr>
    </w:p>
    <w:bookmarkStart w:id="291" w:name="page292"/>
    <w:bookmarkEnd w:id="291"/>
    <w:p>
      <w:pPr>
        <w:ind w:left="260" w:hanging="254"/>
        <w:spacing w:after="0"/>
        <w:tabs>
          <w:tab w:leader="none" w:pos="2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Compensation Clawback/Recoupment Rights</w:t>
      </w:r>
    </w:p>
    <w:p>
      <w:pPr>
        <w:spacing w:after="0" w:line="184" w:lineRule="exact"/>
        <w:rPr>
          <w:rFonts w:ascii="Times New Roman" w:cs="Times New Roman" w:eastAsia="Times New Roman" w:hAnsi="Times New Roman"/>
          <w:sz w:val="14"/>
          <w:szCs w:val="14"/>
          <w:color w:val="auto"/>
        </w:rPr>
      </w:pPr>
    </w:p>
    <w:p>
      <w:pPr>
        <w:jc w:val="both"/>
        <w:ind w:left="26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cash incentive plan or program, equity plan or program, equity award agreement or similar plan or agreement, and any other legal remedies available to the Company, as well as applicable law, stock market or exchange rules, listing standards or regulations; provided, however, that any amounts recouped or clawed back under any other policy that would be recoupable under this Policy shall count toward any required clawback or recoupment under this Policy and vice versa.</w:t>
      </w:r>
    </w:p>
    <w:p>
      <w:pPr>
        <w:spacing w:after="0" w:line="14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Exempt Compensation</w:t>
      </w:r>
    </w:p>
    <w:p>
      <w:pPr>
        <w:spacing w:after="0" w:line="184" w:lineRule="exact"/>
        <w:rPr>
          <w:rFonts w:ascii="Times New Roman" w:cs="Times New Roman" w:eastAsia="Times New Roman" w:hAnsi="Times New Roman"/>
          <w:sz w:val="14"/>
          <w:szCs w:val="14"/>
          <w:color w:val="auto"/>
        </w:rPr>
      </w:pPr>
    </w:p>
    <w:p>
      <w:pPr>
        <w:jc w:val="both"/>
        <w:ind w:left="26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provided that such amounts are in no way contingent on, and were not in any way granted on the basis of, the achievement of any Financial Reporting Measure performance goal.</w:t>
      </w:r>
    </w:p>
    <w:p>
      <w:pPr>
        <w:spacing w:after="0" w:line="138"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Miscellaneous</w:t>
      </w:r>
    </w:p>
    <w:p>
      <w:pPr>
        <w:spacing w:after="0" w:line="185" w:lineRule="exact"/>
        <w:rPr>
          <w:sz w:val="20"/>
          <w:szCs w:val="20"/>
          <w:color w:val="auto"/>
        </w:rPr>
      </w:pPr>
    </w:p>
    <w:p>
      <w:pPr>
        <w:jc w:val="both"/>
        <w:ind w:left="280" w:hanging="267"/>
        <w:spacing w:after="0" w:line="265" w:lineRule="auto"/>
        <w:rPr>
          <w:sz w:val="20"/>
          <w:szCs w:val="20"/>
          <w:color w:val="auto"/>
        </w:rPr>
      </w:pPr>
      <w:r>
        <w:rPr>
          <w:rFonts w:ascii="Times New Roman" w:cs="Times New Roman" w:eastAsia="Times New Roman" w:hAnsi="Times New Roman"/>
          <w:sz w:val="14"/>
          <w:szCs w:val="14"/>
          <w:color w:val="auto"/>
        </w:rPr>
        <w:t>8.1. 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any current or former Karooooo Limited Executive Incentive Program (including the “Cherry- on-Top” plan) and any successor plans thereto.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 This Policy shall be binding and enforceable against all Covered Executives and their beneficiaries, heirs, executors, administrators or other legal representatives.</w:t>
      </w:r>
    </w:p>
    <w:p>
      <w:pPr>
        <w:spacing w:after="0" w:line="183" w:lineRule="exact"/>
        <w:rPr>
          <w:sz w:val="20"/>
          <w:szCs w:val="20"/>
          <w:color w:val="auto"/>
        </w:rPr>
      </w:pPr>
    </w:p>
    <w:p>
      <w:pPr>
        <w:jc w:val="both"/>
        <w:ind w:left="280" w:hanging="267"/>
        <w:spacing w:after="0" w:line="271" w:lineRule="auto"/>
        <w:rPr>
          <w:sz w:val="20"/>
          <w:szCs w:val="20"/>
          <w:color w:val="auto"/>
        </w:rPr>
      </w:pPr>
      <w:r>
        <w:rPr>
          <w:rFonts w:ascii="Times New Roman" w:cs="Times New Roman" w:eastAsia="Times New Roman" w:hAnsi="Times New Roman"/>
          <w:sz w:val="14"/>
          <w:szCs w:val="14"/>
          <w:color w:val="auto"/>
        </w:rPr>
        <w:t>8.3. 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Republic of Singapore, without giving effect to any choice of law or conflict of law rules or provisions (whether of the Republic of Singapore or any other jurisdiction) that would cause the application of the laws of any jurisdiction other than the Republic of Singapore.</w:t>
      </w:r>
    </w:p>
    <w:p>
      <w:pPr>
        <w:spacing w:after="0" w:line="314" w:lineRule="exact"/>
        <w:rPr>
          <w:sz w:val="20"/>
          <w:szCs w:val="20"/>
          <w:color w:val="auto"/>
        </w:rPr>
      </w:pPr>
    </w:p>
    <w:p>
      <w:pPr>
        <w:jc w:val="both"/>
        <w:ind w:left="260" w:hanging="257"/>
        <w:spacing w:after="0" w:line="262" w:lineRule="auto"/>
        <w:rPr>
          <w:sz w:val="20"/>
          <w:szCs w:val="20"/>
          <w:color w:val="auto"/>
        </w:rPr>
      </w:pPr>
      <w:r>
        <w:rPr>
          <w:rFonts w:ascii="Times New Roman" w:cs="Times New Roman" w:eastAsia="Times New Roman" w:hAnsi="Times New Roman"/>
          <w:sz w:val="14"/>
          <w:szCs w:val="14"/>
          <w:color w:val="auto"/>
        </w:rPr>
        <w:t>8.4. 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in Singapore, by a single arbitrator in accordance with the Arbitration Rules of the Singapore International Arbitration Centre (“SIAC Rules”) for the time being in force which rules are deemed to be incorporated by reference into this Policy. To the fullest extent permitted by law, the Covered Executives, their beneficiaries, heirs, executors, administrators and any other legal representative and the Company, shall waive (and shall hereby be deemed to have waived) (1) the right to resolve any such dispute through a trial by jury or judge or administrative proceeding; and (2) any objection to arbitration taking place in Singapore.</w:t>
      </w:r>
    </w:p>
    <w:p>
      <w:pPr>
        <w:spacing w:after="0" w:line="144" w:lineRule="exact"/>
        <w:rPr>
          <w:sz w:val="20"/>
          <w:szCs w:val="20"/>
          <w:color w:val="auto"/>
        </w:rPr>
      </w:pPr>
    </w:p>
    <w:p>
      <w:pPr>
        <w:jc w:val="both"/>
        <w:ind w:left="280" w:hanging="267"/>
        <w:spacing w:after="0" w:line="292" w:lineRule="auto"/>
        <w:rPr>
          <w:sz w:val="20"/>
          <w:szCs w:val="20"/>
          <w:color w:val="auto"/>
        </w:rPr>
      </w:pPr>
      <w:r>
        <w:rPr>
          <w:rFonts w:ascii="Times New Roman" w:cs="Times New Roman" w:eastAsia="Times New Roman" w:hAnsi="Times New Roman"/>
          <w:sz w:val="14"/>
          <w:szCs w:val="14"/>
          <w:color w:val="auto"/>
        </w:rPr>
        <w:t>8.5. 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Policy was adopted by the Board on 22 November 2023.</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660" w:right="31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AND ACKNOWLEDGEMENT OF COMPENSATION RECOUPMENT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my signature below, I acknowledge and agree that:</w:t>
      </w:r>
    </w:p>
    <w:p>
      <w:pPr>
        <w:spacing w:after="0" w:line="183" w:lineRule="exact"/>
        <w:rPr>
          <w:sz w:val="20"/>
          <w:szCs w:val="20"/>
          <w:color w:val="auto"/>
        </w:rPr>
      </w:pPr>
    </w:p>
    <w:p>
      <w:pPr>
        <w:ind w:left="260" w:hanging="254"/>
        <w:spacing w:after="0"/>
        <w:tabs>
          <w:tab w:leader="none" w:pos="2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received and read the attached Compensation Recoupment Policy (the “Policy”);</w:t>
      </w:r>
    </w:p>
    <w:p>
      <w:pPr>
        <w:spacing w:after="0" w:line="182" w:lineRule="exact"/>
        <w:rPr>
          <w:rFonts w:ascii="Times New Roman" w:cs="Times New Roman" w:eastAsia="Times New Roman" w:hAnsi="Times New Roman"/>
          <w:sz w:val="14"/>
          <w:szCs w:val="14"/>
          <w:color w:val="auto"/>
        </w:rPr>
      </w:pPr>
    </w:p>
    <w:p>
      <w:pPr>
        <w:ind w:left="260" w:hanging="254"/>
        <w:spacing w:after="0" w:line="292" w:lineRule="auto"/>
        <w:tabs>
          <w:tab w:leader="none" w:pos="2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fully bound by, and subject to, and I shall abide by, all of the terms of the Policy both during and after my employment with Karooooo Limited (the “Company”), including, without limitation, by promptly repaying or returning any Erroneously Awarded Compensation (as defined in the Policy) to the Company, as determined in accordance with the Policy;</w:t>
      </w:r>
    </w:p>
    <w:p>
      <w:pPr>
        <w:spacing w:after="0" w:line="123" w:lineRule="exact"/>
        <w:rPr>
          <w:rFonts w:ascii="Times New Roman" w:cs="Times New Roman" w:eastAsia="Times New Roman" w:hAnsi="Times New Roman"/>
          <w:sz w:val="14"/>
          <w:szCs w:val="14"/>
          <w:color w:val="auto"/>
        </w:rPr>
      </w:pPr>
    </w:p>
    <w:p>
      <w:pPr>
        <w:ind w:left="260" w:hanging="254"/>
        <w:spacing w:after="0" w:line="292" w:lineRule="auto"/>
        <w:tabs>
          <w:tab w:leader="none" w:pos="2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Incentive-based Compensation (as defined in the Policy) “received” by or otherwise provided to me (including any Incentive-based Compensation granted, paid or provided to or earned by, me, whether before, on or following the date of this acknowledgement) shall be subject to recoupment and/or forfeiture pursuant to the Policy, subject to the terms and conditions thereof;</w:t>
      </w:r>
    </w:p>
    <w:p>
      <w:pPr>
        <w:spacing w:after="0" w:line="123" w:lineRule="exact"/>
        <w:rPr>
          <w:rFonts w:ascii="Times New Roman" w:cs="Times New Roman" w:eastAsia="Times New Roman" w:hAnsi="Times New Roman"/>
          <w:sz w:val="14"/>
          <w:szCs w:val="14"/>
          <w:color w:val="auto"/>
        </w:rPr>
      </w:pPr>
    </w:p>
    <w:p>
      <w:pPr>
        <w:ind w:left="260" w:hanging="254"/>
        <w:spacing w:after="0" w:line="292" w:lineRule="auto"/>
        <w:tabs>
          <w:tab w:leader="none" w:pos="2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inconsistency between the Policy and the terms of any employment or similar agreement to which I am a party, or the terms of any compensation plan, program or agreement under which any incentive-based compensation has been granted, awarded, earned or paid to me, the terms of the Policy shall govern;</w:t>
      </w:r>
    </w:p>
    <w:p>
      <w:pPr>
        <w:spacing w:after="0" w:line="123" w:lineRule="exact"/>
        <w:rPr>
          <w:rFonts w:ascii="Times New Roman" w:cs="Times New Roman" w:eastAsia="Times New Roman" w:hAnsi="Times New Roman"/>
          <w:sz w:val="14"/>
          <w:szCs w:val="14"/>
          <w:color w:val="auto"/>
        </w:rPr>
      </w:pPr>
    </w:p>
    <w:p>
      <w:pPr>
        <w:ind w:left="260" w:hanging="254"/>
        <w:spacing w:after="0" w:line="292" w:lineRule="auto"/>
        <w:tabs>
          <w:tab w:leader="none" w:pos="2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it is determined by the Committee (as defined in the Policy) that any amounts granted, awarded, earned or paid to me must be forfeited or reimbursed to the Company, I will promptly take any action necessary to effectuate such forfeiture and/or reimbursement; and</w:t>
      </w:r>
    </w:p>
    <w:p>
      <w:pPr>
        <w:spacing w:after="0" w:line="12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not entitled to indemnification or right of advancement of expenses in connection with any enforcement of the Policy by the Company.</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Signature: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Printed Name: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133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sectPr>
      <w:pgSz w:w="11900" w:h="16838" w:orient="portrait"/>
      <w:cols w:equalWidth="0" w:num="1">
        <w:col w:w="11280"/>
      </w:cols>
      <w:pgMar w:left="300" w:top="66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lvl w:ilvl="1">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1)"/>
      <w:numFmt w:val="lowerRoman"/>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1."/>
      <w:numFmt w:val="upperLetter"/>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1."/>
      <w:numFmt w:val="upperLetter"/>
      <w:start w:val="2"/>
    </w:lvl>
  </w:abstractNum>
  <w:abstractNum w:abstractNumId="29">
    <w:nsid w:val="69E373"/>
    <w:multiLevelType w:val="hybridMultilevel"/>
    <w:lvl w:ilvl="0">
      <w:lvlJc w:val="left"/>
      <w:lvlText w:val="●"/>
      <w:numFmt w:val="bullet"/>
      <w:start w:val="1"/>
    </w:lvl>
    <w:lvl w:ilvl="1">
      <w:lvlJc w:val="left"/>
      <w:lvlText w:val="●"/>
      <w:numFmt w:val="bullet"/>
      <w:start w:val="1"/>
    </w:lvl>
  </w:abstractNum>
  <w:abstractNum w:abstractNumId="30">
    <w:nsid w:val="2C27173B"/>
    <w:multiLevelType w:val="hybridMultilevel"/>
    <w:lvl w:ilvl="0">
      <w:lvlJc w:val="left"/>
      <w:lvlText w:val="●"/>
      <w:numFmt w:val="bullet"/>
      <w:start w:val="1"/>
    </w:lvl>
    <w:lvl w:ilvl="1">
      <w:lvlJc w:val="left"/>
      <w:lvlText w:val="●"/>
      <w:numFmt w:val="bullet"/>
      <w:start w:val="1"/>
    </w:lvl>
  </w:abstractNum>
  <w:abstractNum w:abstractNumId="31">
    <w:nsid w:val="4C9B0904"/>
    <w:multiLevelType w:val="hybridMultilevel"/>
    <w:lvl w:ilvl="0">
      <w:lvlJc w:val="left"/>
      <w:lvlText w:val="●"/>
      <w:numFmt w:val="bullet"/>
      <w:start w:val="1"/>
    </w:lvl>
    <w:lvl w:ilvl="1">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1"/>
      <w:numFmt w:val="bullet"/>
      <w:start w:val="1"/>
    </w:lvl>
  </w:abstractNum>
  <w:abstractNum w:abstractNumId="38">
    <w:nsid w:val="5B25ACE2"/>
    <w:multiLevelType w:val="hybridMultilevel"/>
    <w:lvl w:ilvl="0">
      <w:lvlJc w:val="left"/>
      <w:lvlText w:val="2"/>
      <w:numFmt w:val="bullet"/>
      <w:start w:val="1"/>
    </w:lvl>
  </w:abstractNum>
  <w:abstractNum w:abstractNumId="39">
    <w:nsid w:val="175DFCF0"/>
    <w:multiLevelType w:val="hybridMultilevel"/>
    <w:lvl w:ilvl="0">
      <w:lvlJc w:val="left"/>
      <w:lvlText w:val="3"/>
      <w:numFmt w:val="bullet"/>
      <w:start w:val="1"/>
    </w:lvl>
  </w:abstractNum>
  <w:abstractNum w:abstractNumId="40">
    <w:nsid w:val="4F97E3E4"/>
    <w:multiLevelType w:val="hybridMultilevel"/>
    <w:lvl w:ilvl="0">
      <w:lvlJc w:val="left"/>
      <w:lvlText w:val="4"/>
      <w:numFmt w:val="bullet"/>
      <w:start w:val="1"/>
    </w:lvl>
  </w:abstractNum>
  <w:abstractNum w:abstractNumId="41">
    <w:nsid w:val="53B0A9E"/>
    <w:multiLevelType w:val="hybridMultilevel"/>
    <w:lvl w:ilvl="0">
      <w:lvlJc w:val="left"/>
      <w:lvlText w:val="5"/>
      <w:numFmt w:val="bullet"/>
      <w:start w:val="1"/>
    </w:lvl>
  </w:abstractNum>
  <w:abstractNum w:abstractNumId="42">
    <w:nsid w:val="34FD6B4F"/>
    <w:multiLevelType w:val="hybridMultilevel"/>
    <w:lvl w:ilvl="0">
      <w:lvlJc w:val="left"/>
      <w:lvlText w:val="6"/>
      <w:numFmt w:val="bullet"/>
      <w:start w:val="1"/>
    </w:lvl>
  </w:abstractNum>
  <w:abstractNum w:abstractNumId="43">
    <w:nsid w:val="5915FF32"/>
    <w:multiLevelType w:val="hybridMultilevel"/>
    <w:lvl w:ilvl="0">
      <w:lvlJc w:val="left"/>
      <w:lvlText w:val="7"/>
      <w:numFmt w:val="bullet"/>
      <w:start w:val="1"/>
    </w:lvl>
  </w:abstractNum>
  <w:abstractNum w:abstractNumId="44">
    <w:nsid w:val="56438D15"/>
    <w:multiLevelType w:val="hybridMultilevel"/>
    <w:lvl w:ilvl="0">
      <w:lvlJc w:val="left"/>
      <w:lvlText w:val="●"/>
      <w:numFmt w:val="bullet"/>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1)"/>
      <w:numFmt w:val="decimal"/>
      <w:start w:val="1"/>
    </w:lvl>
  </w:abstractNum>
  <w:abstractNum w:abstractNumId="47">
    <w:nsid w:val="17A1B582"/>
    <w:multiLevelType w:val="hybridMultilevel"/>
    <w:lvl w:ilvl="0">
      <w:lvlJc w:val="left"/>
      <w:lvlText w:val="(%1)"/>
      <w:numFmt w:val="decimal"/>
      <w:start w:val="1"/>
    </w:lvl>
  </w:abstractNum>
  <w:abstractNum w:abstractNumId="48">
    <w:nsid w:val="4DF72E4E"/>
    <w:multiLevelType w:val="hybridMultilevel"/>
    <w:lvl w:ilvl="0">
      <w:lvlJc w:val="left"/>
      <w:lvlText w:val="(%1)"/>
      <w:numFmt w:val="decimal"/>
      <w:start w:val="1"/>
    </w:lvl>
  </w:abstractNum>
  <w:abstractNum w:abstractNumId="49">
    <w:nsid w:val="5046B5A9"/>
    <w:multiLevelType w:val="hybridMultilevel"/>
    <w:lvl w:ilvl="0">
      <w:lvlJc w:val="left"/>
      <w:lvlText w:val="(%1)"/>
      <w:numFmt w:val="decimal"/>
      <w:start w:val="1"/>
    </w:lvl>
  </w:abstractNum>
  <w:abstractNum w:abstractNumId="50">
    <w:nsid w:val="5D888A08"/>
    <w:multiLevelType w:val="hybridMultilevel"/>
    <w:lvl w:ilvl="0">
      <w:lvlJc w:val="left"/>
      <w:lvlText w:val="(%1)"/>
      <w:numFmt w:val="decimal"/>
      <w:start w:val="1"/>
    </w:lvl>
  </w:abstractNum>
  <w:abstractNum w:abstractNumId="51">
    <w:nsid w:val="2A082C70"/>
    <w:multiLevelType w:val="hybridMultilevel"/>
    <w:lvl w:ilvl="0">
      <w:lvlJc w:val="left"/>
      <w:lvlText w:val="(%1)"/>
      <w:numFmt w:val="decimal"/>
      <w:start w:val="1"/>
    </w:lvl>
  </w:abstractNum>
  <w:abstractNum w:abstractNumId="52">
    <w:nsid w:val="5EC6AFD4"/>
    <w:multiLevelType w:val="hybridMultilevel"/>
    <w:lvl w:ilvl="0">
      <w:lvlJc w:val="left"/>
      <w:lvlText w:val="(%1)"/>
      <w:numFmt w:val="decimal"/>
      <w:start w:val="1"/>
    </w:lvl>
  </w:abstractNum>
  <w:abstractNum w:abstractNumId="53">
    <w:nsid w:val="19E21BB2"/>
    <w:multiLevelType w:val="hybridMultilevel"/>
    <w:lvl w:ilvl="0">
      <w:lvlJc w:val="left"/>
      <w:lvlText w:val="(%1)"/>
      <w:numFmt w:val="decimal"/>
      <w:start w:val="1"/>
    </w:lvl>
  </w:abstractNum>
  <w:abstractNum w:abstractNumId="54">
    <w:nsid w:val="75E0858A"/>
    <w:multiLevelType w:val="hybridMultilevel"/>
    <w:lvl w:ilvl="0">
      <w:lvlJc w:val="left"/>
      <w:lvlText w:val="(%1)"/>
      <w:numFmt w:val="decimal"/>
      <w:start w:val="1"/>
    </w:lvl>
  </w:abstractNum>
  <w:abstractNum w:abstractNumId="55">
    <w:nsid w:val="57A61A29"/>
    <w:multiLevelType w:val="hybridMultilevel"/>
    <w:lvl w:ilvl="0">
      <w:lvlJc w:val="left"/>
      <w:lvlText w:val="(%1)"/>
      <w:numFmt w:val="decimal"/>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1)"/>
      <w:numFmt w:val="decimal"/>
      <w:start w:val="1"/>
    </w:lvl>
  </w:abstractNum>
  <w:abstractNum w:abstractNumId="58">
    <w:nsid w:val="4427069A"/>
    <w:multiLevelType w:val="hybridMultilevel"/>
    <w:lvl w:ilvl="0">
      <w:lvlJc w:val="left"/>
      <w:lvlText w:val="(%1)"/>
      <w:numFmt w:val="decimal"/>
      <w:start w:val="1"/>
    </w:lvl>
  </w:abstractNum>
  <w:abstractNum w:abstractNumId="59">
    <w:nsid w:val="B37E80A"/>
    <w:multiLevelType w:val="hybridMultilevel"/>
    <w:lvl w:ilvl="0">
      <w:lvlJc w:val="left"/>
      <w:lvlText w:val="%1."/>
      <w:numFmt w:val="decimal"/>
      <w:start w:val="1"/>
    </w:lvl>
  </w:abstractNum>
  <w:abstractNum w:abstractNumId="60">
    <w:nsid w:val="2157F6BC"/>
    <w:multiLevelType w:val="hybridMultilevel"/>
    <w:lvl w:ilvl="0">
      <w:lvlJc w:val="left"/>
      <w:lvlText w:val="(%1)"/>
      <w:numFmt w:val="decimal"/>
      <w:start w:val="1"/>
    </w:lvl>
  </w:abstractNum>
  <w:abstractNum w:abstractNumId="61">
    <w:nsid w:val="704E1DD5"/>
    <w:multiLevelType w:val="hybridMultilevel"/>
    <w:lvl w:ilvl="0">
      <w:lvlJc w:val="left"/>
      <w:lvlText w:val="%1."/>
      <w:numFmt w:val="upperLetter"/>
      <w:start w:val="3"/>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1."/>
      <w:numFmt w:val="upperLetter"/>
      <w:start w:val="6"/>
    </w:lvl>
  </w:abstractNum>
  <w:abstractNum w:abstractNumId="65">
    <w:nsid w:val="2E48F044"/>
    <w:multiLevelType w:val="hybridMultilevel"/>
    <w:lvl w:ilvl="0">
      <w:lvlJc w:val="left"/>
      <w:lvlText w:val="●"/>
      <w:numFmt w:val="bullet"/>
      <w:start w:val="1"/>
    </w:lvl>
  </w:abstractNum>
  <w:abstractNum w:abstractNumId="66">
    <w:nsid w:val="49D0FEAC"/>
    <w:multiLevelType w:val="hybridMultilevel"/>
    <w:lvl w:ilvl="0">
      <w:lvlJc w:val="left"/>
      <w:lvlText w:val="(%1)"/>
      <w:numFmt w:val="decimal"/>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1."/>
      <w:numFmt w:val="upperLetter"/>
      <w:start w:val="6"/>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1."/>
      <w:numFmt w:val="upperLetter"/>
      <w:start w:val="5"/>
    </w:lvl>
  </w:abstractNum>
  <w:abstractNum w:abstractNumId="71">
    <w:nsid w:val="24E99DD7"/>
    <w:multiLevelType w:val="hybridMultilevel"/>
    <w:lvl w:ilvl="0">
      <w:lvlJc w:val="left"/>
      <w:lvlText w:val="(%1)"/>
      <w:numFmt w:val="lowerRoman"/>
      <w:start w:val="1"/>
    </w:lvl>
  </w:abstractNum>
  <w:abstractNum w:abstractNumId="72">
    <w:nsid w:val="2A31B62D"/>
    <w:multiLevelType w:val="hybridMultilevel"/>
    <w:lvl w:ilvl="0">
      <w:lvlJc w:val="left"/>
      <w:lvlText w:val="●"/>
      <w:numFmt w:val="bullet"/>
      <w:start w:val="1"/>
    </w:lvl>
  </w:abstractNum>
  <w:abstractNum w:abstractNumId="73">
    <w:nsid w:val="1849C29B"/>
    <w:multiLevelType w:val="hybridMultilevel"/>
    <w:lvl w:ilvl="0">
      <w:lvlJc w:val="left"/>
      <w:lvlText w:val="●"/>
      <w:numFmt w:val="bullet"/>
      <w:start w:val="1"/>
    </w:lvl>
  </w:abstractNum>
  <w:abstractNum w:abstractNumId="74">
    <w:nsid w:val="7DFF9D09"/>
    <w:multiLevelType w:val="hybridMultilevel"/>
    <w:lvl w:ilvl="0">
      <w:lvlJc w:val="left"/>
      <w:lvlText w:val="%1."/>
      <w:numFmt w:val="upperLetter"/>
      <w:start w:val="6"/>
    </w:lvl>
  </w:abstractNum>
  <w:abstractNum w:abstractNumId="75">
    <w:nsid w:val="754342"/>
    <w:multiLevelType w:val="hybridMultilevel"/>
    <w:lvl w:ilvl="0">
      <w:lvlJc w:val="left"/>
      <w:lvlText w:val="%1."/>
      <w:numFmt w:val="upperLetter"/>
      <w:start w:val="9"/>
    </w:lvl>
  </w:abstractNum>
  <w:abstractNum w:abstractNumId="76">
    <w:nsid w:val="69E7F3E5"/>
    <w:multiLevelType w:val="hybridMultilevel"/>
    <w:lvl w:ilvl="0">
      <w:lvlJc w:val="left"/>
      <w:lvlText w:val="%1."/>
      <w:numFmt w:val="upperLetter"/>
      <w:start w:val="10"/>
    </w:lvl>
  </w:abstractNum>
  <w:abstractNum w:abstractNumId="77">
    <w:nsid w:val="2A6DE806"/>
    <w:multiLevelType w:val="hybridMultilevel"/>
    <w:lvl w:ilvl="0">
      <w:lvlJc w:val="left"/>
      <w:lvlText w:val="(%1)"/>
      <w:numFmt w:val="decimal"/>
      <w:start w:val="1"/>
    </w:lvl>
  </w:abstractNum>
  <w:abstractNum w:abstractNumId="78">
    <w:nsid w:val="1816F8C4"/>
    <w:multiLevelType w:val="hybridMultilevel"/>
    <w:lvl w:ilvl="0">
      <w:lvlJc w:val="left"/>
      <w:lvlText w:val="●"/>
      <w:numFmt w:val="bullet"/>
      <w:start w:val="1"/>
    </w:lvl>
  </w:abstractNum>
  <w:abstractNum w:abstractNumId="79">
    <w:nsid w:val="37DF2233"/>
    <w:multiLevelType w:val="hybridMultilevel"/>
    <w:lvl w:ilvl="0">
      <w:lvlJc w:val="left"/>
      <w:lvlText w:val="●"/>
      <w:numFmt w:val="bullet"/>
      <w:start w:val="1"/>
    </w:lvl>
  </w:abstractNum>
  <w:abstractNum w:abstractNumId="80">
    <w:nsid w:val="7AB49DAF"/>
    <w:multiLevelType w:val="hybridMultilevel"/>
    <w:lvl w:ilvl="0">
      <w:lvlJc w:val="left"/>
      <w:lvlText w:val="*"/>
      <w:numFmt w:val="bullet"/>
      <w:start w:val="1"/>
    </w:lvl>
  </w:abstractNum>
  <w:abstractNum w:abstractNumId="81">
    <w:nsid w:val="759F82CD"/>
    <w:multiLevelType w:val="hybridMultilevel"/>
    <w:lvl w:ilvl="0">
      <w:lvlJc w:val="left"/>
      <w:lvlText w:val="#"/>
      <w:numFmt w:val="bullet"/>
      <w:start w:val="1"/>
    </w:lvl>
  </w:abstractNum>
  <w:abstractNum w:abstractNumId="82">
    <w:nsid w:val="61E74EA3"/>
    <w:multiLevelType w:val="hybridMultilevel"/>
    <w:lvl w:ilvl="0">
      <w:lvlJc w:val="left"/>
      <w:lvlText w:val="1"/>
      <w:numFmt w:val="bullet"/>
      <w:start w:val="1"/>
    </w:lvl>
  </w:abstractNum>
  <w:abstractNum w:abstractNumId="83">
    <w:nsid w:val="597B4D84"/>
    <w:multiLevelType w:val="hybridMultilevel"/>
    <w:lvl w:ilvl="0">
      <w:lvlJc w:val="left"/>
      <w:lvlText w:val="2"/>
      <w:numFmt w:val="bullet"/>
      <w:start w:val="1"/>
    </w:lvl>
  </w:abstractNum>
  <w:abstractNum w:abstractNumId="84">
    <w:nsid w:val="F819E7F"/>
    <w:multiLevelType w:val="hybridMultilevel"/>
    <w:lvl w:ilvl="0">
      <w:lvlJc w:val="left"/>
      <w:lvlText w:val="3"/>
      <w:numFmt w:val="bullet"/>
      <w:start w:val="1"/>
    </w:lvl>
  </w:abstractNum>
  <w:abstractNum w:abstractNumId="85">
    <w:nsid w:val="57C7D42D"/>
    <w:multiLevelType w:val="hybridMultilevel"/>
    <w:lvl w:ilvl="0">
      <w:lvlJc w:val="left"/>
      <w:lvlText w:val="%1."/>
      <w:numFmt w:val="decimal"/>
      <w:start w:val="1"/>
    </w:lvl>
  </w:abstractNum>
  <w:abstractNum w:abstractNumId="86">
    <w:nsid w:val="312167AD"/>
    <w:multiLevelType w:val="hybridMultilevel"/>
    <w:lvl w:ilvl="0">
      <w:lvlJc w:val="left"/>
      <w:lvlText w:val="●"/>
      <w:numFmt w:val="bullet"/>
      <w:start w:val="1"/>
    </w:lvl>
  </w:abstractNum>
  <w:abstractNum w:abstractNumId="87">
    <w:nsid w:val="631B64D4"/>
    <w:multiLevelType w:val="hybridMultilevel"/>
    <w:lvl w:ilvl="0">
      <w:lvlJc w:val="left"/>
      <w:lvlText w:val="●"/>
      <w:numFmt w:val="bullet"/>
      <w:start w:val="1"/>
    </w:lvl>
  </w:abstractNum>
  <w:abstractNum w:abstractNumId="88">
    <w:nsid w:val="78B5E776"/>
    <w:multiLevelType w:val="hybridMultilevel"/>
    <w:lvl w:ilvl="0">
      <w:lvlJc w:val="left"/>
      <w:lvlText w:val="●"/>
      <w:numFmt w:val="bullet"/>
      <w:start w:val="1"/>
    </w:lvl>
  </w:abstractNum>
  <w:abstractNum w:abstractNumId="89">
    <w:nsid w:val="75486E47"/>
    <w:multiLevelType w:val="hybridMultilevel"/>
    <w:lvl w:ilvl="0">
      <w:lvlJc w:val="left"/>
      <w:lvlText w:val="●"/>
      <w:numFmt w:val="bullet"/>
      <w:start w:val="1"/>
    </w:lvl>
  </w:abstractNum>
  <w:abstractNum w:abstractNumId="90">
    <w:nsid w:val="6E534CDE"/>
    <w:multiLevelType w:val="hybridMultilevel"/>
    <w:lvl w:ilvl="0">
      <w:lvlJc w:val="left"/>
      <w:lvlText w:val="●"/>
      <w:numFmt w:val="bullet"/>
      <w:start w:val="1"/>
    </w:lvl>
  </w:abstractNum>
  <w:abstractNum w:abstractNumId="91">
    <w:nsid w:val="1A0DDE32"/>
    <w:multiLevelType w:val="hybridMultilevel"/>
    <w:lvl w:ilvl="0">
      <w:lvlJc w:val="left"/>
      <w:lvlText w:val="●"/>
      <w:numFmt w:val="bullet"/>
      <w:start w:val="1"/>
    </w:lvl>
    <w:lvl w:ilvl="1">
      <w:lvlJc w:val="left"/>
      <w:lvlText w:val="(%2)"/>
      <w:numFmt w:val="lowerRoman"/>
      <w:start w:val="1"/>
    </w:lvl>
  </w:abstractNum>
  <w:abstractNum w:abstractNumId="92">
    <w:nsid w:val="65968C1C"/>
    <w:multiLevelType w:val="hybridMultilevel"/>
    <w:lvl w:ilvl="0">
      <w:lvlJc w:val="left"/>
      <w:lvlText w:val="-"/>
      <w:numFmt w:val="bullet"/>
      <w:start w:val="1"/>
    </w:lvl>
  </w:abstractNum>
  <w:abstractNum w:abstractNumId="93">
    <w:nsid w:val="46263DEC"/>
    <w:multiLevelType w:val="hybridMultilevel"/>
    <w:lvl w:ilvl="0">
      <w:lvlJc w:val="left"/>
      <w:lvlText w:val="1"/>
      <w:numFmt w:val="bullet"/>
      <w:start w:val="1"/>
    </w:lvl>
  </w:abstractNum>
  <w:abstractNum w:abstractNumId="94">
    <w:nsid w:val="260D8C4A"/>
    <w:multiLevelType w:val="hybridMultilevel"/>
    <w:lvl w:ilvl="0">
      <w:lvlJc w:val="left"/>
      <w:lvlText w:val="1"/>
      <w:numFmt w:val="bullet"/>
      <w:start w:val="1"/>
    </w:lvl>
  </w:abstractNum>
  <w:abstractNum w:abstractNumId="95">
    <w:nsid w:val="73D4D3C4"/>
    <w:multiLevelType w:val="hybridMultilevel"/>
    <w:lvl w:ilvl="0">
      <w:lvlJc w:val="left"/>
      <w:lvlText w:val="2"/>
      <w:numFmt w:val="bullet"/>
      <w:start w:val="1"/>
    </w:lvl>
  </w:abstractNum>
  <w:abstractNum w:abstractNumId="96">
    <w:nsid w:val="746F2E30"/>
    <w:multiLevelType w:val="hybridMultilevel"/>
    <w:lvl w:ilvl="0">
      <w:lvlJc w:val="left"/>
      <w:lvlText w:val="1"/>
      <w:numFmt w:val="bullet"/>
      <w:start w:val="1"/>
    </w:lvl>
  </w:abstractNum>
  <w:abstractNum w:abstractNumId="97">
    <w:nsid w:val="6FDE8AF6"/>
    <w:multiLevelType w:val="hybridMultilevel"/>
    <w:lvl w:ilvl="0">
      <w:lvlJc w:val="left"/>
      <w:lvlText w:val="\endash "/>
      <w:numFmt w:val="bullet"/>
      <w:start w:val="1"/>
    </w:lvl>
  </w:abstractNum>
  <w:abstractNum w:abstractNumId="98">
    <w:nsid w:val="3FC32E20"/>
    <w:multiLevelType w:val="hybridMultilevel"/>
    <w:lvl w:ilvl="0">
      <w:lvlJc w:val="left"/>
      <w:lvlText w:val="(%1)"/>
      <w:numFmt w:val="lowerLetter"/>
      <w:start w:val="1"/>
    </w:lvl>
  </w:abstractNum>
  <w:abstractNum w:abstractNumId="99">
    <w:nsid w:val="49C0E823"/>
    <w:multiLevelType w:val="hybridMultilevel"/>
    <w:lvl w:ilvl="0">
      <w:lvlJc w:val="left"/>
      <w:lvlText w:val="*"/>
      <w:numFmt w:val="bullet"/>
      <w:start w:val="1"/>
    </w:lvl>
  </w:abstractNum>
  <w:abstractNum w:abstractNumId="100">
    <w:nsid w:val="14D53685"/>
    <w:multiLevelType w:val="hybridMultilevel"/>
    <w:lvl w:ilvl="0">
      <w:lvlJc w:val="left"/>
      <w:lvlText w:val="%1."/>
      <w:numFmt w:val="decimal"/>
      <w:start w:val="25"/>
    </w:lvl>
  </w:abstractNum>
  <w:abstractNum w:abstractNumId="101">
    <w:nsid w:val="230F856C"/>
    <w:multiLevelType w:val="hybridMultilevel"/>
    <w:lvl w:ilvl="0">
      <w:lvlJc w:val="left"/>
      <w:lvlText w:val="1"/>
      <w:numFmt w:val="bullet"/>
      <w:start w:val="1"/>
    </w:lvl>
  </w:abstractNum>
  <w:abstractNum w:abstractNumId="102">
    <w:nsid w:val="6EAA85FB"/>
    <w:multiLevelType w:val="hybridMultilevel"/>
    <w:lvl w:ilvl="0">
      <w:lvlJc w:val="left"/>
      <w:lvlText w:val="2"/>
      <w:numFmt w:val="bullet"/>
      <w:start w:val="1"/>
    </w:lvl>
  </w:abstractNum>
  <w:abstractNum w:abstractNumId="103">
    <w:nsid w:val="3F06ECB2"/>
    <w:multiLevelType w:val="hybridMultilevel"/>
    <w:lvl w:ilvl="0">
      <w:lvlJc w:val="left"/>
      <w:lvlText w:val="3"/>
      <w:numFmt w:val="bullet"/>
      <w:start w:val="1"/>
    </w:lvl>
  </w:abstractNum>
  <w:abstractNum w:abstractNumId="104">
    <w:nsid w:val="3B594807"/>
    <w:multiLevelType w:val="hybridMultilevel"/>
    <w:lvl w:ilvl="0">
      <w:lvlJc w:val="left"/>
      <w:lvlText w:val="%1."/>
      <w:numFmt w:val="decimal"/>
      <w:start w:val="27"/>
    </w:lvl>
  </w:abstractNum>
  <w:abstractNum w:abstractNumId="105">
    <w:nsid w:val="6CAA2304"/>
    <w:multiLevelType w:val="hybridMultilevel"/>
    <w:lvl w:ilvl="0">
      <w:lvlJc w:val="left"/>
      <w:lvlText w:val="●"/>
      <w:numFmt w:val="bullet"/>
      <w:start w:val="1"/>
    </w:lvl>
  </w:abstractNum>
  <w:abstractNum w:abstractNumId="106">
    <w:nsid w:val="3F7C2FF4"/>
    <w:multiLevelType w:val="hybridMultilevel"/>
    <w:lvl w:ilvl="0">
      <w:lvlJc w:val="left"/>
      <w:lvlText w:val="1"/>
      <w:numFmt w:val="bullet"/>
      <w:start w:val="1"/>
    </w:lvl>
  </w:abstractNum>
  <w:abstractNum w:abstractNumId="107">
    <w:nsid w:val="25413BEC"/>
    <w:multiLevelType w:val="hybridMultilevel"/>
    <w:lvl w:ilvl="0">
      <w:lvlJc w:val="left"/>
      <w:lvlText w:val="2"/>
      <w:numFmt w:val="bullet"/>
      <w:start w:val="1"/>
    </w:lvl>
  </w:abstractNum>
  <w:abstractNum w:abstractNumId="108">
    <w:nsid w:val="17180B0B"/>
    <w:multiLevelType w:val="hybridMultilevel"/>
    <w:lvl w:ilvl="0">
      <w:lvlJc w:val="left"/>
      <w:lvlText w:val="3"/>
      <w:numFmt w:val="bullet"/>
      <w:start w:val="1"/>
    </w:lvl>
  </w:abstractNum>
  <w:abstractNum w:abstractNumId="109">
    <w:nsid w:val="579328B9"/>
    <w:multiLevelType w:val="hybridMultilevel"/>
    <w:lvl w:ilvl="0">
      <w:lvlJc w:val="left"/>
      <w:lvlText w:val="4"/>
      <w:numFmt w:val="bullet"/>
      <w:start w:val="1"/>
    </w:lvl>
  </w:abstractNum>
  <w:abstractNum w:abstractNumId="110">
    <w:nsid w:val="5D205E20"/>
    <w:multiLevelType w:val="hybridMultilevel"/>
    <w:lvl w:ilvl="0">
      <w:lvlJc w:val="left"/>
      <w:lvlText w:val="5"/>
      <w:numFmt w:val="bullet"/>
      <w:start w:val="1"/>
    </w:lvl>
  </w:abstractNum>
  <w:abstractNum w:abstractNumId="111">
    <w:nsid w:val="11CCA8BA"/>
    <w:multiLevelType w:val="hybridMultilevel"/>
    <w:lvl w:ilvl="0">
      <w:lvlJc w:val="left"/>
      <w:lvlText w:val="6"/>
      <w:numFmt w:val="bullet"/>
      <w:start w:val="1"/>
    </w:lvl>
  </w:abstractNum>
  <w:abstractNum w:abstractNumId="112">
    <w:nsid w:val="4D32AB86"/>
    <w:multiLevelType w:val="hybridMultilevel"/>
    <w:lvl w:ilvl="0">
      <w:lvlJc w:val="left"/>
      <w:lvlText w:val="7"/>
      <w:numFmt w:val="bullet"/>
      <w:start w:val="1"/>
    </w:lvl>
  </w:abstractNum>
  <w:abstractNum w:abstractNumId="113">
    <w:nsid w:val="3F07ACC3"/>
    <w:multiLevelType w:val="hybridMultilevel"/>
    <w:lvl w:ilvl="0">
      <w:lvlJc w:val="left"/>
      <w:lvlText w:val="8"/>
      <w:numFmt w:val="bullet"/>
      <w:start w:val="1"/>
    </w:lvl>
  </w:abstractNum>
  <w:abstractNum w:abstractNumId="114">
    <w:nsid w:val="6B47F63E"/>
    <w:multiLevelType w:val="hybridMultilevel"/>
    <w:lvl w:ilvl="0">
      <w:lvlJc w:val="left"/>
      <w:lvlText w:val="9"/>
      <w:numFmt w:val="bullet"/>
      <w:start w:val="1"/>
    </w:lvl>
  </w:abstractNum>
  <w:abstractNum w:abstractNumId="115">
    <w:nsid w:val="5CB44A05"/>
    <w:multiLevelType w:val="hybridMultilevel"/>
    <w:lvl w:ilvl="0">
      <w:lvlJc w:val="left"/>
      <w:lvlText w:val="%1"/>
      <w:numFmt w:val="decimal"/>
      <w:start w:val="10"/>
    </w:lvl>
  </w:abstractNum>
  <w:abstractNum w:abstractNumId="116">
    <w:nsid w:val="16CF80F1"/>
    <w:multiLevelType w:val="hybridMultilevel"/>
    <w:lvl w:ilvl="0">
      <w:lvlJc w:val="left"/>
      <w:lvlText w:val="%1"/>
      <w:numFmt w:val="decimal"/>
      <w:start w:val="11"/>
    </w:lvl>
  </w:abstractNum>
  <w:abstractNum w:abstractNumId="117">
    <w:nsid w:val="1C695DEC"/>
    <w:multiLevelType w:val="hybridMultilevel"/>
    <w:lvl w:ilvl="0">
      <w:lvlJc w:val="left"/>
      <w:lvlText w:val="%1"/>
      <w:numFmt w:val="decimal"/>
      <w:start w:val="12"/>
    </w:lvl>
  </w:abstractNum>
  <w:abstractNum w:abstractNumId="118">
    <w:nsid w:val="3FCFAED9"/>
    <w:multiLevelType w:val="hybridMultilevel"/>
    <w:lvl w:ilvl="0">
      <w:lvlJc w:val="left"/>
      <w:lvlText w:val="%1"/>
      <w:numFmt w:val="decimal"/>
      <w:start w:val="13"/>
    </w:lvl>
  </w:abstractNum>
  <w:abstractNum w:abstractNumId="119">
    <w:nsid w:val="F856867"/>
    <w:multiLevelType w:val="hybridMultilevel"/>
    <w:lvl w:ilvl="0">
      <w:lvlJc w:val="left"/>
      <w:lvlText w:val="%1"/>
      <w:numFmt w:val="decimal"/>
      <w:start w:val="14"/>
    </w:lvl>
  </w:abstractNum>
  <w:abstractNum w:abstractNumId="120">
    <w:nsid w:val="11B1CC33"/>
    <w:multiLevelType w:val="hybridMultilevel"/>
    <w:lvl w:ilvl="0">
      <w:lvlJc w:val="left"/>
      <w:lvlText w:val="%1"/>
      <w:numFmt w:val="decimal"/>
      <w:start w:val="15"/>
    </w:lvl>
  </w:abstractNum>
  <w:abstractNum w:abstractNumId="121">
    <w:nsid w:val="2E22FBB7"/>
    <w:multiLevelType w:val="hybridMultilevel"/>
    <w:lvl w:ilvl="0">
      <w:lvlJc w:val="left"/>
      <w:lvlText w:val="%1"/>
      <w:numFmt w:val="decimal"/>
      <w:start w:val="16"/>
    </w:lvl>
  </w:abstractNum>
  <w:abstractNum w:abstractNumId="122">
    <w:nsid w:val="29934699"/>
    <w:multiLevelType w:val="hybridMultilevel"/>
    <w:lvl w:ilvl="0">
      <w:lvlJc w:val="left"/>
      <w:lvlText w:val="%1"/>
      <w:numFmt w:val="decimal"/>
      <w:start w:val="17"/>
    </w:lvl>
  </w:abstractNum>
  <w:abstractNum w:abstractNumId="123">
    <w:nsid w:val="77485850"/>
    <w:multiLevelType w:val="hybridMultilevel"/>
    <w:lvl w:ilvl="0">
      <w:lvlJc w:val="left"/>
      <w:lvlText w:val="%1"/>
      <w:numFmt w:val="decimal"/>
      <w:start w:val="18"/>
    </w:lvl>
  </w:abstractNum>
  <w:abstractNum w:abstractNumId="124">
    <w:nsid w:val="744939A3"/>
    <w:multiLevelType w:val="hybridMultilevel"/>
    <w:lvl w:ilvl="0">
      <w:lvlJc w:val="left"/>
      <w:lvlText w:val="%1"/>
      <w:numFmt w:val="decimal"/>
      <w:start w:val="19"/>
    </w:lvl>
  </w:abstractNum>
  <w:abstractNum w:abstractNumId="125">
    <w:nsid w:val="4FA0D2E3"/>
    <w:multiLevelType w:val="hybridMultilevel"/>
    <w:lvl w:ilvl="0">
      <w:lvlJc w:val="left"/>
      <w:lvlText w:val="%1"/>
      <w:numFmt w:val="decimal"/>
      <w:start w:val="20"/>
    </w:lvl>
  </w:abstractNum>
  <w:abstractNum w:abstractNumId="126">
    <w:nsid w:val="6B1D2C14"/>
    <w:multiLevelType w:val="hybridMultilevel"/>
    <w:lvl w:ilvl="0">
      <w:lvlJc w:val="left"/>
      <w:lvlText w:val="%1"/>
      <w:numFmt w:val="decimal"/>
      <w:start w:val="21"/>
    </w:lvl>
  </w:abstractNum>
  <w:abstractNum w:abstractNumId="127">
    <w:nsid w:val="68B867D3"/>
    <w:multiLevelType w:val="hybridMultilevel"/>
    <w:lvl w:ilvl="0">
      <w:lvlJc w:val="left"/>
      <w:lvlText w:val="%1"/>
      <w:numFmt w:val="decimal"/>
      <w:start w:val="22"/>
    </w:lvl>
  </w:abstractNum>
  <w:abstractNum w:abstractNumId="128">
    <w:nsid w:val="3F7F5DD9"/>
    <w:multiLevelType w:val="hybridMultilevel"/>
    <w:lvl w:ilvl="0">
      <w:lvlJc w:val="left"/>
      <w:lvlText w:val="%1"/>
      <w:numFmt w:val="decimal"/>
      <w:start w:val="24"/>
    </w:lvl>
  </w:abstractNum>
  <w:abstractNum w:abstractNumId="129">
    <w:nsid w:val="2AE05A34"/>
    <w:multiLevelType w:val="hybridMultilevel"/>
    <w:lvl w:ilvl="0">
      <w:lvlJc w:val="left"/>
      <w:lvlText w:val="%1"/>
      <w:numFmt w:val="decimal"/>
      <w:start w:val="26"/>
    </w:lvl>
  </w:abstractNum>
  <w:abstractNum w:abstractNumId="130">
    <w:nsid w:val="32794FF7"/>
    <w:multiLevelType w:val="hybridMultilevel"/>
    <w:lvl w:ilvl="0">
      <w:lvlJc w:val="left"/>
      <w:lvlText w:val="%1"/>
      <w:numFmt w:val="decimal"/>
      <w:start w:val="27"/>
    </w:lvl>
  </w:abstractNum>
  <w:abstractNum w:abstractNumId="131">
    <w:nsid w:val="5454945E"/>
    <w:multiLevelType w:val="hybridMultilevel"/>
    <w:lvl w:ilvl="0">
      <w:lvlJc w:val="left"/>
      <w:lvlText w:val="%1"/>
      <w:numFmt w:val="decimal"/>
      <w:start w:val="29"/>
    </w:lvl>
  </w:abstractNum>
  <w:abstractNum w:abstractNumId="132">
    <w:nsid w:val="4DEFDFA0"/>
    <w:multiLevelType w:val="hybridMultilevel"/>
    <w:lvl w:ilvl="0">
      <w:lvlJc w:val="left"/>
      <w:lvlText w:val="%1"/>
      <w:numFmt w:val="decimal"/>
      <w:start w:val="30"/>
    </w:lvl>
  </w:abstractNum>
  <w:abstractNum w:abstractNumId="133">
    <w:nsid w:val="2123D5F2"/>
    <w:multiLevelType w:val="hybridMultilevel"/>
    <w:lvl w:ilvl="0">
      <w:lvlJc w:val="left"/>
      <w:lvlText w:val="%1"/>
      <w:numFmt w:val="decimal"/>
      <w:start w:val="31"/>
    </w:lvl>
  </w:abstractNum>
  <w:abstractNum w:abstractNumId="134">
    <w:nsid w:val="135B8110"/>
    <w:multiLevelType w:val="hybridMultilevel"/>
    <w:lvl w:ilvl="0">
      <w:lvlJc w:val="left"/>
      <w:lvlText w:val="%1"/>
      <w:numFmt w:val="decimal"/>
      <w:start w:val="38"/>
    </w:lvl>
  </w:abstractNum>
  <w:abstractNum w:abstractNumId="135">
    <w:nsid w:val="94927A8"/>
    <w:multiLevelType w:val="hybridMultilevel"/>
    <w:lvl w:ilvl="0">
      <w:lvlJc w:val="left"/>
      <w:lvlText w:val="1"/>
      <w:numFmt w:val="bullet"/>
      <w:start w:val="1"/>
    </w:lvl>
  </w:abstractNum>
  <w:abstractNum w:abstractNumId="136">
    <w:nsid w:val="DCDF8F6"/>
    <w:multiLevelType w:val="hybridMultilevel"/>
    <w:lvl w:ilvl="0">
      <w:lvlJc w:val="left"/>
      <w:lvlText w:val="2"/>
      <w:numFmt w:val="bullet"/>
      <w:start w:val="1"/>
    </w:lvl>
  </w:abstractNum>
  <w:abstractNum w:abstractNumId="137">
    <w:nsid w:val="52D7B105"/>
    <w:multiLevelType w:val="hybridMultilevel"/>
    <w:lvl w:ilvl="0">
      <w:lvlJc w:val="left"/>
      <w:lvlText w:val="3"/>
      <w:numFmt w:val="bullet"/>
      <w:start w:val="1"/>
    </w:lvl>
  </w:abstractNum>
  <w:abstractNum w:abstractNumId="138">
    <w:nsid w:val="2E8A6394"/>
    <w:multiLevelType w:val="hybridMultilevel"/>
    <w:lvl w:ilvl="0">
      <w:lvlJc w:val="left"/>
      <w:lvlText w:val="4"/>
      <w:numFmt w:val="bullet"/>
      <w:start w:val="1"/>
    </w:lvl>
  </w:abstractNum>
  <w:abstractNum w:abstractNumId="139">
    <w:nsid w:val="24E60401"/>
    <w:multiLevelType w:val="hybridMultilevel"/>
    <w:lvl w:ilvl="0">
      <w:lvlJc w:val="left"/>
      <w:lvlText w:val="1"/>
      <w:numFmt w:val="bullet"/>
      <w:start w:val="1"/>
    </w:lvl>
  </w:abstractNum>
  <w:abstractNum w:abstractNumId="140">
    <w:nsid w:val="2A6AD9BE"/>
    <w:multiLevelType w:val="hybridMultilevel"/>
    <w:lvl w:ilvl="0">
      <w:lvlJc w:val="left"/>
      <w:lvlText w:val="2"/>
      <w:numFmt w:val="bullet"/>
      <w:start w:val="1"/>
    </w:lvl>
  </w:abstractNum>
  <w:abstractNum w:abstractNumId="141">
    <w:nsid w:val="BAAC1B4"/>
    <w:multiLevelType w:val="hybridMultilevel"/>
    <w:lvl w:ilvl="0">
      <w:lvlJc w:val="left"/>
      <w:lvlText w:val="3"/>
      <w:numFmt w:val="bullet"/>
      <w:start w:val="1"/>
    </w:lvl>
  </w:abstractNum>
  <w:abstractNum w:abstractNumId="142">
    <w:nsid w:val="36B2ACBC"/>
    <w:multiLevelType w:val="hybridMultilevel"/>
    <w:lvl w:ilvl="0">
      <w:lvlJc w:val="left"/>
      <w:lvlText w:val="4"/>
      <w:numFmt w:val="bullet"/>
      <w:start w:val="1"/>
    </w:lvl>
  </w:abstractNum>
  <w:abstractNum w:abstractNumId="143">
    <w:nsid w:val="779D8544"/>
    <w:multiLevelType w:val="hybridMultilevel"/>
    <w:lvl w:ilvl="0">
      <w:lvlJc w:val="left"/>
      <w:lvlText w:val="5"/>
      <w:numFmt w:val="bullet"/>
      <w:start w:val="1"/>
    </w:lvl>
  </w:abstractNum>
  <w:abstractNum w:abstractNumId="144">
    <w:nsid w:val="4AB26E78"/>
    <w:multiLevelType w:val="hybridMultilevel"/>
    <w:lvl w:ilvl="0">
      <w:lvlJc w:val="left"/>
      <w:lvlText w:val="6"/>
      <w:numFmt w:val="bullet"/>
      <w:start w:val="1"/>
    </w:lvl>
  </w:abstractNum>
  <w:abstractNum w:abstractNumId="145">
    <w:nsid w:val="21FAA2FA"/>
    <w:multiLevelType w:val="hybridMultilevel"/>
    <w:lvl w:ilvl="0">
      <w:lvlJc w:val="left"/>
      <w:lvlText w:val="7"/>
      <w:numFmt w:val="bullet"/>
      <w:start w:val="1"/>
    </w:lvl>
  </w:abstractNum>
  <w:abstractNum w:abstractNumId="146">
    <w:nsid w:val="5451CF49"/>
    <w:multiLevelType w:val="hybridMultilevel"/>
    <w:lvl w:ilvl="0">
      <w:lvlJc w:val="left"/>
      <w:lvlText w:val="8"/>
      <w:numFmt w:val="bullet"/>
      <w:start w:val="1"/>
    </w:lvl>
  </w:abstractNum>
  <w:abstractNum w:abstractNumId="147">
    <w:nsid w:val="6181EF69"/>
    <w:multiLevelType w:val="hybridMultilevel"/>
    <w:lvl w:ilvl="0">
      <w:lvlJc w:val="left"/>
      <w:lvlText w:val="1"/>
      <w:numFmt w:val="bullet"/>
      <w:start w:val="1"/>
    </w:lvl>
  </w:abstractNum>
  <w:abstractNum w:abstractNumId="148">
    <w:nsid w:val="3E6400E6"/>
    <w:multiLevelType w:val="hybridMultilevel"/>
    <w:lvl w:ilvl="0">
      <w:lvlJc w:val="left"/>
      <w:lvlText w:val="2"/>
      <w:numFmt w:val="bullet"/>
      <w:start w:val="1"/>
    </w:lvl>
  </w:abstractNum>
  <w:abstractNum w:abstractNumId="149">
    <w:nsid w:val="14217E23"/>
    <w:multiLevelType w:val="hybridMultilevel"/>
    <w:lvl w:ilvl="0">
      <w:lvlJc w:val="left"/>
      <w:lvlText w:val="3"/>
      <w:numFmt w:val="bullet"/>
      <w:start w:val="1"/>
    </w:lvl>
  </w:abstractNum>
  <w:abstractNum w:abstractNumId="150">
    <w:nsid w:val="710757D0"/>
    <w:multiLevelType w:val="hybridMultilevel"/>
    <w:lvl w:ilvl="0">
      <w:lvlJc w:val="left"/>
      <w:lvlText w:val="4"/>
      <w:numFmt w:val="bullet"/>
      <w:start w:val="1"/>
    </w:lvl>
  </w:abstractNum>
  <w:abstractNum w:abstractNumId="151">
    <w:nsid w:val="5015CD1A"/>
    <w:multiLevelType w:val="hybridMultilevel"/>
    <w:lvl w:ilvl="0">
      <w:lvlJc w:val="left"/>
      <w:lvlText w:val="5"/>
      <w:numFmt w:val="bullet"/>
      <w:start w:val="1"/>
    </w:lvl>
  </w:abstractNum>
  <w:abstractNum w:abstractNumId="152">
    <w:nsid w:val="424479DA"/>
    <w:multiLevelType w:val="hybridMultilevel"/>
    <w:lvl w:ilvl="0">
      <w:lvlJc w:val="left"/>
      <w:lvlText w:val="%1."/>
      <w:numFmt w:val="decimal"/>
      <w:start w:val="1"/>
    </w:lvl>
  </w:abstractNum>
  <w:abstractNum w:abstractNumId="153">
    <w:nsid w:val="1A9A9E69"/>
    <w:multiLevelType w:val="hybridMultilevel"/>
    <w:lvl w:ilvl="0">
      <w:lvlJc w:val="left"/>
      <w:lvlText w:val="%1."/>
      <w:numFmt w:val="decimal"/>
      <w:start w:val="3"/>
    </w:lvl>
  </w:abstractNum>
  <w:abstractNum w:abstractNumId="154">
    <w:nsid w:val="475E256A"/>
    <w:multiLevelType w:val="hybridMultilevel"/>
    <w:lvl w:ilvl="0">
      <w:lvlJc w:val="left"/>
      <w:lvlText w:val="%1."/>
      <w:numFmt w:val="decimal"/>
      <w:start w:val="4"/>
    </w:lvl>
  </w:abstractNum>
  <w:abstractNum w:abstractNumId="155">
    <w:nsid w:val="368DB37E"/>
    <w:multiLevelType w:val="hybridMultilevel"/>
    <w:lvl w:ilvl="0">
      <w:lvlJc w:val="left"/>
      <w:lvlText w:val="%1."/>
      <w:numFmt w:val="decimal"/>
      <w:start w:val="5"/>
    </w:lvl>
  </w:abstractNum>
  <w:abstractNum w:abstractNumId="156">
    <w:nsid w:val="6A3B714C"/>
    <w:multiLevelType w:val="hybridMultilevel"/>
    <w:lvl w:ilvl="0">
      <w:lvlJc w:val="left"/>
      <w:lvlText w:val="%1."/>
      <w:numFmt w:val="decimal"/>
      <w:start w:val="8"/>
    </w:lvl>
  </w:abstractNum>
  <w:abstractNum w:abstractNumId="157">
    <w:nsid w:val="327B517E"/>
    <w:multiLevelType w:val="hybridMultilevel"/>
    <w:lvl w:ilvl="0">
      <w:lvlJc w:val="left"/>
      <w:lvlText w:val="%1."/>
      <w:numFmt w:val="decimal"/>
      <w:start w:val="9"/>
    </w:lvl>
  </w:abstractNum>
  <w:abstractNum w:abstractNumId="158">
    <w:nsid w:val="1F461B51"/>
    <w:multiLevelType w:val="hybridMultilevel"/>
    <w:lvl w:ilvl="0">
      <w:lvlJc w:val="left"/>
      <w:lvlText w:val="%1."/>
      <w:numFmt w:val="decimal"/>
      <w:start w:val="3"/>
    </w:lvl>
  </w:abstractNum>
  <w:abstractNum w:abstractNumId="159">
    <w:nsid w:val="29BACF25"/>
    <w:multiLevelType w:val="hybridMultilevel"/>
    <w:lvl w:ilvl="0">
      <w:lvlJc w:val="left"/>
      <w:lvlText w:val="%1."/>
      <w:numFmt w:val="decimal"/>
      <w:start w:val="4"/>
    </w:lvl>
  </w:abstractNum>
  <w:abstractNum w:abstractNumId="160">
    <w:nsid w:val="5D5BABB3"/>
    <w:multiLevelType w:val="hybridMultilevel"/>
    <w:lvl w:ilvl="0">
      <w:lvlJc w:val="left"/>
      <w:lvlText w:val="1"/>
      <w:numFmt w:val="bullet"/>
      <w:start w:val="1"/>
    </w:lvl>
  </w:abstractNum>
  <w:abstractNum w:abstractNumId="161">
    <w:nsid w:val="51BF6B48"/>
    <w:multiLevelType w:val="hybridMultilevel"/>
    <w:lvl w:ilvl="0">
      <w:lvlJc w:val="left"/>
      <w:lvlText w:val="2"/>
      <w:numFmt w:val="bullet"/>
      <w:start w:val="1"/>
    </w:lvl>
  </w:abstractNum>
  <w:abstractNum w:abstractNumId="162">
    <w:nsid w:val="7E0F6384"/>
    <w:multiLevelType w:val="hybridMultilevel"/>
    <w:lvl w:ilvl="0">
      <w:lvlJc w:val="left"/>
      <w:lvlText w:val="3"/>
      <w:numFmt w:val="bullet"/>
      <w:start w:val="1"/>
    </w:lvl>
  </w:abstractNum>
  <w:abstractNum w:abstractNumId="163">
    <w:nsid w:val="2B4B8B53"/>
    <w:multiLevelType w:val="hybridMultilevel"/>
    <w:lvl w:ilvl="0">
      <w:lvlJc w:val="left"/>
      <w:lvlText w:val="%1."/>
      <w:numFmt w:val="decimal"/>
      <w:start w:val="4"/>
    </w:lvl>
  </w:abstractNum>
  <w:abstractNum w:abstractNumId="164">
    <w:nsid w:val="72E3413A"/>
    <w:multiLevelType w:val="hybridMultilevel"/>
    <w:lvl w:ilvl="0">
      <w:lvlJc w:val="left"/>
      <w:lvlText w:val="%1."/>
      <w:numFmt w:val="decimal"/>
      <w:start w:val="5"/>
    </w:lvl>
  </w:abstractNum>
  <w:abstractNum w:abstractNumId="165">
    <w:nsid w:val="116AE494"/>
    <w:multiLevelType w:val="hybridMultilevel"/>
    <w:lvl w:ilvl="0">
      <w:lvlJc w:val="left"/>
      <w:lvlText w:val="%1."/>
      <w:numFmt w:val="decimal"/>
      <w:start w:val="6"/>
    </w:lvl>
  </w:abstractNum>
  <w:abstractNum w:abstractNumId="166">
    <w:nsid w:val="3494B2FB"/>
    <w:multiLevelType w:val="hybridMultilevel"/>
    <w:lvl w:ilvl="0">
      <w:lvlJc w:val="left"/>
      <w:lvlText w:val="7"/>
      <w:numFmt w:val="bullet"/>
      <w:start w:val="1"/>
    </w:lvl>
  </w:abstractNum>
  <w:abstractNum w:abstractNumId="167">
    <w:nsid w:val="B13A31"/>
    <w:multiLevelType w:val="hybridMultilevel"/>
    <w:lvl w:ilvl="0">
      <w:lvlJc w:val="left"/>
      <w:lvlText w:val="%1."/>
      <w:numFmt w:val="decimal"/>
      <w:start w:val="8"/>
    </w:lvl>
  </w:abstractNum>
  <w:abstractNum w:abstractNumId="168">
    <w:nsid w:val="64429599"/>
    <w:multiLevelType w:val="hybridMultilevel"/>
    <w:lvl w:ilvl="0">
      <w:lvlJc w:val="left"/>
      <w:lvlText w:val="%1."/>
      <w:numFmt w:val="decimal"/>
      <w:start w:val="9"/>
    </w:lvl>
  </w:abstractNum>
  <w:abstractNum w:abstractNumId="169">
    <w:nsid w:val="631F1690"/>
    <w:multiLevelType w:val="hybridMultilevel"/>
    <w:lvl w:ilvl="0">
      <w:lvlJc w:val="left"/>
      <w:lvlText w:val="%1."/>
      <w:numFmt w:val="decimal"/>
      <w:start w:val="11"/>
    </w:lvl>
  </w:abstractNum>
  <w:abstractNum w:abstractNumId="170">
    <w:nsid w:val="25973E32"/>
    <w:multiLevelType w:val="hybridMultilevel"/>
    <w:lvl w:ilvl="0">
      <w:lvlJc w:val="left"/>
      <w:lvlText w:val="%1."/>
      <w:numFmt w:val="decimal"/>
      <w:start w:val="12"/>
    </w:lvl>
  </w:abstractNum>
  <w:abstractNum w:abstractNumId="171">
    <w:nsid w:val="EAD6F57"/>
    <w:multiLevelType w:val="hybridMultilevel"/>
    <w:lvl w:ilvl="0">
      <w:lvlJc w:val="left"/>
      <w:lvlText w:val="%1."/>
      <w:numFmt w:val="decimal"/>
      <w:start w:val="13"/>
    </w:lvl>
  </w:abstractNum>
  <w:abstractNum w:abstractNumId="172">
    <w:nsid w:val="6EC9D844"/>
    <w:multiLevelType w:val="hybridMultilevel"/>
    <w:lvl w:ilvl="0">
      <w:lvlJc w:val="left"/>
      <w:lvlText w:val="%1."/>
      <w:numFmt w:val="decimal"/>
      <w:start w:val="14"/>
    </w:lvl>
  </w:abstractNum>
  <w:abstractNum w:abstractNumId="173">
    <w:nsid w:val="5C49EAEE"/>
    <w:multiLevelType w:val="hybridMultilevel"/>
    <w:lvl w:ilvl="0">
      <w:lvlJc w:val="left"/>
      <w:lvlText w:val="%1."/>
      <w:numFmt w:val="decimal"/>
      <w:start w:val="18"/>
    </w:lvl>
  </w:abstractNum>
  <w:abstractNum w:abstractNumId="174">
    <w:nsid w:val="64AF49B"/>
    <w:multiLevelType w:val="hybridMultilevel"/>
    <w:lvl w:ilvl="0">
      <w:lvlJc w:val="left"/>
      <w:lvlText w:val="%1."/>
      <w:numFmt w:val="decimal"/>
      <w:start w:val="19"/>
    </w:lvl>
  </w:abstractNum>
  <w:abstractNum w:abstractNumId="175">
    <w:nsid w:val="397C46BC"/>
    <w:multiLevelType w:val="hybridMultilevel"/>
    <w:lvl w:ilvl="0">
      <w:lvlJc w:val="left"/>
      <w:lvlText w:val="%1."/>
      <w:numFmt w:val="decimal"/>
      <w:start w:val="20"/>
    </w:lvl>
  </w:abstractNum>
  <w:abstractNum w:abstractNumId="176">
    <w:nsid w:val="7E448DE9"/>
    <w:multiLevelType w:val="hybridMultilevel"/>
    <w:lvl w:ilvl="0">
      <w:lvlJc w:val="left"/>
      <w:lvlText w:val="%1."/>
      <w:numFmt w:val="decimal"/>
      <w:start w:val="21"/>
    </w:lvl>
  </w:abstractNum>
  <w:abstractNum w:abstractNumId="177">
    <w:nsid w:val="5A9CC3E5"/>
    <w:multiLevelType w:val="hybridMultilevel"/>
    <w:lvl w:ilvl="0">
      <w:lvlJc w:val="left"/>
      <w:lvlText w:val="%1"/>
      <w:numFmt w:val="decimal"/>
      <w:start w:val="23"/>
    </w:lvl>
  </w:abstractNum>
  <w:abstractNum w:abstractNumId="178">
    <w:nsid w:val="1AFE3625"/>
    <w:multiLevelType w:val="hybridMultilevel"/>
    <w:lvl w:ilvl="0">
      <w:lvlJc w:val="left"/>
      <w:lvlText w:val="%1."/>
      <w:numFmt w:val="decimal"/>
      <w:start w:val="24"/>
    </w:lvl>
  </w:abstractNum>
  <w:abstractNum w:abstractNumId="179">
    <w:nsid w:val="3CA88ECF"/>
    <w:multiLevelType w:val="hybridMultilevel"/>
    <w:lvl w:ilvl="0">
      <w:lvlJc w:val="left"/>
      <w:lvlText w:val="%1."/>
      <w:numFmt w:val="decimal"/>
      <w:start w:val="25"/>
    </w:lvl>
  </w:abstractNum>
  <w:abstractNum w:abstractNumId="180">
    <w:nsid w:val="6EBE4208"/>
    <w:multiLevelType w:val="hybridMultilevel"/>
    <w:lvl w:ilvl="0">
      <w:lvlJc w:val="left"/>
      <w:lvlText w:val="%1."/>
      <w:numFmt w:val="decimal"/>
      <w:start w:val="28"/>
    </w:lvl>
    <w:lvl w:ilvl="1">
      <w:lvlJc w:val="left"/>
      <w:lvlText w:val="-"/>
      <w:numFmt w:val="bullet"/>
      <w:start w:val="1"/>
    </w:lvl>
  </w:abstractNum>
  <w:abstractNum w:abstractNumId="181">
    <w:nsid w:val="C058DF5"/>
    <w:multiLevelType w:val="hybridMultilevel"/>
    <w:lvl w:ilvl="0">
      <w:lvlJc w:val="left"/>
      <w:lvlText w:val="%1."/>
      <w:numFmt w:val="decimal"/>
      <w:start w:val="29"/>
    </w:lvl>
  </w:abstractNum>
  <w:abstractNum w:abstractNumId="182">
    <w:nsid w:val="CBE5BE9"/>
    <w:multiLevelType w:val="hybridMultilevel"/>
    <w:lvl w:ilvl="0">
      <w:lvlJc w:val="left"/>
      <w:lvlText w:val="1"/>
      <w:numFmt w:val="bullet"/>
      <w:start w:val="1"/>
    </w:lvl>
  </w:abstractNum>
  <w:abstractNum w:abstractNumId="183">
    <w:nsid w:val="3102BBE2"/>
    <w:multiLevelType w:val="hybridMultilevel"/>
    <w:lvl w:ilvl="0">
      <w:lvlJc w:val="left"/>
      <w:lvlText w:val="%1"/>
      <w:numFmt w:val="decimal"/>
      <w:start w:val="30"/>
    </w:lvl>
  </w:abstractNum>
  <w:abstractNum w:abstractNumId="184">
    <w:nsid w:val="26A02C5E"/>
    <w:multiLevelType w:val="hybridMultilevel"/>
    <w:lvl w:ilvl="0">
      <w:lvlJc w:val="left"/>
      <w:lvlText w:val="%1."/>
      <w:numFmt w:val="upperLetter"/>
      <w:start w:val="9"/>
    </w:lvl>
  </w:abstractNum>
  <w:abstractNum w:abstractNumId="185">
    <w:nsid w:val="541C8153"/>
    <w:multiLevelType w:val="hybridMultilevel"/>
    <w:lvl w:ilvl="0">
      <w:lvlJc w:val="left"/>
      <w:lvlText w:val="%1."/>
      <w:numFmt w:val="upperLetter"/>
      <w:start w:val="35"/>
    </w:lvl>
  </w:abstractNum>
  <w:abstractNum w:abstractNumId="186">
    <w:nsid w:val="67906F60"/>
    <w:multiLevelType w:val="hybridMultilevel"/>
    <w:lvl w:ilvl="0">
      <w:lvlJc w:val="left"/>
      <w:lvlText w:val="●"/>
      <w:numFmt w:val="bullet"/>
      <w:start w:val="1"/>
    </w:lvl>
  </w:abstractNum>
  <w:abstractNum w:abstractNumId="187">
    <w:nsid w:val="10DB9DAA"/>
    <w:multiLevelType w:val="hybridMultilevel"/>
    <w:lvl w:ilvl="0">
      <w:lvlJc w:val="left"/>
      <w:lvlText w:val="%1"/>
      <w:numFmt w:val="upperLetter"/>
      <w:start w:val="1"/>
    </w:lvl>
    <w:lvl w:ilvl="1">
      <w:lvlJc w:val="left"/>
      <w:lvlText w:val="(%2)"/>
      <w:numFmt w:val="lowerLetter"/>
      <w:start w:val="1"/>
    </w:lvl>
  </w:abstractNum>
  <w:abstractNum w:abstractNumId="188">
    <w:nsid w:val="697D2D2"/>
    <w:multiLevelType w:val="hybridMultilevel"/>
    <w:lvl w:ilvl="0">
      <w:lvlJc w:val="left"/>
      <w:lvlText w:val="%1."/>
      <w:numFmt w:val="upperLetter"/>
      <w:start w:val="2"/>
    </w:lvl>
    <w:lvl w:ilvl="1">
      <w:lvlJc w:val="left"/>
      <w:lvlText w:val="%2"/>
      <w:numFmt w:val="lowerLetter"/>
      <w:start w:val="1"/>
    </w:lvl>
  </w:abstractNum>
  <w:abstractNum w:abstractNumId="189">
    <w:nsid w:val="6D68AB2"/>
    <w:multiLevelType w:val="hybridMultilevel"/>
    <w:lvl w:ilvl="0">
      <w:lvlJc w:val="left"/>
      <w:lvlText w:val="%1)"/>
      <w:numFmt w:val="lowerLetter"/>
      <w:start w:val="1"/>
    </w:lvl>
  </w:abstractNum>
  <w:abstractNum w:abstractNumId="190">
    <w:nsid w:val="3A966CD0"/>
    <w:multiLevelType w:val="hybridMultilevel"/>
    <w:lvl w:ilvl="0">
      <w:lvlJc w:val="left"/>
      <w:lvlText w:val="%1."/>
      <w:numFmt w:val="upperLetter"/>
      <w:start w:val="3"/>
    </w:lvl>
  </w:abstractNum>
  <w:abstractNum w:abstractNumId="191">
    <w:nsid w:val="63F37E85"/>
    <w:multiLevelType w:val="hybridMultilevel"/>
    <w:lvl w:ilvl="0">
      <w:lvlJc w:val="left"/>
      <w:lvlText w:val="●"/>
      <w:numFmt w:val="bullet"/>
      <w:start w:val="1"/>
    </w:lvl>
  </w:abstractNum>
  <w:abstractNum w:abstractNumId="192">
    <w:nsid w:val="5895F5FA"/>
    <w:multiLevelType w:val="hybridMultilevel"/>
    <w:lvl w:ilvl="0">
      <w:lvlJc w:val="left"/>
      <w:lvlText w:val="●"/>
      <w:numFmt w:val="bullet"/>
      <w:start w:val="1"/>
    </w:lvl>
  </w:abstractNum>
  <w:abstractNum w:abstractNumId="193">
    <w:nsid w:val="38A5D054"/>
    <w:multiLevelType w:val="hybridMultilevel"/>
    <w:lvl w:ilvl="0">
      <w:lvlJc w:val="left"/>
      <w:lvlText w:val="%1."/>
      <w:numFmt w:val="upperLetter"/>
      <w:start w:val="6"/>
    </w:lvl>
  </w:abstractNum>
  <w:abstractNum w:abstractNumId="194">
    <w:nsid w:val="F3F09D8"/>
    <w:multiLevelType w:val="hybridMultilevel"/>
    <w:lvl w:ilvl="0">
      <w:lvlJc w:val="left"/>
      <w:lvlText w:val="%1."/>
      <w:numFmt w:val="upperLetter"/>
      <w:start w:val="61"/>
    </w:lvl>
  </w:abstractNum>
  <w:abstractNum w:abstractNumId="195">
    <w:nsid w:val="4B793735"/>
    <w:multiLevelType w:val="hybridMultilevel"/>
    <w:lvl w:ilvl="0">
      <w:lvlJc w:val="left"/>
      <w:lvlText w:val="%1."/>
      <w:numFmt w:val="upperLetter"/>
      <w:start w:val="2"/>
    </w:lvl>
  </w:abstractNum>
  <w:abstractNum w:abstractNumId="196">
    <w:nsid w:val="4A10B4E8"/>
    <w:multiLevelType w:val="hybridMultilevel"/>
    <w:lvl w:ilvl="0">
      <w:lvlJc w:val="left"/>
      <w:lvlText w:val="%1."/>
      <w:numFmt w:val="decimal"/>
      <w:start w:val="1"/>
    </w:lvl>
    <w:lvl w:ilvl="1">
      <w:lvlJc w:val="left"/>
      <w:lvlText w:val="(%2)"/>
      <w:numFmt w:val="lowerLetter"/>
      <w:start w:val="1"/>
    </w:lvl>
  </w:abstractNum>
  <w:abstractNum w:abstractNumId="197">
    <w:nsid w:val="43D3BCD4"/>
    <w:multiLevelType w:val="hybridMultilevel"/>
    <w:lvl w:ilvl="0">
      <w:lvlJc w:val="left"/>
      <w:lvlText w:val="%1."/>
      <w:numFmt w:val="decimal"/>
      <w:start w:val="1"/>
    </w:lvl>
    <w:lvl w:ilvl="1">
      <w:lvlJc w:val="left"/>
      <w:lvlText w:val="(%2)"/>
      <w:numFmt w:val="lowerLetter"/>
      <w:start w:val="1"/>
    </w:lvl>
  </w:abstractNum>
  <w:abstractNum w:abstractNumId="198">
    <w:nsid w:val="4C2A7166"/>
    <w:multiLevelType w:val="hybridMultilevel"/>
    <w:lvl w:ilvl="0">
      <w:lvlJc w:val="left"/>
      <w:lvlText w:val="%1."/>
      <w:numFmt w:val="decimal"/>
      <w:start w:val="1"/>
    </w:lvl>
  </w:abstractNum>
  <w:abstractNum w:abstractNumId="199">
    <w:nsid w:val="2E534A82"/>
    <w:multiLevelType w:val="hybridMultilevel"/>
    <w:lvl w:ilvl="0">
      <w:lvlJc w:val="left"/>
      <w:lvlText w:val="%1."/>
      <w:numFmt w:val="decimal"/>
      <w:start w:val="1"/>
    </w:lvl>
  </w:abstractNum>
  <w:abstractNum w:abstractNumId="200">
    <w:nsid w:val="26F2D364"/>
    <w:multiLevelType w:val="hybridMultilevel"/>
    <w:lvl w:ilvl="0">
      <w:lvlJc w:val="left"/>
      <w:lvlText w:val="(%1)"/>
      <w:numFmt w:val="lowerRoman"/>
      <w:start w:val="1"/>
    </w:lvl>
  </w:abstractNum>
  <w:abstractNum w:abstractNumId="201">
    <w:nsid w:val="71C1AF98"/>
    <w:multiLevelType w:val="hybridMultilevel"/>
    <w:lvl w:ilvl="0">
      <w:lvlJc w:val="left"/>
      <w:lvlText w:val="(%1)"/>
      <w:numFmt w:val="lowerRoman"/>
      <w:start w:val="1"/>
    </w:lvl>
  </w:abstractNum>
  <w:abstractNum w:abstractNumId="202">
    <w:nsid w:val="3D00B9D9"/>
    <w:multiLevelType w:val="hybridMultilevel"/>
    <w:lvl w:ilvl="0">
      <w:lvlJc w:val="left"/>
      <w:lvlText w:val="%1."/>
      <w:numFmt w:val="decimal"/>
      <w:start w:val="2"/>
    </w:lvl>
  </w:abstractNum>
  <w:abstractNum w:abstractNumId="203">
    <w:nsid w:val="15BCABA8"/>
    <w:multiLevelType w:val="hybridMultilevel"/>
    <w:lvl w:ilvl="0">
      <w:lvlJc w:val="left"/>
      <w:lvlText w:val="%1."/>
      <w:numFmt w:val="decimal"/>
      <w:start w:val="3"/>
    </w:lvl>
  </w:abstractNum>
  <w:abstractNum w:abstractNumId="204">
    <w:nsid w:val="4E0B9A87"/>
    <w:multiLevelType w:val="hybridMultilevel"/>
    <w:lvl w:ilvl="0">
      <w:lvlJc w:val="left"/>
      <w:lvlText w:val="%1."/>
      <w:numFmt w:val="decimal"/>
      <w:start w:val="6"/>
    </w:lvl>
  </w:abstractNum>
  <w:abstractNum w:abstractNumId="205">
    <w:nsid w:val="434BAE7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jpe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jpeg"/><Relationship Id="rId384" Type="http://schemas.openxmlformats.org/officeDocument/2006/relationships/image" Target="media/image370.png"/><Relationship Id="rId385" Type="http://schemas.openxmlformats.org/officeDocument/2006/relationships/image" Target="media/image371.jpeg"/><Relationship Id="rId386" Type="http://schemas.openxmlformats.org/officeDocument/2006/relationships/image" Target="media/image372.png"/><Relationship Id="rId387" Type="http://schemas.openxmlformats.org/officeDocument/2006/relationships/image" Target="media/image373.jpeg"/><Relationship Id="rId388" Type="http://schemas.openxmlformats.org/officeDocument/2006/relationships/image" Target="media/image374.png"/><Relationship Id="rId389" Type="http://schemas.openxmlformats.org/officeDocument/2006/relationships/image" Target="media/image375.jpeg"/><Relationship Id="rId390" Type="http://schemas.openxmlformats.org/officeDocument/2006/relationships/image" Target="media/image376.png"/><Relationship Id="rId391" Type="http://schemas.openxmlformats.org/officeDocument/2006/relationships/image" Target="media/image377.jpeg"/><Relationship Id="rId392" Type="http://schemas.openxmlformats.org/officeDocument/2006/relationships/image" Target="media/image378.png"/><Relationship Id="rId393" Type="http://schemas.openxmlformats.org/officeDocument/2006/relationships/image" Target="media/image379.jpeg"/><Relationship Id="rId394" Type="http://schemas.openxmlformats.org/officeDocument/2006/relationships/image" Target="media/image380.png"/><Relationship Id="rId395" Type="http://schemas.openxmlformats.org/officeDocument/2006/relationships/image" Target="media/image381.jpeg"/><Relationship Id="rId396" Type="http://schemas.openxmlformats.org/officeDocument/2006/relationships/image" Target="media/image382.png"/><Relationship Id="rId397" Type="http://schemas.openxmlformats.org/officeDocument/2006/relationships/image" Target="media/image383.jpeg"/><Relationship Id="rId398" Type="http://schemas.openxmlformats.org/officeDocument/2006/relationships/image" Target="media/image384.png"/><Relationship Id="rId399" Type="http://schemas.openxmlformats.org/officeDocument/2006/relationships/image" Target="media/image385.jpeg"/><Relationship Id="rId400" Type="http://schemas.openxmlformats.org/officeDocument/2006/relationships/image" Target="media/image386.png"/><Relationship Id="rId401" Type="http://schemas.openxmlformats.org/officeDocument/2006/relationships/image" Target="media/image387.jpe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jpeg"/><Relationship Id="rId406" Type="http://schemas.openxmlformats.org/officeDocument/2006/relationships/image" Target="media/image392.jpeg"/><Relationship Id="rId407" Type="http://schemas.openxmlformats.org/officeDocument/2006/relationships/image" Target="media/image393.jpeg"/><Relationship Id="rId408" Type="http://schemas.openxmlformats.org/officeDocument/2006/relationships/image" Target="media/image394.jpe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131" Type="http://schemas.openxmlformats.org/officeDocument/2006/relationships/hyperlink" Target="https://www.sec.gov/Archives/edgar/data/1828102/000110465921029334/tm2034233d6_ex3-1.htm" TargetMode="External"/><Relationship Id="rId132" Type="http://schemas.openxmlformats.org/officeDocument/2006/relationships/hyperlink" Target="https://www.sec.gov/Archives/edgar/data/1828102/000110465921039374/tm2034233d11_ex4-1.htm" TargetMode="External"/><Relationship Id="rId133" Type="http://schemas.openxmlformats.org/officeDocument/2006/relationships/hyperlink" Target="https://www.sec.gov/Archives/edgar/data/1828102/000121390023048618/f20f2023ex2-2_karoooooltd.htm" TargetMode="External"/><Relationship Id="rId134" Type="http://schemas.openxmlformats.org/officeDocument/2006/relationships/hyperlink" Target="https://www.sec.gov/Archives/edgar/data/1828102/000110465921039374/tm2034233d11_ex10-5.htm" TargetMode="External"/><Relationship Id="rId135" Type="http://schemas.openxmlformats.org/officeDocument/2006/relationships/hyperlink" Target="https://www.sec.gov/Archives/edgar/data/1828102/000110465921035665/tm2034233d9_ex10-6.htm" TargetMode="External"/><Relationship Id="rId136" Type="http://schemas.openxmlformats.org/officeDocument/2006/relationships/hyperlink" Target="https://www.sec.gov/Archives/edgar/data/1828102/000121390024067390/ea021112101ex16-1_karooooo.htm" TargetMode="External"/><Relationship Id="rId137" Type="http://schemas.openxmlformats.org/officeDocument/2006/relationships/hyperlink" Target="http://www.sec.gov/Archives/edgar/data/1828102/000121390024052510/ea020767201ex97-1_karoooo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2025-06-09T08:22:04Z</dcterms:created>
  <dcterms:modified xsi:type="dcterms:W3CDTF">2025-06-09T08:22:04Z</dcterms:modified>
</cp:coreProperties>
</file>