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Ordinary Shares, no par value</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Y4600W108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Isaias (Zak) Jose Calisto</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Karooooo Ltd.</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+65 6255 4151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John B. Meade, Esq.</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Roshni Banker Cariello, Esq.</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Tel: (212) 450-4077</w:t>
      </w:r>
    </w:p>
    <w:p>
      <w:pPr>
        <w:spacing w:after="0" w:line="9"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8,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13D/A,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460" w:right="2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Y4600W108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auto"/>
              <w:right w:val="single" w:sz="8" w:color="auto"/>
            </w:tcBorders>
          </w:tcPr>
          <w:p>
            <w:pPr>
              <w:spacing w:after="0"/>
              <w:rPr>
                <w:sz w:val="21"/>
                <w:szCs w:val="21"/>
                <w:color w:val="auto"/>
              </w:rPr>
            </w:pPr>
          </w:p>
        </w:tc>
        <w:tc>
          <w:tcPr>
            <w:tcW w:w="10300" w:type="dxa"/>
            <w:vAlign w:val="bottom"/>
            <w:tcBorders>
              <w:top w:val="single" w:sz="8" w:color="auto"/>
              <w:right w:val="single" w:sz="8" w:color="auto"/>
            </w:tcBorders>
            <w:gridSpan w:val="4"/>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Isaias (Zak) Jose Calisto</w:t>
            </w: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w w:val="96"/>
              </w:rPr>
              <w:t>SEC USE ONLY</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OO</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5</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South Africa</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1"/>
        </w:trPr>
        <w:tc>
          <w:tcPr>
            <w:tcW w:w="400" w:type="dxa"/>
            <w:vAlign w:val="bottom"/>
            <w:tcBorders>
              <w:left w:val="single" w:sz="8" w:color="auto"/>
            </w:tcBorders>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200"/>
              <w:spacing w:after="0" w:line="294" w:lineRule="exact"/>
              <w:rPr>
                <w:sz w:val="20"/>
                <w:szCs w:val="20"/>
                <w:color w:val="auto"/>
              </w:rPr>
            </w:pPr>
            <w:r>
              <w:rPr>
                <w:rFonts w:ascii="Arial" w:cs="Arial" w:eastAsia="Arial" w:hAnsi="Arial"/>
                <w:sz w:val="18"/>
                <w:szCs w:val="18"/>
                <w:color w:val="auto"/>
              </w:rPr>
              <w:t>23,210,294</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spacing w:after="0"/>
              <w:rPr>
                <w:sz w:val="14"/>
                <w:szCs w:val="14"/>
                <w:color w:val="auto"/>
              </w:rPr>
            </w:pPr>
          </w:p>
        </w:tc>
        <w:tc>
          <w:tcPr>
            <w:tcW w:w="1880" w:type="dxa"/>
            <w:vAlign w:val="bottom"/>
            <w:tcBorders>
              <w:right w:val="single" w:sz="8" w:color="auto"/>
            </w:tcBorders>
            <w:gridSpan w:val="2"/>
          </w:tcPr>
          <w:p>
            <w:pPr>
              <w:jc w:val="center"/>
              <w:ind w:right="310"/>
              <w:spacing w:after="0" w:line="157" w:lineRule="exact"/>
              <w:rPr>
                <w:sz w:val="20"/>
                <w:szCs w:val="20"/>
                <w:color w:val="auto"/>
              </w:rPr>
            </w:pPr>
            <w:r>
              <w:rPr>
                <w:rFonts w:ascii="Arial" w:cs="Arial" w:eastAsia="Arial" w:hAnsi="Arial"/>
                <w:sz w:val="18"/>
                <w:szCs w:val="18"/>
                <w:color w:val="auto"/>
                <w:w w:val="91"/>
              </w:rPr>
              <w:t>SHARES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9"/>
                <w:szCs w:val="19"/>
                <w:color w:val="auto"/>
              </w:rPr>
            </w:pP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w:t>
            </w:r>
          </w:p>
        </w:tc>
        <w:tc>
          <w:tcPr>
            <w:tcW w:w="80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80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1880" w:type="dxa"/>
            <w:vAlign w:val="bottom"/>
            <w:tcBorders>
              <w:right w:val="single" w:sz="8" w:color="auto"/>
            </w:tcBorders>
            <w:gridSpan w:val="2"/>
          </w:tcPr>
          <w:p>
            <w:pPr>
              <w:jc w:val="center"/>
              <w:ind w:right="310"/>
              <w:spacing w:after="0" w:line="18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5"/>
                <w:szCs w:val="15"/>
                <w:color w:val="auto"/>
              </w:rPr>
            </w:pPr>
          </w:p>
        </w:tc>
        <w:tc>
          <w:tcPr>
            <w:tcW w:w="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9</w:t>
            </w:r>
          </w:p>
        </w:tc>
        <w:tc>
          <w:tcPr>
            <w:tcW w:w="80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8060" w:type="dxa"/>
            <w:vAlign w:val="bottom"/>
            <w:tcBorders>
              <w:right w:val="single" w:sz="8" w:color="auto"/>
            </w:tcBorders>
          </w:tcPr>
          <w:p>
            <w:pPr>
              <w:ind w:left="200"/>
              <w:spacing w:after="0" w:line="256" w:lineRule="exact"/>
              <w:rPr>
                <w:sz w:val="20"/>
                <w:szCs w:val="20"/>
                <w:color w:val="auto"/>
              </w:rPr>
            </w:pPr>
            <w:r>
              <w:rPr>
                <w:rFonts w:ascii="Arial" w:cs="Arial" w:eastAsia="Arial" w:hAnsi="Arial"/>
                <w:sz w:val="18"/>
                <w:szCs w:val="18"/>
                <w:color w:val="auto"/>
              </w:rPr>
              <w:t>23,210,294</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350"/>
              <w:spacing w:after="0" w:line="175" w:lineRule="exact"/>
              <w:rPr>
                <w:sz w:val="20"/>
                <w:szCs w:val="20"/>
                <w:color w:val="auto"/>
              </w:rPr>
            </w:pPr>
            <w:r>
              <w:rPr>
                <w:rFonts w:ascii="Arial" w:cs="Arial" w:eastAsia="Arial" w:hAnsi="Arial"/>
                <w:sz w:val="18"/>
                <w:szCs w:val="18"/>
                <w:color w:val="auto"/>
                <w:w w:val="89"/>
              </w:rPr>
              <w:t>PERSON</w:t>
            </w: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188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1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rPr>
              <w:t>WITH</w:t>
            </w:r>
          </w:p>
        </w:tc>
        <w:tc>
          <w:tcPr>
            <w:tcW w:w="1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0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80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400" w:type="dxa"/>
            <w:vAlign w:val="bottom"/>
            <w:tcBorders>
              <w:lef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94"/>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294" w:lineRule="exact"/>
              <w:rPr>
                <w:sz w:val="20"/>
                <w:szCs w:val="20"/>
                <w:color w:val="auto"/>
              </w:rPr>
            </w:pPr>
            <w:r>
              <w:rPr>
                <w:rFonts w:ascii="Arial" w:cs="Arial" w:eastAsia="Arial" w:hAnsi="Arial"/>
                <w:sz w:val="18"/>
                <w:szCs w:val="18"/>
                <w:color w:val="auto"/>
                <w:w w:val="93"/>
              </w:rPr>
              <w:t>23,210,294</w:t>
            </w:r>
            <w:r>
              <w:rPr>
                <w:rFonts w:ascii="Arial" w:cs="Arial" w:eastAsia="Arial" w:hAnsi="Arial"/>
                <w:sz w:val="29"/>
                <w:szCs w:val="29"/>
                <w:color w:val="auto"/>
                <w:w w:val="93"/>
                <w:vertAlign w:val="superscript"/>
              </w:rPr>
              <w:t>(1)(2)</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tcBorders>
          </w:tcPr>
          <w:p>
            <w:pPr>
              <w:ind w:left="120"/>
              <w:spacing w:after="0" w:line="189" w:lineRule="exact"/>
              <w:rPr>
                <w:sz w:val="20"/>
                <w:szCs w:val="20"/>
                <w:color w:val="auto"/>
              </w:rPr>
            </w:pPr>
            <w:r>
              <w:rPr>
                <w:rFonts w:ascii="Arial" w:cs="Arial" w:eastAsia="Arial" w:hAnsi="Arial"/>
                <w:sz w:val="18"/>
                <w:szCs w:val="18"/>
                <w:color w:val="auto"/>
              </w:rPr>
              <w:t>12</w:t>
            </w:r>
          </w:p>
        </w:tc>
        <w:tc>
          <w:tcPr>
            <w:tcW w:w="540" w:type="dxa"/>
            <w:vAlign w:val="bottom"/>
            <w:tcBorders>
              <w:right w:val="single" w:sz="8" w:color="auto"/>
            </w:tcBorders>
          </w:tcPr>
          <w:p>
            <w:pPr>
              <w:spacing w:after="0"/>
              <w:rPr>
                <w:sz w:val="16"/>
                <w:szCs w:val="16"/>
                <w:color w:val="auto"/>
              </w:rPr>
            </w:pPr>
          </w:p>
        </w:tc>
        <w:tc>
          <w:tcPr>
            <w:tcW w:w="10300" w:type="dxa"/>
            <w:vAlign w:val="bottom"/>
            <w:tcBorders>
              <w:right w:val="single" w:sz="8" w:color="auto"/>
            </w:tcBorders>
            <w:gridSpan w:val="4"/>
          </w:tcPr>
          <w:p>
            <w:pPr>
              <w:ind w:left="200"/>
              <w:spacing w:after="0" w:line="189" w:lineRule="exact"/>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6"/>
        </w:trPr>
        <w:tc>
          <w:tcPr>
            <w:tcW w:w="40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0" w:type="dxa"/>
            <w:vAlign w:val="bottom"/>
            <w:tcBorders>
              <w:right w:val="single" w:sz="8" w:color="auto"/>
            </w:tcBorders>
          </w:tcPr>
          <w:p>
            <w:pPr>
              <w:spacing w:after="0"/>
              <w:rPr>
                <w:sz w:val="19"/>
                <w:szCs w:val="19"/>
                <w:color w:val="auto"/>
              </w:rPr>
            </w:pPr>
          </w:p>
        </w:tc>
        <w:tc>
          <w:tcPr>
            <w:tcW w:w="10300" w:type="dxa"/>
            <w:vAlign w:val="bottom"/>
            <w:tcBorders>
              <w:right w:val="single" w:sz="8" w:color="auto"/>
            </w:tcBorders>
            <w:gridSpan w:val="4"/>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0"/>
                <w:szCs w:val="20"/>
                <w:color w:val="auto"/>
              </w:rPr>
            </w:pPr>
          </w:p>
        </w:tc>
        <w:tc>
          <w:tcPr>
            <w:tcW w:w="8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25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20,110,294 ordinary shares, no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Karooooo Ltd., a Singapore public limited company (the “</w:t>
      </w:r>
      <w:r>
        <w:rPr>
          <w:rFonts w:ascii="Arial" w:cs="Arial" w:eastAsia="Arial" w:hAnsi="Arial"/>
          <w:sz w:val="18"/>
          <w:szCs w:val="18"/>
          <w:u w:val="single" w:color="auto"/>
          <w:color w:val="auto"/>
        </w:rPr>
        <w:t>Issuer</w:t>
      </w:r>
      <w:r>
        <w:rPr>
          <w:rFonts w:ascii="Arial" w:cs="Arial" w:eastAsia="Arial" w:hAnsi="Arial"/>
          <w:sz w:val="18"/>
          <w:szCs w:val="18"/>
          <w:color w:val="auto"/>
        </w:rPr>
        <w:t>”), consisting of 20,332,894 Ordinary Shares held by Mr. Calisto prior to the Issuer’s initial public offering in the United States, and 86,400 Ordinary Shares acquired by Mr. Calisto pursuant to his participation in the Reinvestment (as defined below), less 309,000 Ordinary Shares sold by Mr. Calisto on the Johannesburg Stock Exchange pursuant to Rule 144 between November 5 and November 22, 2021, according to information provided by the Issuer.</w:t>
      </w:r>
    </w:p>
    <w:p>
      <w:pPr>
        <w:spacing w:after="0" w:line="187" w:lineRule="exact"/>
        <w:rPr>
          <w:rFonts w:ascii="Arial" w:cs="Arial" w:eastAsia="Arial" w:hAnsi="Arial"/>
          <w:sz w:val="18"/>
          <w:szCs w:val="18"/>
          <w:color w:val="auto"/>
        </w:rPr>
      </w:pPr>
    </w:p>
    <w:p>
      <w:pPr>
        <w:ind w:right="140" w:firstLine="8"/>
        <w:spacing w:after="0" w:line="273"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3,100,000 Ordinary Shares held by One Spire (Pty) Ltd. (“</w:t>
      </w:r>
      <w:r>
        <w:rPr>
          <w:rFonts w:ascii="Arial" w:cs="Arial" w:eastAsia="Arial" w:hAnsi="Arial"/>
          <w:sz w:val="17"/>
          <w:szCs w:val="17"/>
          <w:u w:val="single" w:color="auto"/>
          <w:color w:val="auto"/>
        </w:rPr>
        <w:t>One Spire</w:t>
      </w:r>
      <w:r>
        <w:rPr>
          <w:rFonts w:ascii="Arial" w:cs="Arial" w:eastAsia="Arial" w:hAnsi="Arial"/>
          <w:sz w:val="17"/>
          <w:szCs w:val="17"/>
          <w:color w:val="auto"/>
        </w:rPr>
        <w:t>”), pursuant to the A&amp;R One Spire Voting Agreement described herein, according to information provided by the Issuer. Beneficial ownership of the 3,100,000 Ordinary Shares held by One Spire is being reported hereunder solely because Mr. Calisto may be deemed to have beneficial ownership and shared voting and dispositive power as a result of the A&amp;R One Spire Voting Agreement described herein. Neither the filing of this Schedule 13D/A nor any of its contents shall be deemed to constitute an admission by Mr. Calisto that he is the beneficial owner of any Ordinary Shares held by One Spire for purposes of Section 13(d) of the Exchange Act or for any other purpose, and such beneficial ownership thereof is expressly disclaimed.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Amendment No. 2 amends, restates and supersedes the statement on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filed with the U.S. Securities and Exchange Commission on April 26, 2021, as amended and restated by the Amendment No. 1 filed with the SEC on August 23, 2021 (File No. 005-92497), by Isaias (Zak) Jose Calisto, a South African Citizen relating to the Ordinary Shares of the Issuer. Information reported in this Schedule 13D/A amends, restates and supersedes information provided in the Schedule 13D,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This Schedule 13D/A relates to the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 of the Issuer is 10 Anson Road, #12-14, International Plaza, Singapore 079903.</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 This Schedule 13D/A is being filed by Isaias (Zak) Jose Calisto, a South African citizen.</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address of the principal business office of Isaias (Zak) Jose Calisto is c/o Karooooo Ltd., 10 Anson Road #12-14, International Plaza Singapore 079903.</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business of Mr. Calisto is serving as the Chief Executive Officer and as a director of the Issuer.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last five years, Mr. Calisto has not been convicted in a criminal proceeding (excluding traffic violations or similar misdemeanors).</w:t>
      </w:r>
    </w:p>
    <w:p>
      <w:pPr>
        <w:spacing w:after="0" w:line="236" w:lineRule="exact"/>
        <w:rPr>
          <w:rFonts w:ascii="Arial" w:cs="Arial" w:eastAsia="Arial" w:hAnsi="Arial"/>
          <w:sz w:val="17"/>
          <w:szCs w:val="17"/>
          <w:color w:val="auto"/>
        </w:rPr>
      </w:pPr>
    </w:p>
    <w:p>
      <w:pPr>
        <w:ind w:right="40" w:firstLine="8"/>
        <w:spacing w:after="0" w:line="263"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five years, Mr. Calisto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Item 2(a)-(b) above for citizenship of Mr. Calisto.</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more fully described in Item 4 hereof, Mr. Calisto has not paid any funds or other consideration in connection with the execution and delivery of the A&amp;R One Spire Voting Agreement (as defined below) and therefore no consideration was paid in connection with the voting rights requiring the filing of this Schedule 13D/A.</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Between November 5 and November 22, 2021, Mr. Calisto sold 309,000 Ordinary Shares on the Johannesburg Stock Exchange pursuant to Rule 144 for aggregate consideration of R156,585,631.74 at a price of R506.75 per Ordinary Share, through Peresec SA Nominees (Pty) Ltd. as broker, primarily to fund taxes and costs related to the Scheme.</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anticipation of the Issuer’s initial public offering, and recognizing that Mr. Calisto, as founder, would receive no special rights pursuant to the Constitution of the Issuer, Mr. Calisto and Georgem Holdings (Pty) Ltd. (“</w:t>
      </w:r>
      <w:r>
        <w:rPr>
          <w:rFonts w:ascii="Arial" w:cs="Arial" w:eastAsia="Arial" w:hAnsi="Arial"/>
          <w:sz w:val="16"/>
          <w:szCs w:val="16"/>
          <w:u w:val="single" w:color="auto"/>
          <w:color w:val="auto"/>
        </w:rPr>
        <w:t>Georgem</w:t>
      </w:r>
      <w:r>
        <w:rPr>
          <w:rFonts w:ascii="Arial" w:cs="Arial" w:eastAsia="Arial" w:hAnsi="Arial"/>
          <w:sz w:val="16"/>
          <w:szCs w:val="16"/>
          <w:color w:val="auto"/>
        </w:rPr>
        <w:t>”) entered into that certain Voting Agreement (the “</w:t>
      </w:r>
      <w:r>
        <w:rPr>
          <w:rFonts w:ascii="Arial" w:cs="Arial" w:eastAsia="Arial" w:hAnsi="Arial"/>
          <w:sz w:val="16"/>
          <w:szCs w:val="16"/>
          <w:u w:val="single" w:color="auto"/>
          <w:color w:val="auto"/>
        </w:rPr>
        <w:t>Original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March 22, 2021, with the purpose of providing Mr. Calisto and his permitted transferees the right to exercise, or cause Georgem to exercise as directed by Mr. Calisto and his permitted transferees, the voting rights in respect of the Initial Georgem Holding (as defined below).</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initial public offering of the Issuer in the United States, a corporate reorganization (the “</w:t>
      </w:r>
      <w:r>
        <w:rPr>
          <w:rFonts w:ascii="Arial" w:cs="Arial" w:eastAsia="Arial" w:hAnsi="Arial"/>
          <w:sz w:val="18"/>
          <w:szCs w:val="18"/>
          <w:u w:val="single" w:color="auto"/>
          <w:color w:val="auto"/>
        </w:rPr>
        <w:t>Corporate Reorganization</w:t>
      </w:r>
      <w:r>
        <w:rPr>
          <w:rFonts w:ascii="Arial" w:cs="Arial" w:eastAsia="Arial" w:hAnsi="Arial"/>
          <w:sz w:val="18"/>
          <w:szCs w:val="18"/>
          <w:color w:val="auto"/>
        </w:rPr>
        <w:t>”) was undertaken pursuant to a scheme of arrangement under Section 114(1) (as read with Section 115) of the South African Companies Act (the “</w:t>
      </w:r>
      <w:r>
        <w:rPr>
          <w:rFonts w:ascii="Arial" w:cs="Arial" w:eastAsia="Arial" w:hAnsi="Arial"/>
          <w:sz w:val="18"/>
          <w:szCs w:val="18"/>
          <w:u w:val="single" w:color="auto"/>
          <w:color w:val="auto"/>
        </w:rPr>
        <w:t>Scheme</w:t>
      </w:r>
      <w:r>
        <w:rPr>
          <w:rFonts w:ascii="Arial" w:cs="Arial" w:eastAsia="Arial" w:hAnsi="Arial"/>
          <w:sz w:val="18"/>
          <w:szCs w:val="18"/>
          <w:color w:val="auto"/>
        </w:rPr>
        <w:t>”), whereby the Issuer, as the majority shareholder of Cartrack Holdings Limited (“</w:t>
      </w:r>
      <w:r>
        <w:rPr>
          <w:rFonts w:ascii="Arial" w:cs="Arial" w:eastAsia="Arial" w:hAnsi="Arial"/>
          <w:sz w:val="18"/>
          <w:szCs w:val="18"/>
          <w:u w:val="single" w:color="auto"/>
          <w:color w:val="auto"/>
        </w:rPr>
        <w:t>Cartrack</w:t>
      </w:r>
      <w:r>
        <w:rPr>
          <w:rFonts w:ascii="Arial" w:cs="Arial" w:eastAsia="Arial" w:hAnsi="Arial"/>
          <w:sz w:val="18"/>
          <w:szCs w:val="18"/>
          <w:color w:val="auto"/>
        </w:rPr>
        <w:t>”) acquired for cash all of the outstanding ordinary shares held by the minority shareholders of Cartrack at a price equal to R42.00 per share (the “</w:t>
      </w:r>
      <w:r>
        <w:rPr>
          <w:rFonts w:ascii="Arial" w:cs="Arial" w:eastAsia="Arial" w:hAnsi="Arial"/>
          <w:sz w:val="18"/>
          <w:szCs w:val="18"/>
          <w:u w:val="single" w:color="auto"/>
          <w:color w:val="auto"/>
        </w:rPr>
        <w:t>Scheme Consideration</w:t>
      </w:r>
      <w:r>
        <w:rPr>
          <w:rFonts w:ascii="Arial" w:cs="Arial" w:eastAsia="Arial" w:hAnsi="Arial"/>
          <w:sz w:val="18"/>
          <w:szCs w:val="18"/>
          <w:color w:val="auto"/>
        </w:rPr>
        <w:t>”), and, as a result, Cartrack became a wholly owned subsidiary of the Issuer. In connection with the Scheme, certain eligible shareholders of Cartrack elected to use all or a portion of their Scheme Consideration to subscribe for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Shares of the Issuer (the “</w:t>
      </w:r>
      <w:r>
        <w:rPr>
          <w:rFonts w:ascii="Arial" w:cs="Arial" w:eastAsia="Arial" w:hAnsi="Arial"/>
          <w:sz w:val="18"/>
          <w:szCs w:val="18"/>
          <w:u w:val="single" w:color="auto"/>
          <w:color w:val="auto"/>
        </w:rPr>
        <w:t>Reinvestment</w:t>
      </w:r>
      <w:r>
        <w:rPr>
          <w:rFonts w:ascii="Arial" w:cs="Arial" w:eastAsia="Arial" w:hAnsi="Arial"/>
          <w:sz w:val="18"/>
          <w:szCs w:val="18"/>
          <w:color w:val="auto"/>
        </w:rPr>
        <w:t>”). Georgem, an eligible Cartrack shareholder, used its Scheme Consideration to participate in the Reinvestment and acquired 3,550,000 Ordinary Shares on April 21, 2021 (the “</w:t>
      </w:r>
      <w:r>
        <w:rPr>
          <w:rFonts w:ascii="Arial" w:cs="Arial" w:eastAsia="Arial" w:hAnsi="Arial"/>
          <w:sz w:val="18"/>
          <w:szCs w:val="18"/>
          <w:u w:val="single" w:color="auto"/>
          <w:color w:val="auto"/>
        </w:rPr>
        <w:t>Initial Georgem Holding</w:t>
      </w:r>
      <w:r>
        <w:rPr>
          <w:rFonts w:ascii="Arial" w:cs="Arial" w:eastAsia="Arial" w:hAnsi="Arial"/>
          <w:sz w:val="18"/>
          <w:szCs w:val="18"/>
          <w:color w:val="auto"/>
        </w:rPr>
        <w:t>”).</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August 12, 2021, in anticipation of the August One Spire Transaction (as defined below), Mr. Calisto and Georgem entered into that certain Amended and Restated Voting Agreement (the “</w:t>
      </w:r>
      <w:r>
        <w:rPr>
          <w:rFonts w:ascii="Arial" w:cs="Arial" w:eastAsia="Arial" w:hAnsi="Arial"/>
          <w:sz w:val="16"/>
          <w:szCs w:val="16"/>
          <w:u w:val="single" w:color="auto"/>
          <w:color w:val="auto"/>
        </w:rPr>
        <w:t>A&amp;R Georgem Voting Agreement</w:t>
      </w:r>
      <w:r>
        <w:rPr>
          <w:rFonts w:ascii="Arial" w:cs="Arial" w:eastAsia="Arial" w:hAnsi="Arial"/>
          <w:sz w:val="16"/>
          <w:szCs w:val="16"/>
          <w:color w:val="auto"/>
        </w:rPr>
        <w:t>”) dated as of August 12, 2021, with the purpose of amending, restating and superseding the Original Voting Agreement to permit Georgem to transfer 3,000,000 Ordinary Shares in connection with the August One Spire Transaction.</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A&amp;R Georgem Voting Agreement, Mr. Calisto and Georgem had agreed that if Mr. Calisto’s beneficial ownership falls to below 51% of the issued and outstanding Ordinary Shares of the Issuer, then Georgem will cast all votes in respect of the Ordinary Shares held by Georgem as directed by Mr. Calisto and his permitted transferees. In addition, without the prior written consent of Mr. Calisto, Georgem is not permitted to acquire any additional Ordinary Shares.</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Concurrent with execution of the A&amp;R Georgem Voting Agreement and in anticipation of the August One Spire Transaction, Mr. Calisto and One Spire entered into that certain Voting Agreement (the “</w:t>
      </w:r>
      <w:r>
        <w:rPr>
          <w:rFonts w:ascii="Arial" w:cs="Arial" w:eastAsia="Arial" w:hAnsi="Arial"/>
          <w:sz w:val="16"/>
          <w:szCs w:val="16"/>
          <w:u w:val="single" w:color="auto"/>
          <w:color w:val="auto"/>
        </w:rPr>
        <w:t>Original One Spire Voting Agreement</w:t>
      </w:r>
      <w:r>
        <w:rPr>
          <w:rFonts w:ascii="Arial" w:cs="Arial" w:eastAsia="Arial" w:hAnsi="Arial"/>
          <w:sz w:val="16"/>
          <w:szCs w:val="16"/>
          <w:color w:val="auto"/>
        </w:rPr>
        <w:t>”), dated as of August 12, 2021, with the purpose of providing Mr. Calisto and his permitted transferees the right to exercise, or cause One Spire to exercise as directed by Mr. Calisto and his permitted transferees, the voting rights in respect of the Ordinary Shares held by One Spire in connection with the August One Spire Transaction or otherwise held by One Spire.</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23, 2021, Georgem and One Spire consummated a transfer of 3,000,000 Ordinary Shares held by Georgem to One Spire (the “</w:t>
      </w:r>
      <w:r>
        <w:rPr>
          <w:rFonts w:ascii="Arial" w:cs="Arial" w:eastAsia="Arial" w:hAnsi="Arial"/>
          <w:sz w:val="18"/>
          <w:szCs w:val="18"/>
          <w:u w:val="single" w:color="auto"/>
          <w:color w:val="auto"/>
        </w:rPr>
        <w:t>August One Spire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Georgem retained 550,000 Ordinary Shares following the August One Spire Transaction.</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August 25, 2021, Georgem sold 309,000 Ordinary Shares on the Johannesburg Stock Exchange pursuant to Rule 144. Georgem retained 241,000 Ordinary Shares following this sale.</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Between November 5 and November 22, 2021, Mr. Calisto sold 309,000 Ordinary Shares on the Johannesburg Stock Exchange pursuant to Rule 144 for aggregate consideration of R156,585,631.74 at a price of R506.75 per Ordinary Share, through Peresec SA Nominees (Pty) Ltd. as broker, primarily to fund taxes and costs related to the Scheme.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November 29, 2021, Georgem and One Spire consummated a transfer of 100,000 Ordinary Shares held by Georgem to One Spire (the “</w:t>
      </w:r>
      <w:r>
        <w:rPr>
          <w:rFonts w:ascii="Arial" w:cs="Arial" w:eastAsia="Arial" w:hAnsi="Arial"/>
          <w:sz w:val="18"/>
          <w:szCs w:val="18"/>
          <w:u w:val="single" w:color="auto"/>
          <w:color w:val="auto"/>
        </w:rPr>
        <w:t>November 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Spire Transaction</w:t>
      </w:r>
      <w:r>
        <w:rPr>
          <w:rFonts w:ascii="Arial" w:cs="Arial" w:eastAsia="Arial" w:hAnsi="Arial"/>
          <w:sz w:val="18"/>
          <w:szCs w:val="18"/>
          <w:color w:val="auto"/>
        </w:rPr>
        <w:t>”). Georgem retained 141,000 Ordinary Shares following the November One Spire Transaction. One Spire holds 3,100,000 Ordinary Shares following the November One Spire Transaction.</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30, 2021, Georgem sold 141,000 Ordinary Shares on the Johannesburg Stock Exchange pursuant to Rule 144. Georgem no longer holds any Ordinary Shares.</w:t>
      </w:r>
    </w:p>
    <w:p>
      <w:pPr>
        <w:spacing w:after="0" w:line="1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December 6, 2021, in connection with the November One Spire Transaction, Mr. Calisto and One Spire entered into that certain Amended and Restated Voting Agreement (the “</w:t>
      </w:r>
      <w:r>
        <w:rPr>
          <w:rFonts w:ascii="Arial" w:cs="Arial" w:eastAsia="Arial" w:hAnsi="Arial"/>
          <w:sz w:val="18"/>
          <w:szCs w:val="18"/>
          <w:u w:val="single" w:color="auto"/>
          <w:color w:val="auto"/>
        </w:rPr>
        <w:t>A&amp;R One Spire Voting Agreement</w:t>
      </w:r>
      <w:r>
        <w:rPr>
          <w:rFonts w:ascii="Arial" w:cs="Arial" w:eastAsia="Arial" w:hAnsi="Arial"/>
          <w:sz w:val="18"/>
          <w:szCs w:val="18"/>
          <w:color w:val="auto"/>
        </w:rPr>
        <w:t>”), dated as of December 6, 2021, with the purpose of amending, restating and superseding the Original One Spire Voting Agreement.</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A&amp;R One Spire Voting Agreement, Mr. Calisto and One Spire have agreed that if Mr. Calisto’s beneficial ownership falls to below 51% of the issued and outstanding Ordinary Shares of the Issuer, then One Spire will cast all votes in respect of the Ordinary Shares held by One Spire as directed by Mr. Calisto and his permitted transferees. In addition, without the prior written consent of Mr. Calisto, One Spire is not permitted to (i) transfer any Ordinary Shares owned by One Spire or (ii) acquire any additional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Calisto disclaims beneficial ownership of such Ordinary Shares.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description of the voting agreements contained in this Item 4 is not intended to be complete and is qualified in its entirety by reference to such documents, which are filed as Exhibits 99.1 and 99.2 hereto and incorporated by reference herein.</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Corporate Reorganization, Mr. Calisto, an eligible Cartrack shareholder, used his Scheme Consideration to participate in the Reinvestment and acquired 86,400 additional Ordinary Shares on 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information in Item 6 of this Schedule 13D/A is incorporated herein by reference.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Calisto intends to review his investment in the Issuer on an ongoing basis and, in the course of their review, may take actions (including through their affiliates) with respect to his investment or the Issuer, including communicating with the board of directors of the Issuer (the “</w:t>
      </w:r>
      <w:r>
        <w:rPr>
          <w:rFonts w:ascii="Arial" w:cs="Arial" w:eastAsia="Arial" w:hAnsi="Arial"/>
          <w:sz w:val="17"/>
          <w:szCs w:val="17"/>
          <w:u w:val="single" w:color="auto"/>
          <w:color w:val="auto"/>
        </w:rPr>
        <w:t>Board</w:t>
      </w:r>
      <w:r>
        <w:rPr>
          <w:rFonts w:ascii="Arial" w:cs="Arial" w:eastAsia="Arial" w:hAnsi="Arial"/>
          <w:sz w:val="17"/>
          <w:szCs w:val="17"/>
          <w:color w:val="auto"/>
        </w:rPr>
        <w:t>”), members of management or other security 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Mr. Calisto is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Such discussions and actions may be preliminary and exploratory in nature, and not rise to the level of a plan or proposal. Subject to the terms and conditions of the documents described herein to which Mr. Calisto is a party, Mr. Calisto or his affiliates may seek to acquire securities of the Issuer, including Ordinary Shares and/or other equity, debt, notes or other financial instruments related to the Issuer or the Ordinary Shares (which may include rights or securities exercisable or convertible into securities of the Issuer), and/or sell or otherwise dispose of some or all of such Issuer securities or financial instruments (which may include distributing some or all of such securities to Mr. Calisto’s respective partners or beneficiaries, as applicable) from time to time, in each case, in open market or private transactions, block sales or otherwise. Any transaction that Mr. Calisto or his affiliates may pursue, subject to the terms and conditions of the documents described herein to which Mr. Calisto is a party, may be made at any time and from time to time without prior notice and will depend on a variety of factors, including, without limitation, the price and availability of the Issuer’s securities or other financial instruments, Mr. Calisto’s or such affiliates’ trading and investment strategies, subsequent developments affecting the Issuer, the Issuer’s business and the Issuer’s prospects, other investment and business opportunities available to Mr. Calisto and his affiliates, general industry and economic conditions, the securities markets in general, tax considerations and other factors deemed relevant by Mr. Calisto and such affiliates.</w:t>
      </w:r>
    </w:p>
    <w:p>
      <w:pPr>
        <w:spacing w:after="0" w:line="1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particular, Mr. Calisto intends to dispose of up to an additional 1,236,000 Ordinary Shares within 12 months from the date of the initial Schedule 13D to fund the payment of taxes and costs related to the Scheme and to increase the free float of the Issuer.</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his capacity as Chief Executive Officer and a director of the Issuer, Mr. Calisto intends to continue taking an active role in the Issuer’s management. Also, in his capacity as Chief Executive Officer and a director of the Issuer, Mr. Calisto intends to be involved in approvals or recommendations with respect to the issuance of additional securities of the Issuer to employees of the Issuer or its subsidiaries.</w:t>
      </w:r>
    </w:p>
    <w:p>
      <w:pPr>
        <w:spacing w:after="0" w:line="18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Except as described in this Schedule 13D/A, Mr. Calisto does not have any present plans or proposals that relate to or would result in any of the actions described in subparagraphs (a) through (j) of Item 4 of Schedule 13D. However, subject to the agreements described herein, as part of his ongoing evaluation of this investment and investment alternatives, Mr. Calisto may consider such matters and, subject to applicable law, may formulate a plan or proposal with respect to such matters, and, from time to time, may hold discussions with or make formal proposals to management or the Board, other stockholders of the Issuer or other third parties regarding such matters.</w:t>
      </w:r>
    </w:p>
    <w:p>
      <w:pPr>
        <w:spacing w:after="0" w:line="17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(a)-(b) As of the filing date of this Schedule 13D/A, as a result of the A&amp;R One Spire Voting Agreement, Mr. Calisto may be deemed to have (i) beneficial ownership (within the meaning of Rule 13d-3 under the Exchange Act) and (ii) sole power to vote or direct the vote of 3,100,000 Ordinary Shares, which, together with Mr. Calisto’s additional 20,110,294 Ordinary Shares, represents approximately 75.0% of the Ordinary Shares deemed to be outstanding pursuant to Rule 13d-3(d)(1) of the Exchange Act, subject to the conditions and limitations of the A&amp;R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ind w:right="140"/>
        <w:spacing w:after="0" w:line="301" w:lineRule="auto"/>
        <w:rPr>
          <w:sz w:val="20"/>
          <w:szCs w:val="20"/>
          <w:color w:val="auto"/>
        </w:rPr>
      </w:pPr>
      <w:r>
        <w:rPr>
          <w:rFonts w:ascii="Arial" w:cs="Arial" w:eastAsia="Arial" w:hAnsi="Arial"/>
          <w:sz w:val="16"/>
          <w:szCs w:val="16"/>
          <w:color w:val="auto"/>
        </w:rPr>
        <w:t>One Spire Voting Agreement. Calculations of the percentage of Ordinary Shares beneficially owned assumes that there were 30,951,106 Ordinary Shares outstanding as reported in the Issuer’s Report on Form 6-K filed with the U.S. Securities and Exchange Commission on October 14, 2021. However, as of the filing date of this Schedule 13D/A, as Mr. Calisto otherwise beneficially owns Ordinary Shares representing more than 51% of the total issued and outstanding Ordinary Shares of the Issuer, he may not exercise voting rights in respect of the 3,100,000 Ordinary Shares owned by One Spire.</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aggregate number and percentage of the Ordinary Shares beneficially owned by Mr. Calisto and the number of shares as to which Mr. Calisto has sole power to vote or to direct the vote, shared power to vote or to direct the vote, sole power to dispose or to direct the disposition, or shared power to dispose or to direct the disposition are set forth on rows 7 through 11 and row 13 of the cover pages of this Schedule 13D/A and are incorporated herein by reference.</w:t>
      </w:r>
    </w:p>
    <w:p>
      <w:pPr>
        <w:spacing w:after="0" w:line="1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set forth in this Schedule 13D/A, Mr. Calisto has not effected any transaction in Ordinary Shares in the past 60 days.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information set forth, or incorporated by reference, in Items 3 through 5 of this Schedule 13D/A is incorporated by reference into this Item 6. Except as otherwise described in this Schedule 13D/A, to the knowledge of Mr. Calisto, there are no other contracts, arrangements, understandings or relationships (legal or otherwise) among the persons named in Item 2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April 6, 2021, the Issuer and Mr. Calisto entered into a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the terms of the Registration Rights Agreement, the Issuer will provide for customary “demand” registrations and “piggyback” registration rights. The Registration Rights Agreement will also provide that the Issuer will pay certain expenses relating to such registrations and indemnify the registration rights holders against (or make contributions in respect of) certain liabilities which may arise under the Securities Act of 1933, as amended.</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description of the Registration Rights Agreement contained in this Item 6 is not intended to be complete and is qualified in its entirety by reference to such document, which was filed as Exhibit 10.5 to the Form F-1 registration statement filed with the U.S. Securities and Exchange Commission on March 22, 2021 and is incorporated by reference 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Material to be Filed as Exhibits</w:t>
            </w:r>
          </w:p>
        </w:tc>
      </w:tr>
      <w:tr>
        <w:trPr>
          <w:trHeight w:val="45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4"/>
              </w:rPr>
              <w:t>Amended and Restated Voting Agreement, dated as of December 6, 2021, by and between Mr. Calisto and One Spire (Pty) Ltd. (filed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herewith).</w:t>
            </w:r>
          </w:p>
        </w:tc>
      </w:tr>
      <w:tr>
        <w:trPr>
          <w:trHeight w:val="567"/>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ISAIAS (ZAK) JOSE CALISTO</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Isaias (Zak) Jose Calisto</w:t>
            </w:r>
          </w:p>
        </w:tc>
      </w:tr>
      <w:tr>
        <w:trPr>
          <w:trHeight w:val="237"/>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Isaias (Zak) Jose Calisto</w:t>
            </w:r>
          </w:p>
        </w:tc>
      </w:tr>
      <w:tr>
        <w:trPr>
          <w:trHeight w:val="594"/>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VOTING AGREEMENT</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AMENDED AND RESTATED VOTING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December 6, 2021 between (i) Isaias Jose Calisto (“</w:t>
      </w:r>
      <w:r>
        <w:rPr>
          <w:rFonts w:ascii="Arial" w:cs="Arial" w:eastAsia="Arial" w:hAnsi="Arial"/>
          <w:sz w:val="18"/>
          <w:szCs w:val="18"/>
          <w:b w:val="1"/>
          <w:bCs w:val="1"/>
          <w:color w:val="auto"/>
        </w:rPr>
        <w:t>IJC</w:t>
      </w:r>
      <w:r>
        <w:rPr>
          <w:rFonts w:ascii="Arial" w:cs="Arial" w:eastAsia="Arial" w:hAnsi="Arial"/>
          <w:sz w:val="18"/>
          <w:szCs w:val="18"/>
          <w:color w:val="auto"/>
        </w:rPr>
        <w:t>”) and (ii) One Spire (Pty) Ltd. (“</w:t>
      </w:r>
      <w:r>
        <w:rPr>
          <w:rFonts w:ascii="Arial" w:cs="Arial" w:eastAsia="Arial" w:hAnsi="Arial"/>
          <w:sz w:val="18"/>
          <w:szCs w:val="18"/>
          <w:b w:val="1"/>
          <w:bCs w:val="1"/>
          <w:color w:val="auto"/>
        </w:rPr>
        <w:t>One Spire</w:t>
      </w:r>
      <w:r>
        <w:rPr>
          <w:rFonts w:ascii="Arial" w:cs="Arial" w:eastAsia="Arial" w:hAnsi="Arial"/>
          <w:sz w:val="18"/>
          <w:szCs w:val="18"/>
          <w:color w:val="auto"/>
        </w:rPr>
        <w:t>”).</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WHEREAS, One Spire acquired 3,000,000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from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 in August 2021 (the “</w:t>
      </w:r>
      <w:r>
        <w:rPr>
          <w:rFonts w:ascii="Arial" w:cs="Arial" w:eastAsia="Arial" w:hAnsi="Arial"/>
          <w:sz w:val="18"/>
          <w:szCs w:val="18"/>
          <w:b w:val="1"/>
          <w:bCs w:val="1"/>
          <w:color w:val="auto"/>
        </w:rPr>
        <w:t>August One Spire Transaction</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Georgem expects to transfer 100,000 Ordinary Shares to One Spire (Pty) Ltd. (the “</w:t>
      </w:r>
      <w:r>
        <w:rPr>
          <w:rFonts w:ascii="Arial" w:cs="Arial" w:eastAsia="Arial" w:hAnsi="Arial"/>
          <w:sz w:val="17"/>
          <w:szCs w:val="17"/>
          <w:b w:val="1"/>
          <w:bCs w:val="1"/>
          <w:color w:val="auto"/>
        </w:rPr>
        <w:t>November One Spire Transaction</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and One Spire are parties to that certain Voting Agreement, dated August 12, 2021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in connection with the November One Spire Transaction, IJC and One Spire desire to amend and restate the Prior Agreement and agree that this Agreement will supersede and replace the Prior Agreement in its entirety; and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One Spire to exercise as directed by IJC and IJC Transferees, the voting rights in respect of any Ordinary Shares beneficially owned by One Spire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Section 1.01. As used in this Agreement, the following terms have the following meanings:</w:t>
      </w:r>
    </w:p>
    <w:p>
      <w:pPr>
        <w:spacing w:after="0" w:line="221"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August One Spire Transaction</w:t>
      </w:r>
      <w:r>
        <w:rPr>
          <w:rFonts w:ascii="Arial" w:cs="Arial" w:eastAsia="Arial" w:hAnsi="Arial"/>
          <w:sz w:val="18"/>
          <w:szCs w:val="18"/>
          <w:color w:val="auto"/>
        </w:rPr>
        <w:t>” means the transfer of 3,000,000 Ordinary Shares from Georgem to One Spire which was consummated in August 2021.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162"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November One Spire Transaction</w:t>
      </w:r>
      <w:r>
        <w:rPr>
          <w:rFonts w:ascii="Arial" w:cs="Arial" w:eastAsia="Arial" w:hAnsi="Arial"/>
          <w:sz w:val="18"/>
          <w:szCs w:val="18"/>
          <w:color w:val="auto"/>
        </w:rPr>
        <w:t>” means the transfer of 100,000 Ordinary Shares from Georgem to One Spire.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w:t>
      </w:r>
      <w:r>
        <w:rPr>
          <w:rFonts w:ascii="Arial" w:cs="Arial" w:eastAsia="Arial" w:hAnsi="Arial"/>
          <w:sz w:val="18"/>
          <w:szCs w:val="18"/>
          <w:color w:val="auto"/>
        </w:rPr>
        <w:t>” One Spire (Pty) Ltd.</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Holding</w:t>
      </w:r>
      <w:r>
        <w:rPr>
          <w:rFonts w:ascii="Arial" w:cs="Arial" w:eastAsia="Arial" w:hAnsi="Arial"/>
          <w:sz w:val="18"/>
          <w:szCs w:val="18"/>
          <w:color w:val="auto"/>
        </w:rPr>
        <w:t>” means the 3,100,000 Ordinary Shares that One Spire is expected to Beneficially Own following the November One Spire Transaction.</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right="20" w:firstLine="648"/>
        <w:spacing w:after="0" w:line="286" w:lineRule="auto"/>
        <w:rPr>
          <w:sz w:val="20"/>
          <w:szCs w:val="20"/>
          <w:color w:val="auto"/>
        </w:rPr>
      </w:pPr>
      <w:r>
        <w:rPr>
          <w:rFonts w:ascii="Arial" w:cs="Arial" w:eastAsia="Arial" w:hAnsi="Arial"/>
          <w:sz w:val="16"/>
          <w:szCs w:val="16"/>
          <w:color w:val="auto"/>
        </w:rPr>
        <w:t xml:space="preserve">Section 1.02.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171"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Section 2.01. For so long as IJC and IJC Transferees, when taken together, shall Beneficially Own Company Securities but not Beneficially Own more than fifty one percent of the issued and outstanding number of Ordinary Shares, One Spire shall, in person or by proxy, cast all votes to which One Spire is entitled in respect of the Ordinary Shares that One Spire Beneficially Owns, whether at any annual or special meeting of shareholders of the Company, by written consent or otherwise, in the manner directed in writing by IJC.</w:t>
      </w:r>
    </w:p>
    <w:p>
      <w:pPr>
        <w:spacing w:after="0" w:line="17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Section 2.02. For so long as IJC and IJC Transferees, when taken together, shall Beneficially Own Company Securities but not Beneficially Own more than fifty one percent of the issued and outstanding number of Ordinary Shares, if IJC requests One Spire to grant IJC a proxy to cast any or all votes to which One Spire is entitled in respect of the Ordinary Shares that One Spire Beneficially Owns, whether at any annual or special meeting of shareholders of the Company, One Spire shall grant IJC such proxy.</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Section 2.03. 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 to IJC by Section 2.01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the proportion that such IJC Transferee’s Beneficial Ownership of Ordinary Shares relates to the aggregate Beneficial Ownership of Ordinary Shares of all such IJC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334645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20"/>
          </w:cols>
          <w:pgMar w:left="1140" w:top="584" w:right="339" w:bottom="1440" w:gutter="0" w:footer="0" w:header="0"/>
        </w:sectPr>
      </w:pPr>
    </w:p>
    <w:bookmarkStart w:id="10" w:name="page11"/>
    <w:bookmarkEnd w:id="10"/>
    <w:p>
      <w:pPr>
        <w:jc w:val="center"/>
        <w:ind w:right="82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3.01. Except with the prior consent in writing of IJC, which consent may be withheld at the sole discretion of IJC, One Spire shall not Transfer to any Person any Company Securities Beneficially Owned by One Spire.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Section 3.02. Other than the One Spire Holding, except with the prior consent in writing of IJC, which consent may be withheld at the sole discretion of IJC, One Spire shall not acquire Beneficial Ownership of any Company Securities.</w:t>
      </w:r>
    </w:p>
    <w:p>
      <w:pPr>
        <w:spacing w:after="0" w:line="17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4.01. One Spire shall not (i) grant any proxy or enter into or agree to be bound by any voting trust or agreement with respect to the Company Securities, except as expressly contemplated by this Agreement, (ii)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(iii)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Section 5.01. 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One Spire may not assign this Agreement or any obligation hereunder or by reason hereof to any Person.</w:t>
      </w:r>
    </w:p>
    <w:p>
      <w:pPr>
        <w:spacing w:after="0" w:line="14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Section 5.02. 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 International Plaza Singapore 079903; Email: zak.calisto@catrack.com; and if to One Spire, C/O Juan Marais, 21 Penhurst avenue, Essexwold, Bedfordview, South Africa; Email: juan@cartrack.com.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351155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20"/>
          </w:cols>
          <w:pgMar w:left="1140" w:top="584"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color w:val="auto"/>
        </w:rPr>
        <w:t>Section 5.03. This Agreement shall be governed by, and construed in accordance with, the laws of the State of New York.</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5.04.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Section 5.05.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Section 5.06.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Section 5.07. 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343535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1140" w:top="584" w:right="37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Section 5.08. This Agreement constitutes the entire agreement among the parties hereto and supersedes all prior and contemporaneous agreements and understandings, both oral and written, among the parties hereto with respect to the subject matter hereof and thereof, including the Prior Agreement.</w:t>
      </w:r>
    </w:p>
    <w:p>
      <w:pPr>
        <w:spacing w:after="0" w:line="18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Section 5.09.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336550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60"/>
          </w:cols>
          <w:pgMar w:left="1140" w:top="584" w:right="39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Isaias Jose Calisto</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Isaias Jose Calisto</w:t>
      </w:r>
    </w:p>
    <w:p>
      <w:pPr>
        <w:spacing w:after="0" w:line="200" w:lineRule="exact"/>
        <w:rPr>
          <w:sz w:val="20"/>
          <w:szCs w:val="20"/>
          <w:color w:val="auto"/>
        </w:rPr>
      </w:pP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One Spire (Pty) Ltd.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Juan Marais</w:t>
      </w:r>
    </w:p>
    <w:p>
      <w:pPr>
        <w:spacing w:after="0" w:line="23" w:lineRule="exact"/>
        <w:rPr>
          <w:sz w:val="20"/>
          <w:szCs w:val="20"/>
          <w:color w:val="auto"/>
        </w:rPr>
      </w:pPr>
    </w:p>
    <w:p>
      <w:pPr>
        <w:ind w:left="598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58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2021-12-08T15:39:36Z</dcterms:created>
  <dcterms:modified xsi:type="dcterms:W3CDTF">2021-12-08T15:39:36Z</dcterms:modified>
</cp:coreProperties>
</file>