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9506-6k_karooooo.htm"/>
      <w:bookmarkStart w:id="1" w:name="ksea02995066k_karooooo"/>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Harbourfront Avenue</w:t>
        <w:br/>
        <w:t>Keppel Bay Tower #14-07</w:t>
        <w:br/>
        <w:t>Singapore 098632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+65 6255 4151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2970" w:type="dxa"/>
        <w:jc w:val="left"/>
        <w:tblInd w:w="0" w:type="dxa"/>
        <w:tblLayout w:type="fixed"/>
        <w:tblCellMar>
          <w:top w:w="0" w:type="dxa"/>
          <w:left w:w="0" w:type="dxa"/>
          <w:bottom w:w="0" w:type="dxa"/>
          <w:right w:w="0" w:type="dxa"/>
        </w:tblCellMar>
      </w:tblPr>
      <w:tblGrid>
        <w:gridCol w:w="75"/>
        <w:gridCol w:w="320"/>
        <w:gridCol w:w="590"/>
        <w:gridCol w:w="19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9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5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7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Isaias (Zak) Jose Calisto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Isaias (Zak) Jose Calisto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7870" w:type="dxa"/>
        <w:jc w:val="left"/>
        <w:tblInd w:w="0" w:type="dxa"/>
        <w:tblLayout w:type="fixed"/>
        <w:tblCellMar>
          <w:top w:w="0" w:type="dxa"/>
          <w:left w:w="0" w:type="dxa"/>
          <w:bottom w:w="28" w:type="dxa"/>
          <w:right w:w="0" w:type="dxa"/>
        </w:tblCellMar>
      </w:tblPr>
      <w:tblGrid>
        <w:gridCol w:w="995"/>
        <w:gridCol w:w="60"/>
        <w:gridCol w:w="681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1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15" w:type="dxa"/>
            <w:tcBorders/>
            <w:shd w:fill="CCEEFF" w:val="clear"/>
            <w:tcMar>
              <w:bottom w:w="0" w:type="dxa"/>
            </w:tcMar>
            <w:vAlign w:val="center"/>
          </w:tcPr>
          <w:p>
            <w:pPr>
              <w:pStyle w:val="TableContents"/>
              <w:bidi w:val="0"/>
              <w:spacing w:before="0" w:after="283"/>
              <w:jc w:val="left"/>
              <w:rPr/>
            </w:pPr>
            <w:hyperlink w:anchor="ea029950601ex99-1.htm">
              <w:r>
                <w:rPr>
                  <w:rStyle w:val="InternetLink"/>
                  <w:rFonts w:ascii="Times New Roman;Times;Serif" w:hAnsi="Times New Roman;Times;Serif"/>
                  <w:b w:val="false"/>
                  <w:i w:val="false"/>
                  <w:caps w:val="false"/>
                  <w:smallCaps w:val="false"/>
                  <w:sz w:val="20"/>
                </w:rPr>
                <w:t>Results of the Annual General Meeting of Karooooo Limited, held on July 28,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950601ex99-1.htm"/>
      <w:bookmarkStart w:id="3" w:name="ksea0299506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93345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33450" cy="5334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(July 28, 2026) - Karooooo Limited (NASDAQ: KARO) (“Karooooo” or “The Company”) today held its Annual General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30,893,300 ordinary shares in issue as at the date of the AGM. In accordance with the constitution of the Company, two members present or represented at the AGM constitutes a quorum. We confirm that a quorum was present at the AGM.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voted on all the resolutions relating to the ordinary business and all the resolutions relating to the special business as set out in the notice of the AGM, dated July 3, 2026. All resolutions were duly passed.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ordinary share carries one vote. Details of all votes validly cast at the AGM are set out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5723"/>
        <w:gridCol w:w="60"/>
        <w:gridCol w:w="60"/>
        <w:gridCol w:w="1100"/>
        <w:gridCol w:w="60"/>
        <w:gridCol w:w="60"/>
        <w:gridCol w:w="60"/>
        <w:gridCol w:w="808"/>
        <w:gridCol w:w="60"/>
        <w:gridCol w:w="60"/>
        <w:gridCol w:w="87"/>
        <w:gridCol w:w="996"/>
        <w:gridCol w:w="60"/>
        <w:gridCol w:w="60"/>
        <w:gridCol w:w="68"/>
        <w:gridCol w:w="642"/>
        <w:gridCol w:w="78"/>
      </w:tblGrid>
      <w:tr>
        <w:trPr/>
        <w:tc>
          <w:tcPr>
            <w:tcW w:w="5886" w:type="dxa"/>
            <w:gridSpan w:val="2"/>
            <w:tcBorders/>
            <w:vAlign w:val="center"/>
          </w:tcPr>
          <w:p>
            <w:pPr>
              <w:pStyle w:val="TableContents"/>
              <w:bidi w:val="0"/>
              <w:spacing w:before="0" w:after="283"/>
              <w:jc w:val="left"/>
              <w:rPr>
                <w:b/>
              </w:rPr>
            </w:pPr>
            <w:r>
              <w:rPr>
                <w:b/>
              </w:rPr>
              <w:t>Resolution number and details</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r>
              <w:rPr>
                <w:rFonts w:ascii="Times New Roman;Times;Serif" w:hAnsi="Times New Roman;Times;Serif"/>
                <w:b/>
                <w:position w:val="7"/>
                <w:sz w:val="16"/>
                <w:sz w:val="20"/>
              </w:rPr>
              <w:t>(1)</w:t>
            </w:r>
            <w:r>
              <w:rPr>
                <w:rFonts w:ascii="Times New Roman;Times;Serif" w:hAnsi="Times New Roman;Times;Serif"/>
                <w:b/>
                <w:sz w:val="20"/>
              </w:rPr>
              <w:t xml:space="preserve"> </w:t>
              <w:b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r>
              <w:rPr>
                <w:rFonts w:ascii="Times New Roman;Times;Serif" w:hAnsi="Times New Roman;Times;Serif"/>
                <w:b/>
                <w:position w:val="7"/>
                <w:sz w:val="16"/>
                <w:sz w:val="20"/>
              </w:rPr>
              <w:t>(1)</w:t>
            </w:r>
            <w:r>
              <w:rPr>
                <w:rFonts w:ascii="Times New Roman;Times;Serif" w:hAnsi="Times New Roman;Times;Serif"/>
                <w:b/>
                <w:sz w:val="20"/>
              </w:rPr>
              <w:t xml:space="preserve"> </w:t>
              <w:b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Abstentions</w:t>
            </w:r>
            <w:r>
              <w:rPr>
                <w:rFonts w:ascii="Times New Roman;Times;Serif" w:hAnsi="Times New Roman;Times;Serif"/>
                <w:b/>
                <w:position w:val="7"/>
                <w:sz w:val="16"/>
                <w:sz w:val="20"/>
              </w:rPr>
              <w:t>(1)</w:t>
            </w:r>
            <w:r>
              <w:rPr>
                <w:rFonts w:ascii="Times New Roman;Times;Serif" w:hAnsi="Times New Roman;Times;Serif"/>
                <w:b/>
                <w:sz w:val="20"/>
              </w:rPr>
              <w:t xml:space="preserve"> </w:t>
              <w:b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b/>
              </w:rPr>
            </w:pPr>
            <w:r>
              <w:rPr>
                <w:b/>
              </w:rPr>
              <w:t>Shares</w:t>
              <w:br/>
              <w:t>Voted</w:t>
            </w:r>
          </w:p>
        </w:tc>
        <w:tc>
          <w:tcPr>
            <w:tcW w:w="78" w:type="dxa"/>
            <w:tcBorders/>
            <w:vAlign w:val="center"/>
          </w:tcPr>
          <w:p>
            <w:pPr>
              <w:pStyle w:val="TableContents"/>
              <w:bidi w:val="0"/>
              <w:spacing w:before="0" w:after="283"/>
              <w:jc w:val="left"/>
              <w:rPr/>
            </w:pPr>
            <w:r>
              <w:rPr/>
              <w:t> </w:t>
            </w:r>
          </w:p>
        </w:tc>
      </w:tr>
      <w:tr>
        <w:trPr/>
        <w:tc>
          <w:tcPr>
            <w:tcW w:w="5886" w:type="dxa"/>
            <w:gridSpan w:val="2"/>
            <w:tcBorders>
              <w:bottom w:val="single" w:sz="12" w:space="0" w:color="000000"/>
            </w:tcBorders>
            <w:tcMar>
              <w:bottom w:w="28" w:type="dxa"/>
            </w:tcMar>
            <w:vAlign w:val="center"/>
          </w:tcPr>
          <w:p>
            <w:pPr>
              <w:pStyle w:val="TableContents"/>
              <w:bidi w:val="0"/>
              <w:spacing w:before="0" w:after="283"/>
              <w:jc w:val="left"/>
              <w:rPr>
                <w:b/>
              </w:rPr>
            </w:pPr>
            <w:r>
              <w:rPr>
                <w:b/>
              </w:rPr>
              <w:t>Routine Business</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r>
              <w:rPr>
                <w:rFonts w:ascii="Times New Roman;Times;Serif" w:hAnsi="Times New Roman;Times;Serif"/>
                <w:b/>
                <w:position w:val="7"/>
                <w:sz w:val="16"/>
                <w:sz w:val="20"/>
              </w:rPr>
              <w:t>(2)</w:t>
            </w:r>
          </w:p>
        </w:tc>
        <w:tc>
          <w:tcPr>
            <w:tcW w:w="78" w:type="dxa"/>
            <w:tcBorders/>
            <w:vAlign w:val="center"/>
          </w:tcPr>
          <w:p>
            <w:pPr>
              <w:pStyle w:val="TableContents"/>
              <w:bidi w:val="0"/>
              <w:spacing w:before="0" w:after="283"/>
              <w:jc w:val="left"/>
              <w:rPr/>
            </w:pPr>
            <w:r>
              <w:rPr/>
              <w:t> </w:t>
            </w:r>
          </w:p>
        </w:tc>
      </w:tr>
      <w:tr>
        <w:trPr/>
        <w:tc>
          <w:tcPr>
            <w:tcW w:w="163" w:type="dxa"/>
            <w:tcBorders/>
            <w:shd w:fill="CCEEFF" w:val="clear"/>
            <w:vAlign w:val="center"/>
          </w:tcPr>
          <w:p>
            <w:pPr>
              <w:pStyle w:val="TableContents"/>
              <w:bidi w:val="0"/>
              <w:spacing w:before="0" w:after="283"/>
              <w:jc w:val="left"/>
              <w:rPr/>
            </w:pPr>
            <w:r>
              <w:rPr/>
              <w:t>1.</w:t>
            </w:r>
          </w:p>
        </w:tc>
        <w:tc>
          <w:tcPr>
            <w:tcW w:w="5723" w:type="dxa"/>
            <w:tcBorders/>
            <w:shd w:fill="CCEEFF" w:val="clear"/>
            <w:vAlign w:val="center"/>
          </w:tcPr>
          <w:p>
            <w:pPr>
              <w:pStyle w:val="TableContents"/>
              <w:bidi w:val="0"/>
              <w:spacing w:before="0" w:after="283"/>
              <w:jc w:val="left"/>
              <w:rPr/>
            </w:pPr>
            <w:r>
              <w:rPr/>
              <w:t>To re-appoint Mrs K White, who retires pursuant to Regulation 89 of the Constitution of the Company, as Director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26,130,722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116,695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163" w:type="dxa"/>
            <w:tcBorders/>
            <w:shd w:fill="CCEEFF" w:val="clear"/>
            <w:vAlign w:val="center"/>
          </w:tcPr>
          <w:p>
            <w:pPr>
              <w:pStyle w:val="TableContents"/>
              <w:bidi w:val="0"/>
              <w:spacing w:before="0" w:after="283"/>
              <w:jc w:val="left"/>
              <w:rPr/>
            </w:pPr>
            <w:r>
              <w:rPr/>
              <w:t> </w:t>
            </w:r>
          </w:p>
        </w:tc>
        <w:tc>
          <w:tcPr>
            <w:tcW w:w="57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0.44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84.58</w:t>
            </w:r>
          </w:p>
        </w:tc>
        <w:tc>
          <w:tcPr>
            <w:tcW w:w="78" w:type="dxa"/>
            <w:tcBorders/>
            <w:shd w:fill="CCEEFF" w:val="clear"/>
            <w:vAlign w:val="center"/>
          </w:tcPr>
          <w:p>
            <w:pPr>
              <w:pStyle w:val="TableContents"/>
              <w:bidi w:val="0"/>
              <w:spacing w:before="0" w:after="283"/>
              <w:jc w:val="left"/>
              <w:rPr/>
            </w:pPr>
            <w:r>
              <w:rPr/>
              <w:t> </w:t>
            </w:r>
          </w:p>
        </w:tc>
      </w:tr>
      <w:tr>
        <w:trPr/>
        <w:tc>
          <w:tcPr>
            <w:tcW w:w="163" w:type="dxa"/>
            <w:tcBorders/>
            <w:shd w:fill="FFFFFF" w:val="clear"/>
            <w:vAlign w:val="center"/>
          </w:tcPr>
          <w:p>
            <w:pPr>
              <w:pStyle w:val="TableContents"/>
              <w:bidi w:val="0"/>
              <w:spacing w:before="0" w:after="283"/>
              <w:jc w:val="left"/>
              <w:rPr/>
            </w:pPr>
            <w:r>
              <w:rPr/>
              <w:t>2.</w:t>
            </w:r>
          </w:p>
        </w:tc>
        <w:tc>
          <w:tcPr>
            <w:tcW w:w="5723" w:type="dxa"/>
            <w:tcBorders/>
            <w:shd w:fill="FFFFFF" w:val="clear"/>
            <w:vAlign w:val="center"/>
          </w:tcPr>
          <w:p>
            <w:pPr>
              <w:pStyle w:val="TableContents"/>
              <w:bidi w:val="0"/>
              <w:spacing w:before="0" w:after="283"/>
              <w:jc w:val="left"/>
              <w:rPr/>
            </w:pPr>
            <w:r>
              <w:rPr/>
              <w:t>To receive and adopt the Directors’ Statement, the  Auditors’ Report and the Audited Financial Statements of the Company for the financial year ended February 28,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26,191,386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t>2,003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55,002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163" w:type="dxa"/>
            <w:tcBorders/>
            <w:vAlign w:val="center"/>
          </w:tcPr>
          <w:p>
            <w:pPr>
              <w:pStyle w:val="TableContents"/>
              <w:bidi w:val="0"/>
              <w:spacing w:before="0" w:after="283"/>
              <w:jc w:val="left"/>
              <w:rPr/>
            </w:pPr>
            <w:r>
              <w:rPr/>
              <w:t> </w:t>
            </w:r>
          </w:p>
        </w:tc>
        <w:tc>
          <w:tcPr>
            <w:tcW w:w="57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99.78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0.01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right"/>
              <w:rPr/>
            </w:pPr>
            <w:r>
              <w:rPr/>
              <w:t>84.77</w:t>
            </w:r>
          </w:p>
        </w:tc>
        <w:tc>
          <w:tcPr>
            <w:tcW w:w="78" w:type="dxa"/>
            <w:tcBorders/>
            <w:vAlign w:val="center"/>
          </w:tcPr>
          <w:p>
            <w:pPr>
              <w:pStyle w:val="TableContents"/>
              <w:bidi w:val="0"/>
              <w:spacing w:before="0" w:after="283"/>
              <w:jc w:val="left"/>
              <w:rPr/>
            </w:pPr>
            <w:r>
              <w:rPr/>
              <w:t> </w:t>
            </w:r>
          </w:p>
        </w:tc>
      </w:tr>
      <w:tr>
        <w:trPr/>
        <w:tc>
          <w:tcPr>
            <w:tcW w:w="163" w:type="dxa"/>
            <w:tcBorders/>
            <w:shd w:fill="CCEEFF" w:val="clear"/>
            <w:vAlign w:val="center"/>
          </w:tcPr>
          <w:p>
            <w:pPr>
              <w:pStyle w:val="TableContents"/>
              <w:bidi w:val="0"/>
              <w:spacing w:before="0" w:after="283"/>
              <w:jc w:val="left"/>
              <w:rPr/>
            </w:pPr>
            <w:r>
              <w:rPr/>
              <w:t>3.</w:t>
            </w:r>
          </w:p>
        </w:tc>
        <w:tc>
          <w:tcPr>
            <w:tcW w:w="5723" w:type="dxa"/>
            <w:tcBorders/>
            <w:shd w:fill="CCEEFF" w:val="clear"/>
            <w:vAlign w:val="center"/>
          </w:tcPr>
          <w:p>
            <w:pPr>
              <w:pStyle w:val="TableContents"/>
              <w:bidi w:val="0"/>
              <w:spacing w:before="0" w:after="283"/>
              <w:jc w:val="left"/>
              <w:rPr/>
            </w:pPr>
            <w:r>
              <w:rPr/>
              <w:t>To approve the remuneration of Non-executive Directors of the Company from time to time during the year ending February 28, 2026 in accordance with the following annual fee rates as may be relevant to each Non-executive Director: (i) Chairman’s/Lead Independent Directors’ fee of SGD63,500; (ii) Director’s fee of</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163" w:type="dxa"/>
            <w:tcBorders/>
            <w:shd w:fill="CCEEFF" w:val="clear"/>
            <w:vAlign w:val="center"/>
          </w:tcPr>
          <w:p>
            <w:pPr>
              <w:pStyle w:val="TableContents"/>
              <w:bidi w:val="0"/>
              <w:spacing w:before="0" w:after="283"/>
              <w:jc w:val="left"/>
              <w:rPr/>
            </w:pPr>
            <w:r>
              <w:rPr/>
              <w:t> </w:t>
            </w:r>
          </w:p>
        </w:tc>
        <w:tc>
          <w:tcPr>
            <w:tcW w:w="5723" w:type="dxa"/>
            <w:tcBorders/>
            <w:shd w:fill="CCEEFF" w:val="clear"/>
            <w:vAlign w:val="center"/>
          </w:tcPr>
          <w:p>
            <w:pPr>
              <w:pStyle w:val="TableContents"/>
              <w:bidi w:val="0"/>
              <w:spacing w:before="0" w:after="283"/>
              <w:jc w:val="left"/>
              <w:rPr/>
            </w:pPr>
            <w:r>
              <w:rPr/>
              <w:t>SGD42,500; (iii) Audit Committee Chairman’s fee of SGD31,500; (iv) Compensation Committee Chairman’s fee of SGD17,500; (v) Audit Committee member’s fee of</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26,193,205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18,361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36,825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163" w:type="dxa"/>
            <w:tcBorders/>
            <w:shd w:fill="CCEEFF" w:val="clear"/>
            <w:vAlign w:val="center"/>
          </w:tcPr>
          <w:p>
            <w:pPr>
              <w:pStyle w:val="TableContents"/>
              <w:bidi w:val="0"/>
              <w:spacing w:before="0" w:after="283"/>
              <w:jc w:val="left"/>
              <w:rPr/>
            </w:pPr>
            <w:r>
              <w:rPr/>
              <w:t> </w:t>
            </w:r>
          </w:p>
        </w:tc>
        <w:tc>
          <w:tcPr>
            <w:tcW w:w="5723" w:type="dxa"/>
            <w:tcBorders/>
            <w:shd w:fill="CCEEFF" w:val="clear"/>
            <w:vAlign w:val="center"/>
          </w:tcPr>
          <w:p>
            <w:pPr>
              <w:pStyle w:val="TableContents"/>
              <w:bidi w:val="0"/>
              <w:spacing w:before="0" w:after="283"/>
              <w:jc w:val="left"/>
              <w:rPr/>
            </w:pPr>
            <w:r>
              <w:rPr/>
              <w:t>SGD21,000; and (vi) Compensation Committee member’s fee of SGD12,000.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84.78</w:t>
            </w:r>
          </w:p>
        </w:tc>
        <w:tc>
          <w:tcPr>
            <w:tcW w:w="78" w:type="dxa"/>
            <w:tcBorders/>
            <w:shd w:fill="CCEEFF" w:val="clear"/>
            <w:vAlign w:val="center"/>
          </w:tcPr>
          <w:p>
            <w:pPr>
              <w:pStyle w:val="TableContents"/>
              <w:bidi w:val="0"/>
              <w:spacing w:before="0" w:after="283"/>
              <w:jc w:val="left"/>
              <w:rPr/>
            </w:pPr>
            <w:r>
              <w:rPr/>
              <w:t> </w:t>
            </w:r>
          </w:p>
        </w:tc>
      </w:tr>
      <w:tr>
        <w:trPr/>
        <w:tc>
          <w:tcPr>
            <w:tcW w:w="163" w:type="dxa"/>
            <w:tcBorders/>
            <w:shd w:fill="FFFFFF" w:val="clear"/>
            <w:vAlign w:val="center"/>
          </w:tcPr>
          <w:p>
            <w:pPr>
              <w:pStyle w:val="TableContents"/>
              <w:bidi w:val="0"/>
              <w:spacing w:before="0" w:after="283"/>
              <w:jc w:val="left"/>
              <w:rPr/>
            </w:pPr>
            <w:r>
              <w:rPr/>
              <w:t>4.</w:t>
            </w:r>
          </w:p>
        </w:tc>
        <w:tc>
          <w:tcPr>
            <w:tcW w:w="5723" w:type="dxa"/>
            <w:tcBorders/>
            <w:shd w:fill="FFFFFF" w:val="clear"/>
            <w:vAlign w:val="center"/>
          </w:tcPr>
          <w:p>
            <w:pPr>
              <w:pStyle w:val="TableContents"/>
              <w:bidi w:val="0"/>
              <w:spacing w:before="0" w:after="283"/>
              <w:jc w:val="left"/>
              <w:rPr/>
            </w:pPr>
            <w:r>
              <w:rPr/>
              <w:t>To re-appoint Deloitte &amp; Touche LLP (located in Singapore) and Deloitte &amp; Touche (located in South Africa) as the auditors of the Company for the financial year ending February 28, 2026 and to empower the Directors to fix the auditors’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26,234,457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t>12,806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1,128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163" w:type="dxa"/>
            <w:tcBorders/>
            <w:vAlign w:val="center"/>
          </w:tcPr>
          <w:p>
            <w:pPr>
              <w:pStyle w:val="TableContents"/>
              <w:bidi w:val="0"/>
              <w:spacing w:before="0" w:after="283"/>
              <w:jc w:val="left"/>
              <w:rPr/>
            </w:pPr>
            <w:r>
              <w:rPr/>
              <w:t> </w:t>
            </w:r>
          </w:p>
        </w:tc>
        <w:tc>
          <w:tcPr>
            <w:tcW w:w="5723" w:type="dxa"/>
            <w:tcBorders/>
            <w:vAlign w:val="center"/>
          </w:tcPr>
          <w:p>
            <w:pPr>
              <w:pStyle w:val="TableContents"/>
              <w:bidi w:val="0"/>
              <w:spacing w:before="0" w:after="283"/>
              <w:jc w:val="left"/>
              <w:rPr/>
            </w:pPr>
            <w:r>
              <w:rPr/>
              <w:t>remuneration in their absolute discretion.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99.95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0.05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right"/>
              <w:rPr/>
            </w:pPr>
            <w:r>
              <w:rPr/>
              <w:t>84.92</w:t>
            </w:r>
          </w:p>
        </w:tc>
        <w:tc>
          <w:tcPr>
            <w:tcW w:w="78" w:type="dxa"/>
            <w:tcBorders/>
            <w:vAlign w:val="center"/>
          </w:tcPr>
          <w:p>
            <w:pPr>
              <w:pStyle w:val="TableContents"/>
              <w:bidi w:val="0"/>
              <w:spacing w:before="0" w:after="283"/>
              <w:jc w:val="left"/>
              <w:rPr/>
            </w:pPr>
            <w:r>
              <w:rPr/>
              <w:t> </w:t>
            </w:r>
          </w:p>
        </w:tc>
      </w:tr>
      <w:tr>
        <w:trPr/>
        <w:tc>
          <w:tcPr>
            <w:tcW w:w="163" w:type="dxa"/>
            <w:tcBorders/>
            <w:shd w:fill="CCEEFF" w:val="clear"/>
            <w:vAlign w:val="center"/>
          </w:tcPr>
          <w:p>
            <w:pPr>
              <w:pStyle w:val="TableContents"/>
              <w:bidi w:val="0"/>
              <w:spacing w:before="0" w:after="283"/>
              <w:jc w:val="left"/>
              <w:rPr/>
            </w:pPr>
            <w:r>
              <w:rPr/>
              <w:t> </w:t>
            </w:r>
          </w:p>
        </w:tc>
        <w:tc>
          <w:tcPr>
            <w:tcW w:w="57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5886" w:type="dxa"/>
            <w:gridSpan w:val="2"/>
            <w:tcBorders/>
            <w:shd w:fill="FFFFFF" w:val="clear"/>
            <w:vAlign w:val="center"/>
          </w:tcPr>
          <w:p>
            <w:pPr>
              <w:pStyle w:val="TableContents"/>
              <w:bidi w:val="0"/>
              <w:spacing w:before="0" w:after="283"/>
              <w:jc w:val="left"/>
              <w:rPr>
                <w:b/>
              </w:rPr>
            </w:pPr>
            <w:r>
              <w:rPr>
                <w:b/>
              </w:rPr>
              <w:t>Special business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163" w:type="dxa"/>
            <w:tcBorders/>
            <w:shd w:fill="CCEEFF" w:val="clear"/>
            <w:vAlign w:val="center"/>
          </w:tcPr>
          <w:p>
            <w:pPr>
              <w:pStyle w:val="TableContents"/>
              <w:bidi w:val="0"/>
              <w:spacing w:before="0" w:after="283"/>
              <w:jc w:val="left"/>
              <w:rPr/>
            </w:pPr>
            <w:r>
              <w:rPr/>
              <w:t>5.</w:t>
            </w:r>
          </w:p>
        </w:tc>
        <w:tc>
          <w:tcPr>
            <w:tcW w:w="5723" w:type="dxa"/>
            <w:tcBorders/>
            <w:shd w:fill="CCEEFF" w:val="clear"/>
            <w:vAlign w:val="center"/>
          </w:tcPr>
          <w:p>
            <w:pPr>
              <w:pStyle w:val="TableContents"/>
              <w:bidi w:val="0"/>
              <w:spacing w:before="0" w:after="283"/>
              <w:jc w:val="left"/>
              <w:rPr/>
            </w:pPr>
            <w:r>
              <w:rPr/>
              <w:t>To authorize the Directors to purchase or otherwise acquire issued ordinary shares 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25,516,128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694,679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37,584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163" w:type="dxa"/>
            <w:tcBorders/>
            <w:shd w:fill="CCEEFF" w:val="clear"/>
            <w:vAlign w:val="center"/>
          </w:tcPr>
          <w:p>
            <w:pPr>
              <w:pStyle w:val="TableContents"/>
              <w:bidi w:val="0"/>
              <w:spacing w:before="0" w:after="283"/>
              <w:jc w:val="left"/>
              <w:rPr/>
            </w:pPr>
            <w:r>
              <w:rPr/>
              <w:t> </w:t>
            </w:r>
          </w:p>
        </w:tc>
        <w:tc>
          <w:tcPr>
            <w:tcW w:w="5723" w:type="dxa"/>
            <w:tcBorders/>
            <w:shd w:fill="CCEEFF" w:val="clear"/>
            <w:vAlign w:val="center"/>
          </w:tcPr>
          <w:p>
            <w:pPr>
              <w:pStyle w:val="TableContents"/>
              <w:bidi w:val="0"/>
              <w:spacing w:before="0" w:after="283"/>
              <w:jc w:val="left"/>
              <w:rPr/>
            </w:pPr>
            <w:r>
              <w:rPr/>
              <w:t>the capital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0.14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82.59</w:t>
            </w:r>
          </w:p>
        </w:tc>
        <w:tc>
          <w:tcPr>
            <w:tcW w:w="78" w:type="dxa"/>
            <w:tcBorders/>
            <w:shd w:fill="CCEEFF" w:val="clear"/>
            <w:vAlign w:val="center"/>
          </w:tcPr>
          <w:p>
            <w:pPr>
              <w:pStyle w:val="TableContents"/>
              <w:bidi w:val="0"/>
              <w:spacing w:before="0" w:after="283"/>
              <w:jc w:val="left"/>
              <w:rPr/>
            </w:pPr>
            <w:r>
              <w:rPr/>
              <w:t> </w:t>
            </w:r>
          </w:p>
        </w:tc>
      </w:tr>
      <w:tr>
        <w:trPr/>
        <w:tc>
          <w:tcPr>
            <w:tcW w:w="163" w:type="dxa"/>
            <w:tcBorders/>
            <w:shd w:fill="FFFFFF" w:val="clear"/>
            <w:vAlign w:val="center"/>
          </w:tcPr>
          <w:p>
            <w:pPr>
              <w:pStyle w:val="TableContents"/>
              <w:bidi w:val="0"/>
              <w:spacing w:before="0" w:after="283"/>
              <w:jc w:val="left"/>
              <w:rPr/>
            </w:pPr>
            <w:r>
              <w:rPr/>
              <w:t>6.</w:t>
            </w:r>
          </w:p>
        </w:tc>
        <w:tc>
          <w:tcPr>
            <w:tcW w:w="5723" w:type="dxa"/>
            <w:tcBorders/>
            <w:shd w:fill="FFFFFF" w:val="clear"/>
            <w:vAlign w:val="center"/>
          </w:tcPr>
          <w:p>
            <w:pPr>
              <w:pStyle w:val="TableContents"/>
              <w:bidi w:val="0"/>
              <w:spacing w:before="0" w:after="283"/>
              <w:jc w:val="left"/>
              <w:rPr/>
            </w:pPr>
            <w:r>
              <w:rPr/>
              <w:t>To authorize the Directors to issue and allot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25,369,942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pPr>
            <w:r>
              <w:rPr/>
              <w:t>841,319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37,130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163" w:type="dxa"/>
            <w:tcBorders/>
            <w:vAlign w:val="center"/>
          </w:tcPr>
          <w:p>
            <w:pPr>
              <w:pStyle w:val="TableContents"/>
              <w:bidi w:val="0"/>
              <w:spacing w:before="0" w:after="283"/>
              <w:jc w:val="left"/>
              <w:rPr/>
            </w:pPr>
            <w:r>
              <w:rPr/>
              <w:t> </w:t>
            </w:r>
          </w:p>
        </w:tc>
        <w:tc>
          <w:tcPr>
            <w:tcW w:w="57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96.65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3.21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0.14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right"/>
              <w:rPr/>
            </w:pPr>
            <w:r>
              <w:rPr/>
              <w:t>82.12</w:t>
            </w:r>
          </w:p>
        </w:tc>
        <w:tc>
          <w:tcPr>
            <w:tcW w:w="7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260"/>
        <w:gridCol w:w="897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the percentage of votes cast in favour of, or against, the resolution includes abstained votes.</w:t>
            </w:r>
          </w:p>
        </w:tc>
      </w:tr>
    </w:tbl>
    <w:p>
      <w:pPr>
        <w:pStyle w:val="TextBody"/>
        <w:bidi w:val="0"/>
        <w:spacing w:before="0" w:after="0"/>
        <w:ind w:left="0" w:right="0" w:hanging="0"/>
        <w:jc w:val="left"/>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260"/>
        <w:gridCol w:w="822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Voted is calculated as all the votes cast for the resolutions,  divided by the total eligible votes.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www.karooooo.com.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Contact: IR@karooooo.com.</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3233</Characters>
  <CharactersWithSpaces>4016</CharactersWithSpaces>
  <Paragraphs>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