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Karooooo Ltd.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no par value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Y4600W108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Isaias (Zak) Jose Calisto</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 Karooooo Ltd.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 Anson Road #12-14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+65 6255 4151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John B. Meade,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Roshni Banker Cariello,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 (212) 450-4077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August 23,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13D/A,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2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500" w:type="dxa"/>
            <w:vAlign w:val="bottom"/>
            <w:tcBorders>
              <w:top w:val="single" w:sz="8" w:color="auto"/>
              <w:right w:val="single" w:sz="8" w:color="auto"/>
            </w:tcBorders>
          </w:tcPr>
          <w:p>
            <w:pPr>
              <w:spacing w:after="0"/>
              <w:rPr>
                <w:sz w:val="24"/>
                <w:szCs w:val="24"/>
                <w:color w:val="auto"/>
              </w:rPr>
            </w:pPr>
          </w:p>
        </w:tc>
        <w:tc>
          <w:tcPr>
            <w:tcW w:w="104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04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Isaias (Zak) Jose Calisto</w:t>
            </w:r>
          </w:p>
        </w:tc>
        <w:tc>
          <w:tcPr>
            <w:tcW w:w="0" w:type="dxa"/>
            <w:vAlign w:val="bottom"/>
          </w:tcPr>
          <w:p>
            <w:pPr>
              <w:spacing w:after="0"/>
              <w:rPr>
                <w:sz w:val="1"/>
                <w:szCs w:val="1"/>
                <w:color w:val="auto"/>
              </w:rPr>
            </w:pPr>
          </w:p>
        </w:tc>
      </w:tr>
      <w:tr>
        <w:trPr>
          <w:trHeight w:val="102"/>
        </w:trPr>
        <w:tc>
          <w:tcPr>
            <w:tcW w:w="320" w:type="dxa"/>
            <w:vAlign w:val="bottom"/>
            <w:tcBorders>
              <w:left w:val="single" w:sz="8" w:color="auto"/>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2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4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8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4"/>
                <w:szCs w:val="24"/>
                <w:color w:val="auto"/>
              </w:rPr>
            </w:pP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w w:val="97"/>
              </w:rPr>
              <w:t>SEC USE ONLY</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0" w:type="dxa"/>
            <w:vAlign w:val="bottom"/>
            <w:tcBorders>
              <w:left w:val="single" w:sz="8" w:color="auto"/>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0"/>
                <w:szCs w:val="20"/>
                <w:color w:val="auto"/>
              </w:rPr>
            </w:pP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50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3"/>
        </w:trPr>
        <w:tc>
          <w:tcPr>
            <w:tcW w:w="32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660" w:type="dxa"/>
            <w:vAlign w:val="bottom"/>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8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50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rPr>
              <w:t>South Africa</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1"/>
        </w:trPr>
        <w:tc>
          <w:tcPr>
            <w:tcW w:w="13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0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00"/>
              <w:spacing w:after="0" w:line="321" w:lineRule="exact"/>
              <w:rPr>
                <w:sz w:val="20"/>
                <w:szCs w:val="20"/>
                <w:color w:val="auto"/>
              </w:rPr>
            </w:pPr>
            <w:r>
              <w:rPr>
                <w:rFonts w:ascii="Arial" w:cs="Arial" w:eastAsia="Arial" w:hAnsi="Arial"/>
                <w:sz w:val="18"/>
                <w:szCs w:val="18"/>
                <w:color w:val="auto"/>
              </w:rPr>
              <w:t>23,969,294</w:t>
            </w:r>
            <w:r>
              <w:rPr>
                <w:rFonts w:ascii="Arial" w:cs="Arial" w:eastAsia="Arial" w:hAnsi="Arial"/>
                <w:sz w:val="29"/>
                <w:szCs w:val="29"/>
                <w:color w:val="auto"/>
                <w:vertAlign w:val="superscript"/>
              </w:rPr>
              <w:t>(1)(2)</w:t>
            </w:r>
          </w:p>
        </w:tc>
        <w:tc>
          <w:tcPr>
            <w:tcW w:w="0" w:type="dxa"/>
            <w:vAlign w:val="bottom"/>
          </w:tcPr>
          <w:p>
            <w:pPr>
              <w:spacing w:after="0"/>
              <w:rPr>
                <w:sz w:val="1"/>
                <w:szCs w:val="1"/>
                <w:color w:val="auto"/>
              </w:rPr>
            </w:pPr>
          </w:p>
        </w:tc>
      </w:tr>
      <w:tr>
        <w:trPr>
          <w:trHeight w:val="48"/>
        </w:trPr>
        <w:tc>
          <w:tcPr>
            <w:tcW w:w="1380" w:type="dxa"/>
            <w:vAlign w:val="bottom"/>
            <w:tcBorders>
              <w:left w:val="single" w:sz="8" w:color="auto"/>
              <w:right w:val="single" w:sz="8" w:color="auto"/>
            </w:tcBorders>
            <w:gridSpan w:val="3"/>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20" w:type="dxa"/>
            <w:vAlign w:val="bottom"/>
            <w:tcBorders>
              <w:left w:val="single" w:sz="8" w:color="auto"/>
            </w:tcBorders>
          </w:tcPr>
          <w:p>
            <w:pPr>
              <w:spacing w:after="0"/>
              <w:rPr>
                <w:sz w:val="16"/>
                <w:szCs w:val="16"/>
                <w:color w:val="auto"/>
              </w:rPr>
            </w:pPr>
          </w:p>
        </w:tc>
        <w:tc>
          <w:tcPr>
            <w:tcW w:w="1060" w:type="dxa"/>
            <w:vAlign w:val="bottom"/>
            <w:tcBorders>
              <w:right w:val="single" w:sz="8" w:color="auto"/>
            </w:tcBorders>
            <w:gridSpan w:val="2"/>
          </w:tcPr>
          <w:p>
            <w:pPr>
              <w:jc w:val="center"/>
              <w:ind w:right="230"/>
              <w:spacing w:after="0" w:line="189" w:lineRule="exact"/>
              <w:rPr>
                <w:sz w:val="20"/>
                <w:szCs w:val="20"/>
                <w:color w:val="auto"/>
              </w:rPr>
            </w:pPr>
            <w:r>
              <w:rPr>
                <w:rFonts w:ascii="Arial" w:cs="Arial" w:eastAsia="Arial" w:hAnsi="Arial"/>
                <w:sz w:val="18"/>
                <w:szCs w:val="18"/>
                <w:color w:val="auto"/>
                <w:w w:val="94"/>
              </w:rPr>
              <w:t>SHARES</w:t>
            </w:r>
          </w:p>
        </w:tc>
        <w:tc>
          <w:tcPr>
            <w:tcW w:w="100" w:type="dxa"/>
            <w:vAlign w:val="bottom"/>
          </w:tcPr>
          <w:p>
            <w:pPr>
              <w:spacing w:after="0"/>
              <w:rPr>
                <w:sz w:val="16"/>
                <w:szCs w:val="16"/>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w:t>
            </w:r>
          </w:p>
        </w:tc>
        <w:tc>
          <w:tcPr>
            <w:tcW w:w="8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0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380" w:type="dxa"/>
            <w:vAlign w:val="bottom"/>
            <w:tcBorders>
              <w:left w:val="single" w:sz="8" w:color="auto"/>
              <w:right w:val="single" w:sz="8" w:color="auto"/>
            </w:tcBorders>
            <w:gridSpan w:val="3"/>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20" w:type="dxa"/>
            <w:vAlign w:val="bottom"/>
            <w:tcBorders>
              <w:left w:val="single" w:sz="8" w:color="auto"/>
            </w:tcBorders>
          </w:tcPr>
          <w:p>
            <w:pPr>
              <w:spacing w:after="0"/>
              <w:rPr>
                <w:sz w:val="16"/>
                <w:szCs w:val="16"/>
                <w:color w:val="auto"/>
              </w:rPr>
            </w:pPr>
          </w:p>
        </w:tc>
        <w:tc>
          <w:tcPr>
            <w:tcW w:w="1060" w:type="dxa"/>
            <w:vAlign w:val="bottom"/>
            <w:tcBorders>
              <w:right w:val="single" w:sz="8" w:color="auto"/>
            </w:tcBorders>
            <w:gridSpan w:val="2"/>
          </w:tcPr>
          <w:p>
            <w:pPr>
              <w:jc w:val="center"/>
              <w:ind w:right="230"/>
              <w:spacing w:after="0" w:line="189" w:lineRule="exact"/>
              <w:rPr>
                <w:sz w:val="20"/>
                <w:szCs w:val="20"/>
                <w:color w:val="auto"/>
              </w:rPr>
            </w:pPr>
            <w:r>
              <w:rPr>
                <w:rFonts w:ascii="Arial" w:cs="Arial" w:eastAsia="Arial" w:hAnsi="Arial"/>
                <w:sz w:val="18"/>
                <w:szCs w:val="18"/>
                <w:color w:val="auto"/>
                <w:w w:val="99"/>
              </w:rPr>
              <w:t>EACH</w:t>
            </w:r>
          </w:p>
        </w:tc>
        <w:tc>
          <w:tcPr>
            <w:tcW w:w="100" w:type="dxa"/>
            <w:vAlign w:val="bottom"/>
          </w:tcPr>
          <w:p>
            <w:pPr>
              <w:spacing w:after="0"/>
              <w:rPr>
                <w:sz w:val="16"/>
                <w:szCs w:val="16"/>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w:t>
            </w:r>
          </w:p>
        </w:tc>
        <w:tc>
          <w:tcPr>
            <w:tcW w:w="8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2"/>
        </w:trPr>
        <w:tc>
          <w:tcPr>
            <w:tcW w:w="13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100" w:type="dxa"/>
            <w:vAlign w:val="bottom"/>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80" w:type="dxa"/>
            <w:vAlign w:val="bottom"/>
            <w:tcBorders>
              <w:left w:val="single" w:sz="8" w:color="auto"/>
              <w:right w:val="single" w:sz="8" w:color="auto"/>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vMerge w:val="restart"/>
          </w:tcPr>
          <w:p>
            <w:pPr>
              <w:ind w:left="100"/>
              <w:spacing w:after="0" w:line="280" w:lineRule="exact"/>
              <w:rPr>
                <w:sz w:val="20"/>
                <w:szCs w:val="20"/>
                <w:color w:val="auto"/>
              </w:rPr>
            </w:pPr>
            <w:r>
              <w:rPr>
                <w:rFonts w:ascii="Arial" w:cs="Arial" w:eastAsia="Arial" w:hAnsi="Arial"/>
                <w:sz w:val="18"/>
                <w:szCs w:val="18"/>
                <w:color w:val="auto"/>
              </w:rPr>
              <w:t>23,419,294</w:t>
            </w:r>
            <w:r>
              <w:rPr>
                <w:rFonts w:ascii="Arial" w:cs="Arial" w:eastAsia="Arial" w:hAnsi="Arial"/>
                <w:sz w:val="29"/>
                <w:szCs w:val="29"/>
                <w:color w:val="auto"/>
                <w:vertAlign w:val="superscript"/>
              </w:rPr>
              <w:t>(1)(3)</w:t>
            </w: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2"/>
              </w:rPr>
              <w:t>PERSON</w:t>
            </w:r>
          </w:p>
        </w:tc>
        <w:tc>
          <w:tcPr>
            <w:tcW w:w="1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9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2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89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320" w:type="dxa"/>
            <w:vAlign w:val="bottom"/>
            <w:tcBorders>
              <w:left w:val="single" w:sz="8" w:color="auto"/>
            </w:tcBorders>
          </w:tcPr>
          <w:p>
            <w:pPr>
              <w:spacing w:after="0"/>
              <w:rPr>
                <w:sz w:val="4"/>
                <w:szCs w:val="4"/>
                <w:color w:val="auto"/>
              </w:rPr>
            </w:pPr>
          </w:p>
        </w:tc>
        <w:tc>
          <w:tcPr>
            <w:tcW w:w="106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9"/>
              </w:rPr>
              <w:t>WITH</w:t>
            </w: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0" w:type="dxa"/>
            <w:vAlign w:val="bottom"/>
            <w:tcBorders>
              <w:left w:val="single" w:sz="8" w:color="auto"/>
            </w:tcBorders>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w:t>
            </w:r>
          </w:p>
        </w:tc>
        <w:tc>
          <w:tcPr>
            <w:tcW w:w="8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32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gridSpan w:val="2"/>
          </w:tcPr>
          <w:p>
            <w:pPr>
              <w:spacing w:after="0"/>
              <w:rPr>
                <w:sz w:val="8"/>
                <w:szCs w:val="8"/>
                <w:color w:val="auto"/>
              </w:rPr>
            </w:pPr>
          </w:p>
        </w:tc>
        <w:tc>
          <w:tcPr>
            <w:tcW w:w="8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11</w:t>
            </w:r>
          </w:p>
        </w:tc>
        <w:tc>
          <w:tcPr>
            <w:tcW w:w="50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69"/>
        </w:trPr>
        <w:tc>
          <w:tcPr>
            <w:tcW w:w="32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0"/>
              </w:rPr>
              <w:t>23,969,294</w:t>
            </w:r>
            <w:r>
              <w:rPr>
                <w:rFonts w:ascii="Arial" w:cs="Arial" w:eastAsia="Arial" w:hAnsi="Arial"/>
                <w:sz w:val="29"/>
                <w:szCs w:val="29"/>
                <w:color w:val="auto"/>
                <w:w w:val="80"/>
                <w:vertAlign w:val="superscript"/>
              </w:rPr>
              <w:t>(1)(2)(3)</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12</w:t>
            </w:r>
          </w:p>
        </w:tc>
        <w:tc>
          <w:tcPr>
            <w:tcW w:w="50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32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660" w:type="dxa"/>
            <w:vAlign w:val="bottom"/>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042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13</w:t>
            </w:r>
          </w:p>
        </w:tc>
        <w:tc>
          <w:tcPr>
            <w:tcW w:w="50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77.4%</w:t>
            </w:r>
          </w:p>
        </w:tc>
        <w:tc>
          <w:tcPr>
            <w:tcW w:w="780" w:type="dxa"/>
            <w:vAlign w:val="bottom"/>
          </w:tcPr>
          <w:p>
            <w:pPr>
              <w:spacing w:after="0"/>
              <w:rPr>
                <w:sz w:val="20"/>
                <w:szCs w:val="20"/>
                <w:color w:val="auto"/>
              </w:rPr>
            </w:pP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14</w:t>
            </w:r>
          </w:p>
        </w:tc>
        <w:tc>
          <w:tcPr>
            <w:tcW w:w="50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780" w:type="dxa"/>
            <w:vAlign w:val="bottom"/>
          </w:tcPr>
          <w:p>
            <w:pPr>
              <w:spacing w:after="0"/>
              <w:rPr>
                <w:sz w:val="20"/>
                <w:szCs w:val="20"/>
                <w:color w:val="auto"/>
              </w:rPr>
            </w:pP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20,332,894 ordinary shares, no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Karooooo Ltd., a Singapore public limited company (the “</w:t>
      </w:r>
      <w:r>
        <w:rPr>
          <w:rFonts w:ascii="Arial" w:cs="Arial" w:eastAsia="Arial" w:hAnsi="Arial"/>
          <w:sz w:val="18"/>
          <w:szCs w:val="18"/>
          <w:u w:val="single" w:color="auto"/>
          <w:color w:val="auto"/>
        </w:rPr>
        <w:t>Issuer</w:t>
      </w:r>
      <w:r>
        <w:rPr>
          <w:rFonts w:ascii="Arial" w:cs="Arial" w:eastAsia="Arial" w:hAnsi="Arial"/>
          <w:sz w:val="18"/>
          <w:szCs w:val="18"/>
          <w:color w:val="auto"/>
        </w:rPr>
        <w:t>”), held by Mr. Calisto prior to the Issuer’s initial public offering in the United States, and 86,400 Ordinary Shares, acquired by Mr. Calisto pursuant to his participation in the Reinvestment (as defined below).</w:t>
      </w:r>
    </w:p>
    <w:p>
      <w:pPr>
        <w:spacing w:after="0" w:line="2" w:lineRule="exact"/>
        <w:rPr>
          <w:rFonts w:ascii="Arial" w:cs="Arial" w:eastAsia="Arial" w:hAnsi="Arial"/>
          <w:sz w:val="18"/>
          <w:szCs w:val="18"/>
          <w:color w:val="auto"/>
        </w:rPr>
      </w:pPr>
    </w:p>
    <w:p>
      <w:pPr>
        <w:ind w:left="340" w:right="100" w:hanging="332"/>
        <w:spacing w:after="0" w:line="265"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3,550,000 Ordinary Shares, consisting of 550,000 Ordinary Shares held by Georgem Holdings (Pty) Ltd. (“</w:t>
      </w:r>
      <w:r>
        <w:rPr>
          <w:rFonts w:ascii="Arial" w:cs="Arial" w:eastAsia="Arial" w:hAnsi="Arial"/>
          <w:sz w:val="17"/>
          <w:szCs w:val="17"/>
          <w:u w:val="single" w:color="auto"/>
          <w:color w:val="auto"/>
        </w:rPr>
        <w:t>Georgem</w:t>
      </w:r>
      <w:r>
        <w:rPr>
          <w:rFonts w:ascii="Arial" w:cs="Arial" w:eastAsia="Arial" w:hAnsi="Arial"/>
          <w:sz w:val="17"/>
          <w:szCs w:val="17"/>
          <w:color w:val="auto"/>
        </w:rPr>
        <w:t>”) and 3,000,000 Ordinary Shares held by One Spire (Pty) Ltd. (“</w:t>
      </w:r>
      <w:r>
        <w:rPr>
          <w:rFonts w:ascii="Arial" w:cs="Arial" w:eastAsia="Arial" w:hAnsi="Arial"/>
          <w:sz w:val="17"/>
          <w:szCs w:val="17"/>
          <w:u w:val="single" w:color="auto"/>
          <w:color w:val="auto"/>
        </w:rPr>
        <w:t>One Spire</w:t>
      </w:r>
      <w:r>
        <w:rPr>
          <w:rFonts w:ascii="Arial" w:cs="Arial" w:eastAsia="Arial" w:hAnsi="Arial"/>
          <w:sz w:val="17"/>
          <w:szCs w:val="17"/>
          <w:color w:val="auto"/>
        </w:rPr>
        <w:t>”), pursuant to the Voting Agreements described herein, according to information provided by the Issuer. Beneficial ownership of the 550,000 Ordinary Shares held by Georgem and the 3,000,000 Ordinary Shares held by One Spire is being reported hereunder solely because Mr. Calisto may be deemed to have beneficial ownership and shared voting power as a result of the Voting Agreements described herein. Neither the filing of this Schedule 13D/A nor any of its contents shall be deemed to constitute an admission by Mr. Calisto that he is the beneficial owner of any Ordinary Shares held by Georgem or One Spire for purposes of Section 13(d) of the Exchange Act or for any other purpose, and such beneficial ownership thereof is expressly disclaimed.</w:t>
      </w:r>
    </w:p>
    <w:p>
      <w:pPr>
        <w:spacing w:after="0" w:line="1" w:lineRule="exact"/>
        <w:rPr>
          <w:rFonts w:ascii="Arial" w:cs="Arial" w:eastAsia="Arial" w:hAnsi="Arial"/>
          <w:sz w:val="17"/>
          <w:szCs w:val="17"/>
          <w:color w:val="auto"/>
        </w:rPr>
      </w:pPr>
    </w:p>
    <w:p>
      <w:pPr>
        <w:ind w:left="340" w:hanging="332"/>
        <w:spacing w:after="0" w:line="25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3,000,000 Ordinary Shares, held by One Spire, for which beneficial ownership is being reported hereunder solely because Mr. Calisto may be deemed to have beneficial ownership and shared dispositive power of 3,000,000 Ordinary Shares held by One Spire as a result of the One Spire Voting Agreement described herein.Neither the filing of this Schedule 13D/A nor any of its contents shall be deemed to constitute an admission by Mr. Calisto that it is the beneficial owner of any Ordinary Shares held by One Spire for purposes of Section 13(d) of the Exchange Act or for any other purpose, and such beneficial ownership thereof is expressly disclaimed.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This Amendment No. 1 amends, restates and supersedes the statement on Schedule 13D (the “</w:t>
      </w:r>
      <w:r>
        <w:rPr>
          <w:rFonts w:ascii="Arial" w:cs="Arial" w:eastAsia="Arial" w:hAnsi="Arial"/>
          <w:sz w:val="18"/>
          <w:szCs w:val="18"/>
          <w:u w:val="single" w:color="auto"/>
          <w:color w:val="auto"/>
        </w:rPr>
        <w:t>Schedule 13D</w:t>
      </w:r>
      <w:r>
        <w:rPr>
          <w:rFonts w:ascii="Arial" w:cs="Arial" w:eastAsia="Arial" w:hAnsi="Arial"/>
          <w:sz w:val="18"/>
          <w:szCs w:val="18"/>
          <w:color w:val="auto"/>
        </w:rPr>
        <w:t>”) filed with the U.S. Securities and Exchange Commission on April 26, 2021 by Isaias (Zak) Jose Calisto, a South African Citizen relating to the Ordinary Shares of the Issuer. Information reported in this Schedule 13D/A amends, restates and supersedes information provided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This Schedule 13D/A relates to the ordinary shares, no par value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Karooooo Ltd., a Singapore public limited company (the “</w:t>
      </w:r>
      <w:r>
        <w:rPr>
          <w:rFonts w:ascii="Arial" w:cs="Arial" w:eastAsia="Arial" w:hAnsi="Arial"/>
          <w:sz w:val="16"/>
          <w:szCs w:val="16"/>
          <w:u w:val="single" w:color="auto"/>
          <w:color w:val="auto"/>
        </w:rPr>
        <w:t>Issuer</w:t>
      </w:r>
      <w:r>
        <w:rPr>
          <w:rFonts w:ascii="Arial" w:cs="Arial" w:eastAsia="Arial" w:hAnsi="Arial"/>
          <w:sz w:val="16"/>
          <w:szCs w:val="16"/>
          <w:color w:val="auto"/>
        </w:rPr>
        <w:t>”). The address of the principal executive office of the Issuer is 10 Anson Road, #12-14, International Plaza, Singapore 079903.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 This Schedule 13D/A is being filed by Isaias (Zak) Jose Calisto, a South African citizen.</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address of the principal business office of Isaias (Zak) Jose Calisto is c/o Karooooo Ltd., 10 Anson Road #12-14, International Plaza Singapore 079903.</w:t>
      </w:r>
    </w:p>
    <w:p>
      <w:pPr>
        <w:spacing w:after="0" w:line="170"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business of Mr. Calisto is serving as the Chief Executive Officer and as a director of the Issuer.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last five years, Mr. Calisto has not been convicted in a criminal proceeding (excluding traffic violations or similar misdemeanors).</w:t>
      </w:r>
    </w:p>
    <w:p>
      <w:pPr>
        <w:spacing w:after="0" w:line="236" w:lineRule="exact"/>
        <w:rPr>
          <w:rFonts w:ascii="Arial" w:cs="Arial" w:eastAsia="Arial" w:hAnsi="Arial"/>
          <w:sz w:val="17"/>
          <w:szCs w:val="17"/>
          <w:color w:val="auto"/>
        </w:rPr>
      </w:pPr>
    </w:p>
    <w:p>
      <w:pPr>
        <w:ind w:right="40" w:firstLine="8"/>
        <w:spacing w:after="0" w:line="263"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last five years, Mr. Calisto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Item 2(a)-(b) above for citizenship of Mr. Calisto.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Not applicable. As more fully described in Item 4 hereof, Mr. Calisto has not paid any funds or other consideration in connection with the execution and delivery of the Voting Agreements (as defined below) and therefore no consideration was paid in connection with the voting rights requiring the filing of this Schedule 13D/A.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anticipation of the Issuer’s initial public offering, and recognizing that Mr. Calisto, as founder, would receive no special rights pursuant to the Constitution of the Issuer, Mr. Calisto and Georgem Holdings (Pty) Ltd. (“</w:t>
      </w:r>
      <w:r>
        <w:rPr>
          <w:rFonts w:ascii="Arial" w:cs="Arial" w:eastAsia="Arial" w:hAnsi="Arial"/>
          <w:sz w:val="16"/>
          <w:szCs w:val="16"/>
          <w:u w:val="single" w:color="auto"/>
          <w:color w:val="auto"/>
        </w:rPr>
        <w:t>Georgem</w:t>
      </w:r>
      <w:r>
        <w:rPr>
          <w:rFonts w:ascii="Arial" w:cs="Arial" w:eastAsia="Arial" w:hAnsi="Arial"/>
          <w:sz w:val="16"/>
          <w:szCs w:val="16"/>
          <w:color w:val="auto"/>
        </w:rPr>
        <w:t>”) entered into that certain Voting Agreement (the “</w:t>
      </w:r>
      <w:r>
        <w:rPr>
          <w:rFonts w:ascii="Arial" w:cs="Arial" w:eastAsia="Arial" w:hAnsi="Arial"/>
          <w:sz w:val="16"/>
          <w:szCs w:val="16"/>
          <w:u w:val="single" w:color="auto"/>
          <w:color w:val="auto"/>
        </w:rPr>
        <w:t>Original Voting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March 22, 2021, with the purpose of providing Mr. Calisto and his permitted transferees the right to exercise, or cause Georgem to exercise as directed by Mr. Calisto and his permitted transferees, the voting rights in respect of the Initial Georgem Holding (as defined below).</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initial public offering of the Issuer in the United States, a corporate reorganization (the “</w:t>
      </w:r>
      <w:r>
        <w:rPr>
          <w:rFonts w:ascii="Arial" w:cs="Arial" w:eastAsia="Arial" w:hAnsi="Arial"/>
          <w:sz w:val="16"/>
          <w:szCs w:val="16"/>
          <w:u w:val="single" w:color="auto"/>
          <w:color w:val="auto"/>
        </w:rPr>
        <w:t>Corporate Reorganization</w:t>
      </w:r>
      <w:r>
        <w:rPr>
          <w:rFonts w:ascii="Arial" w:cs="Arial" w:eastAsia="Arial" w:hAnsi="Arial"/>
          <w:sz w:val="16"/>
          <w:szCs w:val="16"/>
          <w:color w:val="auto"/>
        </w:rPr>
        <w:t>”) was undertaken pursuant to a scheme of arrangement under Section 114(1) (as read with Section 115) of the South African Companies Act (the “</w:t>
      </w:r>
      <w:r>
        <w:rPr>
          <w:rFonts w:ascii="Arial" w:cs="Arial" w:eastAsia="Arial" w:hAnsi="Arial"/>
          <w:sz w:val="16"/>
          <w:szCs w:val="16"/>
          <w:u w:val="single" w:color="auto"/>
          <w:color w:val="auto"/>
        </w:rPr>
        <w:t>Scheme</w:t>
      </w:r>
      <w:r>
        <w:rPr>
          <w:rFonts w:ascii="Arial" w:cs="Arial" w:eastAsia="Arial" w:hAnsi="Arial"/>
          <w:sz w:val="16"/>
          <w:szCs w:val="16"/>
          <w:color w:val="auto"/>
        </w:rPr>
        <w:t>”), whereby the Issuer, as the majority shareholder of Cartrack Holdings Limited (“</w:t>
      </w:r>
      <w:r>
        <w:rPr>
          <w:rFonts w:ascii="Arial" w:cs="Arial" w:eastAsia="Arial" w:hAnsi="Arial"/>
          <w:sz w:val="16"/>
          <w:szCs w:val="16"/>
          <w:u w:val="single" w:color="auto"/>
          <w:color w:val="auto"/>
        </w:rPr>
        <w:t>Cartrack</w:t>
      </w:r>
      <w:r>
        <w:rPr>
          <w:rFonts w:ascii="Arial" w:cs="Arial" w:eastAsia="Arial" w:hAnsi="Arial"/>
          <w:sz w:val="16"/>
          <w:szCs w:val="16"/>
          <w:color w:val="auto"/>
        </w:rPr>
        <w:t>”) acquired for cash all of the outstanding ordinary shares held by the minority shareholders of Cartrack at a price equal to R42.00 per share (the “</w:t>
      </w:r>
      <w:r>
        <w:rPr>
          <w:rFonts w:ascii="Arial" w:cs="Arial" w:eastAsia="Arial" w:hAnsi="Arial"/>
          <w:sz w:val="16"/>
          <w:szCs w:val="16"/>
          <w:u w:val="single" w:color="auto"/>
          <w:color w:val="auto"/>
        </w:rPr>
        <w:t>Scheme Consideration</w:t>
      </w:r>
      <w:r>
        <w:rPr>
          <w:rFonts w:ascii="Arial" w:cs="Arial" w:eastAsia="Arial" w:hAnsi="Arial"/>
          <w:sz w:val="16"/>
          <w:szCs w:val="16"/>
          <w:color w:val="auto"/>
        </w:rPr>
        <w:t>”), and, as a result, Cartrack became a wholly owned subsidiary of the Issuer. In connection with the Scheme, certain eligible shareholders of Cartrack elected to use all or a portion of their Scheme Consideration to subscribe for Ordinary Shares of the Issuer (the “</w:t>
      </w:r>
      <w:r>
        <w:rPr>
          <w:rFonts w:ascii="Arial" w:cs="Arial" w:eastAsia="Arial" w:hAnsi="Arial"/>
          <w:sz w:val="16"/>
          <w:szCs w:val="16"/>
          <w:u w:val="single" w:color="auto"/>
          <w:color w:val="auto"/>
        </w:rPr>
        <w:t>Reinvestment</w:t>
      </w:r>
      <w:r>
        <w:rPr>
          <w:rFonts w:ascii="Arial" w:cs="Arial" w:eastAsia="Arial" w:hAnsi="Arial"/>
          <w:sz w:val="16"/>
          <w:szCs w:val="16"/>
          <w:color w:val="auto"/>
        </w:rPr>
        <w:t>”). Georgem, an eligible Cartrack shareholder, used its Scheme Consideration to participate in the Reinvestment and acquired 3,550,000 Ordinary Shares on April 21, 2021 (the “</w:t>
      </w:r>
      <w:r>
        <w:rPr>
          <w:rFonts w:ascii="Arial" w:cs="Arial" w:eastAsia="Arial" w:hAnsi="Arial"/>
          <w:sz w:val="16"/>
          <w:szCs w:val="16"/>
          <w:u w:val="single" w:color="auto"/>
          <w:color w:val="auto"/>
        </w:rPr>
        <w:t>Initial Georgem Holding</w:t>
      </w:r>
      <w:r>
        <w:rPr>
          <w:rFonts w:ascii="Arial" w:cs="Arial" w:eastAsia="Arial" w:hAnsi="Arial"/>
          <w:sz w:val="16"/>
          <w:szCs w:val="16"/>
          <w:color w:val="auto"/>
        </w:rPr>
        <w: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right="420"/>
        <w:spacing w:after="0" w:line="311" w:lineRule="auto"/>
        <w:rPr>
          <w:sz w:val="20"/>
          <w:szCs w:val="20"/>
          <w:color w:val="auto"/>
        </w:rPr>
      </w:pPr>
      <w:r>
        <w:rPr>
          <w:rFonts w:ascii="Arial" w:cs="Arial" w:eastAsia="Arial" w:hAnsi="Arial"/>
          <w:sz w:val="16"/>
          <w:szCs w:val="16"/>
          <w:color w:val="auto"/>
        </w:rPr>
        <w:t>On August 12, 2021, in anticipation of the One Spire Transaction (as defined below), Mr. Calisto and Georgem entered into that certain Amended and Restated Voting Agreement (the “</w:t>
      </w:r>
      <w:r>
        <w:rPr>
          <w:rFonts w:ascii="Arial" w:cs="Arial" w:eastAsia="Arial" w:hAnsi="Arial"/>
          <w:sz w:val="16"/>
          <w:szCs w:val="16"/>
          <w:u w:val="single" w:color="auto"/>
          <w:color w:val="auto"/>
        </w:rPr>
        <w:t>A&amp;R Georgem Voting Agreement</w:t>
      </w:r>
      <w:r>
        <w:rPr>
          <w:rFonts w:ascii="Arial" w:cs="Arial" w:eastAsia="Arial" w:hAnsi="Arial"/>
          <w:sz w:val="16"/>
          <w:szCs w:val="16"/>
          <w:color w:val="auto"/>
        </w:rPr>
        <w:t>”) dated as of August 12, 2021, with the purpose of amending, restating and superseding the Original Voting Agreement to permit Georgem to transfer 3,000,000 Ordinary Shares in connection with the One Spire Transaction.</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A&amp;R Georgem Voting Agreement, Mr. Calisto and Georgem had agreed that if Mr. Calisto’s beneficial ownership falls to below 51% of the issued and outstanding Ordinary Shares of the Issuer, then Georgem will cast all votes in respect of the Ordinary Shares held by Georgem as directed by Mr. Calisto and his permitted transferees. In addition, without the prior written consent of Mr. Calisto, Georgem is not permitted to acquire any additional Ordinary Shares.</w:t>
      </w:r>
    </w:p>
    <w:p>
      <w:pPr>
        <w:spacing w:after="0" w:line="18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Concurrent with execution of the A&amp;R Georgem Voting Agreement and in anticipation of the One Spire Transaction, Mr. Calisto and One Spire entered into that certain Voting Agreement (the “</w:t>
      </w:r>
      <w:r>
        <w:rPr>
          <w:rFonts w:ascii="Arial" w:cs="Arial" w:eastAsia="Arial" w:hAnsi="Arial"/>
          <w:sz w:val="17"/>
          <w:szCs w:val="17"/>
          <w:u w:val="single" w:color="auto"/>
          <w:color w:val="auto"/>
        </w:rPr>
        <w:t>One Spire Voting Agreement</w:t>
      </w:r>
      <w:r>
        <w:rPr>
          <w:rFonts w:ascii="Arial" w:cs="Arial" w:eastAsia="Arial" w:hAnsi="Arial"/>
          <w:sz w:val="17"/>
          <w:szCs w:val="17"/>
          <w:color w:val="auto"/>
        </w:rPr>
        <w:t>,” and, together with the A&amp;R Georgem Voting Agreement, the “</w:t>
      </w:r>
      <w:r>
        <w:rPr>
          <w:rFonts w:ascii="Arial" w:cs="Arial" w:eastAsia="Arial" w:hAnsi="Arial"/>
          <w:sz w:val="17"/>
          <w:szCs w:val="17"/>
          <w:u w:val="single" w:color="auto"/>
          <w:color w:val="auto"/>
        </w:rPr>
        <w:t>Voting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Agreements</w:t>
      </w:r>
      <w:r>
        <w:rPr>
          <w:rFonts w:ascii="Arial" w:cs="Arial" w:eastAsia="Arial" w:hAnsi="Arial"/>
          <w:sz w:val="17"/>
          <w:szCs w:val="17"/>
          <w:color w:val="auto"/>
        </w:rPr>
        <w:t>”), dated as of August 12, 2021, with the purpose of providing Mr. Calisto and his permitted transferees the right to exercise, or cause One Spire to exercise as directed by Mr. Calisto and his permitted transferees, the voting rights in respect of the Ordinary Shares held by One Spire in connection with the contemplated One Spire Transaction or otherwise held by One Spire.</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the One Spire Voting Agreement, Mr. Calisto and One Spire have agreed that if Mr. Calisto’s beneficial ownership falls to below 51% of the issued and outstanding Ordinary Shares of the Issuer, then One Spire will cast all votes in respect of the Ordinary Shares held by One Spire as directed by Mr. Calisto and his permitted transferees. In addition, without the prior written consent of Mr. Calisto, One Spire is not permitted to (i) transfer any Ordinary Shares owned by One Spire or (ii) acquire any additional Ordinary Shares.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August 23, 2021, Georgem and One Spire consummated a transfer of 3,000,000 Ordinary Shares held by Georgem to One Spire (the “</w:t>
      </w:r>
      <w:r>
        <w:rPr>
          <w:rFonts w:ascii="Arial" w:cs="Arial" w:eastAsia="Arial" w:hAnsi="Arial"/>
          <w:sz w:val="18"/>
          <w:szCs w:val="18"/>
          <w:u w:val="single" w:color="auto"/>
          <w:color w:val="auto"/>
        </w:rPr>
        <w:t>One Spire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Georgem retained 550,000 Ordinary Shares following the One Spire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Mr. Calisto disclaims beneficial ownership of such Ordinary Shares.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description of the Voting Agreements contained in this Item 4 is not intended to be complete and is qualified in its entirety by reference to such documents, which are filed as Exhibits 99.1 and 99.2 hereto and incorporated by reference herein.</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connection with the Corporate Reorganization, Mr. Calisto, an eligible Cartrack shareholder, used his Scheme Consideration to participate in the Reinvestment and acquired 86,400 additional Ordinary Shares on April 21,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6 of this Schedule 13D/A is incorporated herein by reference.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Calisto intends to review his investment in the Issuer on an ongoing basis and, in the course of their review, may take actions (including through their affiliates) with respect to his investment or the Issuer, including communicating with the board of directors of the Issuer (the “</w:t>
      </w:r>
      <w:r>
        <w:rPr>
          <w:rFonts w:ascii="Arial" w:cs="Arial" w:eastAsia="Arial" w:hAnsi="Arial"/>
          <w:sz w:val="17"/>
          <w:szCs w:val="17"/>
          <w:u w:val="single" w:color="auto"/>
          <w:color w:val="auto"/>
        </w:rPr>
        <w:t>Board</w:t>
      </w:r>
      <w:r>
        <w:rPr>
          <w:rFonts w:ascii="Arial" w:cs="Arial" w:eastAsia="Arial" w:hAnsi="Arial"/>
          <w:sz w:val="17"/>
          <w:szCs w:val="17"/>
          <w:color w:val="auto"/>
        </w:rPr>
        <w:t>”), members of management or other securityholders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Such discussions and other actions may relate to, subject to the terms and conditions of the documents described herein to which Mr. Calisto is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p>
      <w:pPr>
        <w:spacing w:after="0" w:line="287" w:lineRule="auto"/>
        <w:rPr>
          <w:sz w:val="20"/>
          <w:szCs w:val="20"/>
          <w:color w:val="auto"/>
        </w:rPr>
      </w:pPr>
      <w:r>
        <w:rPr>
          <w:rFonts w:ascii="Arial" w:cs="Arial" w:eastAsia="Arial" w:hAnsi="Arial"/>
          <w:sz w:val="16"/>
          <w:szCs w:val="16"/>
          <w:color w:val="auto"/>
        </w:rPr>
        <w:t>Such discussions and actions may be preliminary and exploratory in nature, and not rise to the level of a plan or proposal. Subject to the terms and conditions of the documents described herein to which Mr. Calisto is a party, Mr. Calisto or his affiliates may seek to acquire securities of the Issuer, including Ordinary Shares and/or other equity, debt, notes or other financial instruments related to the Issuer or the Ordinary Shares (which may include rights or securities exercisable or convertible into securities of the Issuer), and/or sell or otherwise dispose of some or all of such Issuer securities or financial instruments (which may include distributing some or all of such securities to Mr. Calisto’s respective partners or beneficiaries, as applicable) from time to time, in each case, in open market or private transactions, block sales or otherwise. Any transaction that Mr. Calisto or his affiliates may pursue, subject to the terms and conditions of the documents described herein to which Mr. Calisto is a party, may be made at any time and from time to time without prior notice and will depend on a variety of factors, including, without limitation, the price and availability of the Issuer’s securities or other financial instruments, Mr. Calisto’s or such affiliates’ trading and investment strategies, subsequent developments affecting the Issuer, the Issuer’s business and the Issuer’s prospects, other investment and business opportunities available to Mr. Calisto and his affiliates, general industry and economic conditions, the securities markets in general, tax considerations and other factors deemed relevant by Mr. Calisto and such affiliates.</w:t>
      </w:r>
    </w:p>
    <w:p>
      <w:pPr>
        <w:spacing w:after="0" w:line="1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particular, Mr. Calisto intends to dispose of up to 1,500,000 Ordinary Shares within 12 months from the date of the initial Schedule 13D primarily to fund the payment of taxes and costs related to the Scheme.</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his capacity as Chief Executive Officer and a director of the Issuer, Mr. Calisto intends to continue taking an active role in the Issuer’s management. Also, in his capacity as Chief Executive Officer and a director of the Issuer, Mr. Calisto intends to be involved in approvals or recommendations with respect to the issuance of additional securities of the Issuer to employees of the Issuer or its subsidiaries.</w:t>
      </w:r>
    </w:p>
    <w:p>
      <w:pPr>
        <w:spacing w:after="0" w:line="184"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Except as described in this Schedule 13D/A, Mr. Calisto does not have any present plans or proposals that relate to or would result in any of the actions described in subparagraphs (a) through (j) of Item 4 of Schedule 13D. However, subject to the agreements described herein, as part of his ongoing evaluation of this investment and investment alternatives, Mr. Calisto may consider such matters and, subject to applicable law, may formulate a plan or proposal with respect to such matters, and, from time to time, may hold discussions with or make formal proposals to management or the Board, other stockholders of the Issuer or other third parties regarding such matters.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(a)-(b) As of the filing date of this Schedule 13D/A, as a result of the Voting Agreements, Mr. Calisto may be deemed to have (i) beneficial ownership (within the meaning of Rule 13d-3 under the Exchange Act) and (ii) sole power to vote or direct the vote of 3,550,000 Ordinary Shares, which, together with Mr. Calisto’s additional 20,419,294 Ordinary Shares, represents approximately 77.4% of the Ordinary Shares deemed to be outstanding pursuant to Rule 13d-3(d)(1) of the Exchange Act, subject to the conditions and limitations of the Voting Agreements. Calculations of the percentage of Ordinary Shares beneficially owned assumes that there were 30,951,106 Ordinary Shares outstanding as reported in the Issuer’s Annual Report on Form 20-F filed with the U.S. Securities and Exchange Commission on June 28, 2021. However, as of the filing date of this Schedule 13D/A, as Mr. Calisto otherwise beneficially owns Ordinary Shares representing more than 51% of the total issued and outstanding Ordinary Shares of the Issuer, he may not exercise voting rights in respect of the 550,000 Ordinary Shares owned by Georgem or the 3,000,000 Ordinary Shares owned by One Spire.</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aggregate number and percentage of the Ordinary Shares beneficially owned by Mr. Calisto and the number of shares as to which Mr. Calisto has sole power to vote or to direct the vote, shared power to vote or to direct the vote, sole power to dispose or to direct the disposition, or shared power to dispose or to direct the disposition are set forth on rows 7 through 11 and row 13 of the cover pages of this Schedule 13D/A and are incorporated herein by reference.</w:t>
      </w:r>
    </w:p>
    <w:p>
      <w:pPr>
        <w:spacing w:after="0" w:line="1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as set forth in this Schedule 13D/A, Mr. Calisto has not effected any transaction in Ordinary Shares in the past 60 days.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information set forth, or incorporated by reference, in Items 3 through 5 of this Schedule 13D/A is incorporated by reference into this Item 6. Except as otherwise described in this Schedule 13D/A, to the knowledge of Mr. Calisto, there are no other contracts, arrangements, understandings or relationships (legal or otherwise) among the persons named in Item 2 hereto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April 6, 2021, the Issuer and Mr. Calisto entered into a Registration Rights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the terms of the Registration Rights Agreement, the Issuer will provide for customary “demand” registrations and “piggyback” registration rights. The Registration Rights Agreement will also provide that the Issuer will pay certain expenses relating to such registrations and indemnify the registration rights holders against (or make contributions in respect of) certain liabilities which may arise under the Securities Act of 1933, as amended.</w:t>
      </w:r>
    </w:p>
    <w:p>
      <w:pPr>
        <w:spacing w:after="0" w:line="17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description of the Registration Rights Agreement contained in this Item 6 is not intended to be complete and is qualified in its entirety by reference to such document, which was filed as Exhibit 10.5 to the Form F-1 registration statement filed with the U.S. Securities and Exchange Commission on March 22, 2021 and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Amended and Restated Voting Agreement, dated as of August 12, 2021, by and between Mr. Calisto and Georgem Holdings (Pty) Ltd.</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8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(filed herewith).</w:t>
              </w:r>
            </w:hyperlink>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7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Voting Agreement, dated as of August 12, 2021, by and between Mr. Calisto and One Spire (Pty) Ltd. (filed herewith).</w:t>
              </w:r>
            </w:hyperlink>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540" w:type="dxa"/>
            <w:vAlign w:val="bottom"/>
            <w:tcBorders>
              <w:top w:val="single" w:sz="8" w:color="0000EE"/>
              <w:bottom w:val="single" w:sz="8" w:color="auto"/>
            </w:tcBorders>
            <w:gridSpan w:val="2"/>
          </w:tcPr>
          <w:p>
            <w:pPr>
              <w:ind w:left="4440"/>
              <w:spacing w:after="0"/>
              <w:rPr>
                <w:sz w:val="20"/>
                <w:szCs w:val="20"/>
                <w:color w:val="auto"/>
              </w:rPr>
            </w:pPr>
            <w:r>
              <w:rPr>
                <w:rFonts w:ascii="Arial" w:cs="Arial" w:eastAsia="Arial" w:hAnsi="Arial"/>
                <w:sz w:val="22"/>
                <w:szCs w:val="22"/>
                <w:color w:val="auto"/>
              </w:rPr>
              <w:t>6</w:t>
            </w:r>
          </w:p>
        </w:tc>
        <w:tc>
          <w:tcPr>
            <w:tcW w:w="1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23, 2021</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ISAIAS (ZAK) JOSE CALISTO</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Isaias (Zak) Jose Calisto</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Isaias (Zak) Jose Calisto</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VOTING AGREEMENT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AMENDED AND RESTATED VOTING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12 August, 2021 between (i) Isaias Jose Calisto (“</w:t>
      </w:r>
      <w:r>
        <w:rPr>
          <w:rFonts w:ascii="Arial" w:cs="Arial" w:eastAsia="Arial" w:hAnsi="Arial"/>
          <w:sz w:val="18"/>
          <w:szCs w:val="18"/>
          <w:b w:val="1"/>
          <w:bCs w:val="1"/>
          <w:color w:val="auto"/>
        </w:rPr>
        <w:t>IJC</w:t>
      </w:r>
      <w:r>
        <w:rPr>
          <w:rFonts w:ascii="Arial" w:cs="Arial" w:eastAsia="Arial" w:hAnsi="Arial"/>
          <w:sz w:val="18"/>
          <w:szCs w:val="18"/>
          <w:color w:val="auto"/>
        </w:rPr>
        <w:t>”) and (ii) Georgem Holdings (Pty) Ltd. (“</w:t>
      </w:r>
      <w:r>
        <w:rPr>
          <w:rFonts w:ascii="Arial" w:cs="Arial" w:eastAsia="Arial" w:hAnsi="Arial"/>
          <w:sz w:val="18"/>
          <w:szCs w:val="18"/>
          <w:b w:val="1"/>
          <w:bCs w:val="1"/>
          <w:color w:val="auto"/>
        </w:rPr>
        <w:t>Georgem</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is the founder and sole shareholder of Karooooo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WHEREAS, Georgem acquired 3,550,000 ordinary shares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in connection with the Company’s corporate reorganization (the “</w:t>
      </w:r>
      <w:r>
        <w:rPr>
          <w:rFonts w:ascii="Arial" w:cs="Arial" w:eastAsia="Arial" w:hAnsi="Arial"/>
          <w:sz w:val="18"/>
          <w:szCs w:val="18"/>
          <w:b w:val="1"/>
          <w:bCs w:val="1"/>
          <w:color w:val="auto"/>
        </w:rPr>
        <w:t>Corporate Reorganization</w:t>
      </w:r>
      <w:r>
        <w:rPr>
          <w:rFonts w:ascii="Arial" w:cs="Arial" w:eastAsia="Arial" w:hAnsi="Arial"/>
          <w:sz w:val="18"/>
          <w:szCs w:val="18"/>
          <w:color w:val="auto"/>
        </w:rPr>
        <w:t>”) described in the registration statement on Form F-1 filed with the U.S. Securities and Exchange Commission in connection with the Company’s initial public offering of Shares in the United States;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Georgem expects to transfer 3,000,000 Ordinary Shares to One Spire (Pty) Ltd. (“</w:t>
      </w:r>
      <w:r>
        <w:rPr>
          <w:rFonts w:ascii="Arial" w:cs="Arial" w:eastAsia="Arial" w:hAnsi="Arial"/>
          <w:sz w:val="17"/>
          <w:szCs w:val="17"/>
          <w:b w:val="1"/>
          <w:bCs w:val="1"/>
          <w:color w:val="auto"/>
        </w:rPr>
        <w:t>One Spire</w:t>
      </w:r>
      <w:r>
        <w:rPr>
          <w:rFonts w:ascii="Arial" w:cs="Arial" w:eastAsia="Arial" w:hAnsi="Arial"/>
          <w:sz w:val="17"/>
          <w:szCs w:val="17"/>
          <w:color w:val="auto"/>
        </w:rPr>
        <w:t>”) (the “</w:t>
      </w:r>
      <w:r>
        <w:rPr>
          <w:rFonts w:ascii="Arial" w:cs="Arial" w:eastAsia="Arial" w:hAnsi="Arial"/>
          <w:sz w:val="17"/>
          <w:szCs w:val="17"/>
          <w:b w:val="1"/>
          <w:bCs w:val="1"/>
          <w:color w:val="auto"/>
        </w:rPr>
        <w:t>One Spire Transaction</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and Georgem are parties to that certain Voting Agreement, dated March 22, 2021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in connection with the One Spire Transaction, IJC and Georgem desire to amend and restate the Prior Agreement and agree that this Agreement will supersede and replace the Prior Agreement in its entirety; and</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WHEREAS, in the absence of any special rights or privileges granted to IJC as founder of the Company pursuant to the Company’s constitutional documents, the parties hereto desire to enter into this Agreement to provide IJC and IJC Transferees with the right to exercise, or cause Georgem to exercise as directed by IJC and IJC Transferees, the voting rights in respect of any Ordinary Shares beneficially owned by Georgem for so long as IJC and IJC Transferees, in his or their sole discretion, determine to do so.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1.01.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Owned</w:t>
      </w:r>
      <w:r>
        <w:rPr>
          <w:rFonts w:ascii="Arial" w:cs="Arial" w:eastAsia="Arial" w:hAnsi="Arial"/>
          <w:sz w:val="18"/>
          <w:szCs w:val="18"/>
          <w:color w:val="auto"/>
        </w:rPr>
        <w:t>” has the meaning ascribed to such term in Rule 13d-3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Karooooo Ltd., a public limited company organized under the laws of the Republic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(i) the Ordinary Shares, (ii) securities convertible into or exchangeable for Ordinary Shares and (iii) any options, warrants or other rights to acquire Ordinary Shares.</w:t>
      </w:r>
    </w:p>
    <w:p>
      <w:pPr>
        <w:spacing w:after="0" w:line="1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Reorganization</w:t>
      </w:r>
      <w:r>
        <w:rPr>
          <w:rFonts w:ascii="Arial" w:cs="Arial" w:eastAsia="Arial" w:hAnsi="Arial"/>
          <w:sz w:val="18"/>
          <w:szCs w:val="18"/>
          <w:color w:val="auto"/>
        </w:rPr>
        <w:t>” means the corporate reorganization described in the Form F-1 registration statement filed with the U.S. Securities and Exchange Commission on March 22, 2021.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Georgem</w:t>
      </w:r>
      <w:r>
        <w:rPr>
          <w:rFonts w:ascii="Arial" w:cs="Arial" w:eastAsia="Arial" w:hAnsi="Arial"/>
          <w:sz w:val="18"/>
          <w:szCs w:val="18"/>
          <w:color w:val="auto"/>
        </w:rPr>
        <w:t>” Georgem Holdings (Pty)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Georgem Holding</w:t>
      </w:r>
      <w:r>
        <w:rPr>
          <w:rFonts w:ascii="Arial" w:cs="Arial" w:eastAsia="Arial" w:hAnsi="Arial"/>
          <w:sz w:val="16"/>
          <w:szCs w:val="16"/>
          <w:color w:val="auto"/>
        </w:rPr>
        <w:t>” means the 550,000 Ordinary Shares that Georgem is expected to Beneficially Own following the One Spire Transaction.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w:t>
      </w:r>
      <w:r>
        <w:rPr>
          <w:rFonts w:ascii="Arial" w:cs="Arial" w:eastAsia="Arial" w:hAnsi="Arial"/>
          <w:sz w:val="18"/>
          <w:szCs w:val="18"/>
          <w:color w:val="auto"/>
        </w:rPr>
        <w:t>” means Isaias Jose Calisto.</w:t>
      </w:r>
    </w:p>
    <w:p>
      <w:pPr>
        <w:spacing w:after="0" w:line="225"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 Family Tranferee</w:t>
      </w:r>
      <w:r>
        <w:rPr>
          <w:rFonts w:ascii="Arial" w:cs="Arial" w:eastAsia="Arial" w:hAnsi="Arial"/>
          <w:sz w:val="18"/>
          <w:szCs w:val="18"/>
          <w:color w:val="auto"/>
        </w:rPr>
        <w:t>” means the spouse, the lineal descendant, sibling, heir, executor, administrator, testamentary trustee, legatee or beneficiary of IJC.</w:t>
      </w:r>
    </w:p>
    <w:p>
      <w:pPr>
        <w:spacing w:after="0" w:line="162"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IJC Transferee</w:t>
      </w:r>
      <w:r>
        <w:rPr>
          <w:rFonts w:ascii="Arial" w:cs="Arial" w:eastAsia="Arial" w:hAnsi="Arial"/>
          <w:sz w:val="16"/>
          <w:szCs w:val="16"/>
          <w:color w:val="auto"/>
        </w:rPr>
        <w:t xml:space="preserve">” means any Person to whom Company Securities are Transferred from IJC;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transferee is (A) an IJC Family Tranferee, (B) a trust that is for the exclusive benefit of an IJC Family Transferee or (C) a legal entity that is controlled by an IJC Family Transferee.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w:t>
      </w:r>
      <w:r>
        <w:rPr>
          <w:rFonts w:ascii="Arial" w:cs="Arial" w:eastAsia="Arial" w:hAnsi="Arial"/>
          <w:sz w:val="18"/>
          <w:szCs w:val="18"/>
          <w:color w:val="auto"/>
        </w:rPr>
        <w:t>” One Spire (Pty)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 Transaction</w:t>
      </w:r>
      <w:r>
        <w:rPr>
          <w:rFonts w:ascii="Arial" w:cs="Arial" w:eastAsia="Arial" w:hAnsi="Arial"/>
          <w:sz w:val="18"/>
          <w:szCs w:val="18"/>
          <w:color w:val="auto"/>
        </w:rPr>
        <w:t>” means the transfer of 3,000,000 Ordinary Shares from Georgem to One Spire.</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and any other security into which such ordinary shares may hereafter be converted or changed.</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any Company Securities, (i) when used as a verb, to sell, assign, dispose of, exchange, pledge, encumber, hypothecate or otherwise transfer such Company Securities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any participation or interest therein or any agreement or commitment to do any of the foregoing.</w:t>
      </w:r>
    </w:p>
    <w:p>
      <w:pPr>
        <w:spacing w:after="0" w:line="187" w:lineRule="exact"/>
        <w:rPr>
          <w:sz w:val="20"/>
          <w:szCs w:val="20"/>
          <w:color w:val="auto"/>
        </w:rPr>
      </w:pPr>
    </w:p>
    <w:p>
      <w:pPr>
        <w:ind w:left="660" w:firstLine="324"/>
        <w:spacing w:after="0" w:line="286" w:lineRule="auto"/>
        <w:rPr>
          <w:sz w:val="20"/>
          <w:szCs w:val="20"/>
          <w:color w:val="auto"/>
        </w:rPr>
      </w:pPr>
      <w:r>
        <w:rPr>
          <w:rFonts w:ascii="Arial" w:cs="Arial" w:eastAsia="Arial" w:hAnsi="Arial"/>
          <w:sz w:val="16"/>
          <w:szCs w:val="16"/>
          <w:color w:val="auto"/>
        </w:rPr>
        <w:t xml:space="preserve">Section 1.02.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agreement or contract listed on any schedules hereto, all such amendments, modifications or supplements must also be listed in the appropriate schedule. References to any law include all rules and regulations promulgated thereunder. References to any Person include the successors and permitted assigns of that Person. References from or through any date mean, unless otherwise specified, from and including or through and including,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ind w:right="60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OTING</w:t>
      </w:r>
    </w:p>
    <w:p>
      <w:pPr>
        <w:spacing w:after="0" w:line="21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Section 2.01. For so long as IJC and IJC Transferees, when taken together, shall Beneficially Own Company Securities but not Beneficially Own more than fifty one percent of the issued and outstanding number of Ordinary Shares, Georgem shall, in person or by proxy, cast all votes to which Georgem is entitled in respect of the Ordinary Shares that Georgem Beneficially Owns, whether at any annual or special meeting of shareholders of the Company, by written consent or otherwise, in the manner directed in writing by IJC.</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Section 2.02. For so long as IJC and IJC Transferees, when taken together, shall Beneficially Own Company Securities but not Beneficially Own more than fifty one percent of the issued and outstanding number of Ordinary Shares, if IJC requests Georgem to grant IJC a proxy to cast any or all votes to which Georgem is entitled in respect of the Ordinary Shares that Georgem Beneficially Owns, whether at any annual or special meeting of shareholders of the Company, Georgem shall grant IJC such proxy.</w:t>
      </w:r>
    </w:p>
    <w:p>
      <w:pPr>
        <w:spacing w:after="0" w:line="18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Section 2.03. In the event that IJC shall transfer Ordinary Shares from IJC to IJC Transferees and IJC shall no longer Beneficially Own Company Securities, then for so long as any such IJC Transferee shall Beneficially Own Company Securities but not, when taken together with all other IJC Transferees, Beneficially Own more than fifty one percent of the issued and outstanding number of Ordinary Shares, such IJC Transferee may exercise the rights granted to IJC by Section 2.01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the proportion that such IJC Transferee’s Beneficial Ownership of Ordinary Shares relates to the aggregate Beneficial Ownership of Ordinary Shares of all such IJC Transferees.</w:t>
      </w:r>
    </w:p>
    <w:p>
      <w:pPr>
        <w:spacing w:after="0" w:line="39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10" w:name="page11"/>
    <w:bookmarkEnd w:id="10"/>
    <w:p>
      <w:pPr>
        <w:jc w:val="center"/>
        <w:ind w:right="60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RANSFER AND</w:t>
      </w:r>
      <w:r>
        <w:rPr>
          <w:rFonts w:ascii="Arial" w:cs="Arial" w:eastAsia="Arial" w:hAnsi="Arial"/>
          <w:sz w:val="18"/>
          <w:szCs w:val="18"/>
          <w:color w:val="auto"/>
        </w:rPr>
        <w:t xml:space="preserve"> A</w:t>
      </w:r>
      <w:r>
        <w:rPr>
          <w:rFonts w:ascii="Arial" w:cs="Arial" w:eastAsia="Arial" w:hAnsi="Arial"/>
          <w:sz w:val="12"/>
          <w:szCs w:val="12"/>
          <w:color w:val="auto"/>
        </w:rPr>
        <w:t>CQUISITION</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Section 3.01. Except with the prior consent in writing of IJC, which consent may be withheld at the sole discretion of IJC, Georgem shall not Transfer to any Person any Company Securities Beneficially Owned by Georgem;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Georgem may Transfer up to an aggregate of 550,000 Ordinary Shares without such consent and Georgem may transfer an aggregate of 3,000,000 Ordinary Shares to One Spire pursuant to the One Spire Transaction.</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Section 3.02. Other than the Georgem Holding, except with the prior consent in writing of IJC, which consent may be withheld at the sole discretion of IJC, Georgem shall not acquire Beneficial Ownership of any Company Securities.</w:t>
      </w:r>
    </w:p>
    <w:p>
      <w:pPr>
        <w:spacing w:after="0" w:line="17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ONFLICTING</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1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Section 4.01. Georgem shall not (i) grant any proxy or enter into or agree to be bound by any voting trust or agreement with respect to the Company Securities, except as expressly contemplated by this Agreement, (ii) enter into any agreement or arrangement of any kind with any Person with respect to any Company Securities inconsistent with the provisions of this Agreement or for the purpose or with the effect of denying or reducing the rights of IJC under this Agreement, including agreements or arrangements with respect to the Transfer or voting of its Company Securities or (iii) act, for any reason, as a member of a group or in concert with any other Person in connection with the Transfer or voting of its Company Securities in any manner that is inconsistent with the provisions of this Agreement.</w:t>
      </w:r>
    </w:p>
    <w:p>
      <w:pPr>
        <w:spacing w:after="0" w:line="17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Section 5.01. This Agreement shall inure to the benefit of and be binding upon the parties hereto and their respective heirs, successors, legal representatives and permitted assigns. IJC may assign this Agreement and any right or remedy arising hereunder or by reason hereof to any IJC Transferee. Georgem may not assign this Agreement or any obligation hereunder or by reason hereof to any Person.</w:t>
      </w:r>
    </w:p>
    <w:p>
      <w:pPr>
        <w:spacing w:after="0" w:line="14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Section 5.02. All notices, requests and other communications to any party shall be in writing and shall be delivered in person (including by courier), mailed by certified or registered mail, return receipt requested, or sent by electronic mail (so long as receipt of such electronic mail is requested and received) to: if to IJC, C/O Karooooo Ltd., 10 Anson Road #12-14, International Plaza Singapore 079903; Email: zak.calisto@catrack.com; and if to Georgem, C/O Juan Marais, 21 Penhurst avenue, Essexwold, Bedfordview, South Africa; Email: juan@cartrack.com.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11" w:name="page12"/>
    <w:bookmarkEnd w:id="11"/>
    <w:p>
      <w:pPr>
        <w:ind w:left="320"/>
        <w:spacing w:after="0"/>
        <w:rPr>
          <w:sz w:val="20"/>
          <w:szCs w:val="20"/>
          <w:color w:val="auto"/>
        </w:rPr>
      </w:pPr>
      <w:r>
        <w:rPr>
          <w:rFonts w:ascii="Arial" w:cs="Arial" w:eastAsia="Arial" w:hAnsi="Arial"/>
          <w:sz w:val="18"/>
          <w:szCs w:val="18"/>
          <w:color w:val="auto"/>
        </w:rPr>
        <w:t>Section 5.03. This Agreement shall be governed by, and construed in accordance with, the laws of the State of New York.</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Section 5.04.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New York City, and that any case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5.02 shall be deemed effective service of process on such party.</w:t>
      </w:r>
    </w:p>
    <w:p>
      <w:pPr>
        <w:spacing w:after="0" w:line="18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Section 5.05. EACH OF THE PARTIES HERETO HEREBY IRREVOCABLY WAIVES ANY AND ALL RIGHT TO TRIAL BY JURY IN ANY LEGAL PROCEEDING ARISING OUT OF OR RELATED TO THIS AGREEMENT OR THE TRANSACTIONS CONTEMPLATED HEREBY.</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Section 5.06.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5.07. This Agreement may be executed in any number of counterparts, each of which shall be deemed to be an original, with the same effect as if the signatures thereto and hereto were upon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Section 5.08. This Agreement constitutes the entire agreement among the parties hereto and supersede all prior and contemporaneous agreements and understandings, both oral and written, among the parties hereto with respect to the subject matter hereof and thereof, including the Prior Agreement.</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Section 5.09.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41" w:right="359" w:bottom="1440" w:gutter="0" w:footer="0" w:header="0"/>
        </w:sectPr>
      </w:pPr>
    </w:p>
    <w:bookmarkStart w:id="12" w:name="page13"/>
    <w:bookmarkEnd w:id="12"/>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38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Isaias Jose Calisto</w:t>
      </w:r>
    </w:p>
    <w:p>
      <w:pPr>
        <w:spacing w:after="0" w:line="225" w:lineRule="exact"/>
        <w:rPr>
          <w:sz w:val="20"/>
          <w:szCs w:val="20"/>
          <w:color w:val="auto"/>
        </w:rPr>
      </w:pPr>
    </w:p>
    <w:p>
      <w:pPr>
        <w:ind w:left="666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Isaias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Isaias Jose Calisto</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Georgem Holdings (Pty) Ltd.</w:t>
      </w:r>
    </w:p>
    <w:p>
      <w:pPr>
        <w:spacing w:after="0" w:line="225" w:lineRule="exact"/>
        <w:rPr>
          <w:sz w:val="20"/>
          <w:szCs w:val="20"/>
          <w:color w:val="auto"/>
        </w:rPr>
      </w:pPr>
    </w:p>
    <w:p>
      <w:pPr>
        <w:ind w:left="666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Juan Marais</w:t>
      </w:r>
    </w:p>
    <w:p>
      <w:pPr>
        <w:spacing w:after="0" w:line="23" w:lineRule="exact"/>
        <w:rPr>
          <w:sz w:val="20"/>
          <w:szCs w:val="20"/>
          <w:color w:val="auto"/>
        </w:rPr>
      </w:pPr>
    </w:p>
    <w:p>
      <w:pPr>
        <w:ind w:left="7100"/>
        <w:spacing w:after="0"/>
        <w:tabs>
          <w:tab w:leader="none" w:pos="76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68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Jennefe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4295" cy="1714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Jennefe Allen</w:t>
      </w:r>
    </w:p>
    <w:p>
      <w:pPr>
        <w:spacing w:after="0" w:line="23" w:lineRule="exact"/>
        <w:rPr>
          <w:sz w:val="20"/>
          <w:szCs w:val="20"/>
          <w:color w:val="auto"/>
        </w:rPr>
      </w:pPr>
    </w:p>
    <w:p>
      <w:pPr>
        <w:ind w:left="7120"/>
        <w:spacing w:after="0"/>
        <w:tabs>
          <w:tab w:leader="none" w:pos="7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AGREEMENT dated and effective as of 12 August, 2021 between (i) Isaias Jose Calisto (“</w:t>
      </w:r>
      <w:r>
        <w:rPr>
          <w:rFonts w:ascii="Arial" w:cs="Arial" w:eastAsia="Arial" w:hAnsi="Arial"/>
          <w:sz w:val="17"/>
          <w:szCs w:val="17"/>
          <w:b w:val="1"/>
          <w:bCs w:val="1"/>
          <w:color w:val="auto"/>
        </w:rPr>
        <w:t>IJC</w:t>
      </w:r>
      <w:r>
        <w:rPr>
          <w:rFonts w:ascii="Arial" w:cs="Arial" w:eastAsia="Arial" w:hAnsi="Arial"/>
          <w:sz w:val="17"/>
          <w:szCs w:val="17"/>
          <w:color w:val="auto"/>
        </w:rPr>
        <w:t>”) and (ii) One Spire (Pty) Ltd. (“</w:t>
      </w:r>
      <w:r>
        <w:rPr>
          <w:rFonts w:ascii="Arial" w:cs="Arial" w:eastAsia="Arial" w:hAnsi="Arial"/>
          <w:sz w:val="17"/>
          <w:szCs w:val="17"/>
          <w:b w:val="1"/>
          <w:bCs w:val="1"/>
          <w:color w:val="auto"/>
        </w:rPr>
        <w:t>One Spire</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is the founder and sole shareholder of Karooooo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WHEREAS, One Spire is expected to acquire 3,000,000 ordinary shares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from Georgem Holdings (Pty) Ltd. (“</w:t>
      </w:r>
      <w:r>
        <w:rPr>
          <w:rFonts w:ascii="Arial" w:cs="Arial" w:eastAsia="Arial" w:hAnsi="Arial"/>
          <w:sz w:val="18"/>
          <w:szCs w:val="18"/>
          <w:b w:val="1"/>
          <w:bCs w:val="1"/>
          <w:color w:val="auto"/>
        </w:rPr>
        <w:t>Georgem</w:t>
      </w:r>
      <w:r>
        <w:rPr>
          <w:rFonts w:ascii="Arial" w:cs="Arial" w:eastAsia="Arial" w:hAnsi="Arial"/>
          <w:sz w:val="18"/>
          <w:szCs w:val="18"/>
          <w:color w:val="auto"/>
        </w:rPr>
        <w:t>”) (the “</w:t>
      </w:r>
      <w:r>
        <w:rPr>
          <w:rFonts w:ascii="Arial" w:cs="Arial" w:eastAsia="Arial" w:hAnsi="Arial"/>
          <w:sz w:val="18"/>
          <w:szCs w:val="18"/>
          <w:b w:val="1"/>
          <w:bCs w:val="1"/>
          <w:color w:val="auto"/>
        </w:rPr>
        <w:t>One Spire Transaction</w:t>
      </w:r>
      <w:r>
        <w:rPr>
          <w:rFonts w:ascii="Arial" w:cs="Arial" w:eastAsia="Arial" w:hAnsi="Arial"/>
          <w:sz w:val="18"/>
          <w:szCs w:val="18"/>
          <w:color w:val="auto"/>
        </w:rPr>
        <w:t>”); and</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WHEREAS, in the absence of any special rights or privileges granted to IJC as founder of the Company pursuant to the Company’s constitutional documents, the parties hereto desire to enter into this Agreement to provide IJC and IJC Transferees with the right to exercise, or cause One Spire to exercise as directed by IJC and IJC Transferees, the voting rights in respect of any Ordinary Shares beneficially owned by One Spire for so long as IJC and IJC Transferees, in his or their sole discretion, determine to do so.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Section 1.01.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Owned</w:t>
      </w:r>
      <w:r>
        <w:rPr>
          <w:rFonts w:ascii="Arial" w:cs="Arial" w:eastAsia="Arial" w:hAnsi="Arial"/>
          <w:sz w:val="18"/>
          <w:szCs w:val="18"/>
          <w:color w:val="auto"/>
        </w:rPr>
        <w:t>” has the meaning ascribed to such term in Rule 13d-3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Karooooo Ltd., a public limited company organized under the laws of the Republic of Singapore.</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(i) the Ordinary Shares, (ii) securities convertible into or exchangeable for Ordinary Shares and (iii) any options, warrants or other rights to acquire Ordinary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Georgem</w:t>
      </w:r>
      <w:r>
        <w:rPr>
          <w:rFonts w:ascii="Arial" w:cs="Arial" w:eastAsia="Arial" w:hAnsi="Arial"/>
          <w:sz w:val="18"/>
          <w:szCs w:val="18"/>
          <w:color w:val="auto"/>
        </w:rPr>
        <w:t>” Georgem Holdings (Pty)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w:t>
      </w:r>
      <w:r>
        <w:rPr>
          <w:rFonts w:ascii="Arial" w:cs="Arial" w:eastAsia="Arial" w:hAnsi="Arial"/>
          <w:sz w:val="18"/>
          <w:szCs w:val="18"/>
          <w:color w:val="auto"/>
        </w:rPr>
        <w:t>” means Isaias Jose Calisto.</w:t>
      </w:r>
    </w:p>
    <w:p>
      <w:pPr>
        <w:spacing w:after="0" w:line="225"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 Family Tranferee</w:t>
      </w:r>
      <w:r>
        <w:rPr>
          <w:rFonts w:ascii="Arial" w:cs="Arial" w:eastAsia="Arial" w:hAnsi="Arial"/>
          <w:sz w:val="18"/>
          <w:szCs w:val="18"/>
          <w:color w:val="auto"/>
        </w:rPr>
        <w:t>” means the spouse, the lineal descendant, sibling, heir, executor, administrator, testamentary trustee, legatee or beneficiary of IJC.</w:t>
      </w:r>
    </w:p>
    <w:p>
      <w:pPr>
        <w:spacing w:after="0" w:line="162"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IJC Transferee</w:t>
      </w:r>
      <w:r>
        <w:rPr>
          <w:rFonts w:ascii="Arial" w:cs="Arial" w:eastAsia="Arial" w:hAnsi="Arial"/>
          <w:sz w:val="16"/>
          <w:szCs w:val="16"/>
          <w:color w:val="auto"/>
        </w:rPr>
        <w:t xml:space="preserve">” means any Person to whom Company Securities are Transferred from IJC;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transferee is (A) an IJC Family Tranferee, (B) a trust that is for the exclusive benefit of an IJC Family Transferee or (C) a legal entity that is controlled by an IJC Family Transferee.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w:t>
      </w:r>
      <w:r>
        <w:rPr>
          <w:rFonts w:ascii="Arial" w:cs="Arial" w:eastAsia="Arial" w:hAnsi="Arial"/>
          <w:sz w:val="18"/>
          <w:szCs w:val="18"/>
          <w:color w:val="auto"/>
        </w:rPr>
        <w:t>” One Spire (Pty) Ltd.</w:t>
      </w:r>
    </w:p>
    <w:p>
      <w:pPr>
        <w:spacing w:after="0" w:line="225"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 Holding</w:t>
      </w:r>
      <w:r>
        <w:rPr>
          <w:rFonts w:ascii="Arial" w:cs="Arial" w:eastAsia="Arial" w:hAnsi="Arial"/>
          <w:sz w:val="18"/>
          <w:szCs w:val="18"/>
          <w:color w:val="auto"/>
        </w:rPr>
        <w:t>” means the 3,000,000 Ordinary Shares that One Spire is expected to acquire from Georgem pursuant to the One Spire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 Transaction</w:t>
      </w:r>
      <w:r>
        <w:rPr>
          <w:rFonts w:ascii="Arial" w:cs="Arial" w:eastAsia="Arial" w:hAnsi="Arial"/>
          <w:sz w:val="18"/>
          <w:szCs w:val="18"/>
          <w:color w:val="auto"/>
        </w:rPr>
        <w:t>” means the transfer of 3,000,000 Ordinary Shares from Georgem to One Spire.</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and any other security into which such ordinary shares may hereafter be converted or changed.</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any Company Securities, (i) when used as a verb, to sell, assign, dispose of, exchange, pledge, encumber, hypothecate or otherwise transfer such Company Securities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any participation or interest therein or any agreement or commitment to do any of the foregoing.</w:t>
      </w:r>
    </w:p>
    <w:p>
      <w:pPr>
        <w:spacing w:after="0" w:line="187" w:lineRule="exact"/>
        <w:rPr>
          <w:sz w:val="20"/>
          <w:szCs w:val="20"/>
          <w:color w:val="auto"/>
        </w:rPr>
      </w:pPr>
    </w:p>
    <w:p>
      <w:pPr>
        <w:ind w:left="660" w:firstLine="648"/>
        <w:spacing w:after="0" w:line="286" w:lineRule="auto"/>
        <w:rPr>
          <w:sz w:val="20"/>
          <w:szCs w:val="20"/>
          <w:color w:val="auto"/>
        </w:rPr>
      </w:pPr>
      <w:r>
        <w:rPr>
          <w:rFonts w:ascii="Arial" w:cs="Arial" w:eastAsia="Arial" w:hAnsi="Arial"/>
          <w:sz w:val="16"/>
          <w:szCs w:val="16"/>
          <w:color w:val="auto"/>
        </w:rPr>
        <w:t xml:space="preserve">Section 1.02.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agreement or contract listed on any schedules hereto, all such amendments, modifications or supplements must also be listed in the appropriate schedule. References to any law include all rules and regulations promulgated thereunder. References to any Person include the successors and permitted assigns of that Person. References from or through any date mean, unless otherwise specified, from and including or through and including,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OTING</w:t>
      </w:r>
    </w:p>
    <w:p>
      <w:pPr>
        <w:spacing w:after="0" w:line="211" w:lineRule="exact"/>
        <w:rPr>
          <w:sz w:val="20"/>
          <w:szCs w:val="20"/>
          <w:color w:val="auto"/>
        </w:rPr>
      </w:pPr>
    </w:p>
    <w:p>
      <w:pPr>
        <w:ind w:left="660" w:right="160" w:firstLine="648"/>
        <w:spacing w:after="0" w:line="279" w:lineRule="auto"/>
        <w:rPr>
          <w:sz w:val="20"/>
          <w:szCs w:val="20"/>
          <w:color w:val="auto"/>
        </w:rPr>
      </w:pPr>
      <w:r>
        <w:rPr>
          <w:rFonts w:ascii="Arial" w:cs="Arial" w:eastAsia="Arial" w:hAnsi="Arial"/>
          <w:sz w:val="17"/>
          <w:szCs w:val="17"/>
          <w:color w:val="auto"/>
        </w:rPr>
        <w:t>Section 2.01. For so long as IJC and IJC Transferees, when taken together, shall Beneficially Own Company Securities but not Beneficially Own more than fifty one percent of the issued and outstanding number of Ordinary Shares, One Spire shall, in person or by proxy, cast all votes to which One Spire is entitled in respect of the Ordinary Shares that One Spire Beneficially Owns, whether at any annual or special meeting of shareholders of the Company, by written consent or otherwise, in the manner directed in writing by IJC.</w:t>
      </w:r>
    </w:p>
    <w:p>
      <w:pPr>
        <w:spacing w:after="0" w:line="171" w:lineRule="exact"/>
        <w:rPr>
          <w:sz w:val="20"/>
          <w:szCs w:val="20"/>
          <w:color w:val="auto"/>
        </w:rPr>
      </w:pPr>
    </w:p>
    <w:p>
      <w:pPr>
        <w:ind w:left="660" w:right="240" w:firstLine="648"/>
        <w:spacing w:after="0" w:line="279" w:lineRule="auto"/>
        <w:rPr>
          <w:sz w:val="20"/>
          <w:szCs w:val="20"/>
          <w:color w:val="auto"/>
        </w:rPr>
      </w:pPr>
      <w:r>
        <w:rPr>
          <w:rFonts w:ascii="Arial" w:cs="Arial" w:eastAsia="Arial" w:hAnsi="Arial"/>
          <w:sz w:val="17"/>
          <w:szCs w:val="17"/>
          <w:color w:val="auto"/>
        </w:rPr>
        <w:t>Section 2.02. For so long as IJC and IJC Transferees, when taken together, shall Beneficially Own Company Securities but not Beneficially Own more than fifty one percent of the issued and outstanding number of Ordinary Shares, if IJC requests One Spire to grant IJC a proxy to cast any or all votes to which One Spire is entitled in respect of the Ordinary Shares that One Spire Beneficially Owns, whether at any annual or special meeting of shareholders of the Company, One Spire shall grant IJC such proxy.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right="40" w:firstLine="648"/>
        <w:spacing w:after="0" w:line="296" w:lineRule="auto"/>
        <w:rPr>
          <w:sz w:val="20"/>
          <w:szCs w:val="20"/>
          <w:color w:val="auto"/>
        </w:rPr>
      </w:pPr>
      <w:r>
        <w:rPr>
          <w:rFonts w:ascii="Arial" w:cs="Arial" w:eastAsia="Arial" w:hAnsi="Arial"/>
          <w:sz w:val="16"/>
          <w:szCs w:val="16"/>
          <w:color w:val="auto"/>
        </w:rPr>
        <w:t xml:space="preserve">Section 2.03. In the event that IJC shall transfer Ordinary Shares from IJC to IJC Transferees and IJC shall no longer Beneficially Own Company Securities, then for so long as any such IJC Transferee shall Beneficially Own Company Securities but not, when taken together with all other IJC Transferees, Beneficially Own more than fifty one percent of the issued and outstanding number of Ordinary Shares, such IJC Transferee may exercise the rights granted to IJC by Section 2.01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the proportion that such IJC Transferee’s Beneficial Ownership of Ordinary Shares relates to the aggregate Beneficial Ownership of Ordinary Shares of all such IJC Transferees.</w:t>
      </w:r>
    </w:p>
    <w:p>
      <w:pPr>
        <w:spacing w:after="0" w:line="16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RANSFER AND</w:t>
      </w:r>
      <w:r>
        <w:rPr>
          <w:rFonts w:ascii="Arial" w:cs="Arial" w:eastAsia="Arial" w:hAnsi="Arial"/>
          <w:sz w:val="18"/>
          <w:szCs w:val="18"/>
          <w:color w:val="auto"/>
        </w:rPr>
        <w:t xml:space="preserve"> A</w:t>
      </w:r>
      <w:r>
        <w:rPr>
          <w:rFonts w:ascii="Arial" w:cs="Arial" w:eastAsia="Arial" w:hAnsi="Arial"/>
          <w:sz w:val="12"/>
          <w:szCs w:val="12"/>
          <w:color w:val="auto"/>
        </w:rPr>
        <w:t>CQUISITION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Section 3.01. Except with the prior consent in writing of IJC, which consent may be withheld at the sole discretion of IJC, One Spire shall not Transfer to any Person any Company Securities Beneficially Owned by One Spire.</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Section 3.02. Other than the One Spire Holding, except with the prior consent in writing of IJC, which consent may be withheld at the sole discretion of IJC, One Spire shall not acquire Beneficial Ownership of any Company Securities.</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ONFLICTING</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1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4.01. One Spire shall not (i) grant any proxy or enter into or agree to be bound by any voting trust or agreement with respect to the Company Securities, except as expressly contemplated by this Agreement, (ii) enter into any agreement or arrangement of any kind with any Person with respect to any Company Securities inconsistent with the provisions of this Agreement or for the purpose or with the effect of denying or reducing the rights of IJC under this Agreement, including agreements or arrangements with respect to the Transfer or voting of its Company Securities or (iii) act, for any reason, as a member of a group or in concert with any other Person in connection with the Transfer or voting of its Company Securities in any manner that is inconsistent with the provisions of this Agreement.</w:t>
      </w:r>
    </w:p>
    <w:p>
      <w:pPr>
        <w:spacing w:after="0" w:line="17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Section 5.01. This Agreement shall inure to the benefit of and be binding upon the parties hereto and their respective heirs, successors, legal representatives and permitted assigns. IJC may assign this Agreement and any right or remedy arising hereunder or by reason hereof to any IJC Transferee. One Spire may not assign this Agreement or any obligation hereunder or by reason hereof to any Person.</w:t>
      </w:r>
    </w:p>
    <w:p>
      <w:pPr>
        <w:spacing w:after="0" w:line="14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Section 5.02. All notices, requests and other communications to any party shall be in writing and shall be delivered in person (including by courier), mailed by certified or registered mail, return receipt requested, or sent by electronic mail (so long as receipt of such electronic mail is requested and received) to: if to IJC, C/O Karooooo Ltd., 10 Anson Road #12-14, International Plaza Singapore 079903; Email: zak.calisto@catrack.com; and if to One Spire, C/O Juan Marais, 21 Penhurst avenue, Essexwold, Bedfordview, South Africa; Email: juan@cartrack.com.</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6" w:name="page17"/>
    <w:bookmarkEnd w:id="16"/>
    <w:p>
      <w:pPr>
        <w:ind w:left="640"/>
        <w:spacing w:after="0"/>
        <w:rPr>
          <w:sz w:val="20"/>
          <w:szCs w:val="20"/>
          <w:color w:val="auto"/>
        </w:rPr>
      </w:pPr>
      <w:r>
        <w:rPr>
          <w:rFonts w:ascii="Arial" w:cs="Arial" w:eastAsia="Arial" w:hAnsi="Arial"/>
          <w:sz w:val="18"/>
          <w:szCs w:val="18"/>
          <w:color w:val="auto"/>
        </w:rPr>
        <w:t>Section 5.03. This Agreement shall be governed by, and construed in accordance with, the laws of the State of New York.</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5.04.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New York City, and that any case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5.02 shall be deemed effective service of process on such party.</w:t>
      </w:r>
    </w:p>
    <w:p>
      <w:pPr>
        <w:spacing w:after="0" w:line="185"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Section 5.05. EACH OF THE PARTIES HERETO HEREBY IRREVOCABLY WAIVES ANY AND ALL RIGHT TO TRIAL BY JURY IN ANY LEGAL PROCEEDING ARISING OUT OF OR RELATED TO THIS AGREEMENT OR THE TRANSACTIONS CONTEMPLATED HEREBY.</w:t>
      </w:r>
    </w:p>
    <w:p>
      <w:pPr>
        <w:spacing w:after="0" w:line="18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Section 5.06.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Section 5.07. This Agreement may be executed in any number of counterparts, each of which shall be deemed to be an original, with the same effect as if the signatures thereto and hereto were upon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76"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Section 5.08. This Agreement constitutes the entire agreement among the parties hereto and supersede all prior and contemporaneous agreements and understandings, both oral and written, among the parties hereto with respect to the subject matter hereof and thereof.</w:t>
      </w:r>
    </w:p>
    <w:p>
      <w:pPr>
        <w:spacing w:after="0" w:line="12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5.09.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7" w:name="page18"/>
    <w:bookmarkEnd w:id="1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Isaias Jose Calisto</w:t>
      </w:r>
    </w:p>
    <w:p>
      <w:pPr>
        <w:spacing w:after="0" w:line="225" w:lineRule="exact"/>
        <w:rPr>
          <w:sz w:val="20"/>
          <w:szCs w:val="20"/>
          <w:color w:val="auto"/>
        </w:rPr>
      </w:pPr>
    </w:p>
    <w:p>
      <w:pPr>
        <w:ind w:left="666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Isaias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Isaias Jose Calisto</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One Spire (Pty) Ltd.</w:t>
      </w:r>
    </w:p>
    <w:p>
      <w:pPr>
        <w:spacing w:after="0" w:line="225" w:lineRule="exact"/>
        <w:rPr>
          <w:sz w:val="20"/>
          <w:szCs w:val="20"/>
          <w:color w:val="auto"/>
        </w:rPr>
      </w:pPr>
    </w:p>
    <w:p>
      <w:pPr>
        <w:ind w:left="666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Juan Marais</w:t>
      </w:r>
    </w:p>
    <w:p>
      <w:pPr>
        <w:spacing w:after="0" w:line="23" w:lineRule="exact"/>
        <w:rPr>
          <w:sz w:val="20"/>
          <w:szCs w:val="20"/>
          <w:color w:val="auto"/>
        </w:rPr>
      </w:pPr>
    </w:p>
    <w:p>
      <w:pPr>
        <w:ind w:left="7100"/>
        <w:spacing w:after="0"/>
        <w:tabs>
          <w:tab w:leader="none" w:pos="766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34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2021-08-23T15:47:18Z</dcterms:created>
  <dcterms:modified xsi:type="dcterms:W3CDTF">2021-08-23T15:47:18Z</dcterms:modified>
</cp:coreProperties>
</file>