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D2232A"/>
        </w:rPr>
        <w:t>This preliminary prospectus supplement and the accompanying prospectus relate to an effective registration statement under the Securities Act of 1933, as amended, but are not complete and may be changed.</w:t>
      </w:r>
    </w:p>
    <w:p>
      <w:pPr>
        <w:spacing w:after="0" w:line="17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333-280758</w:t>
      </w:r>
    </w:p>
    <w:p>
      <w:pPr>
        <w:spacing w:after="0" w:line="203"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D2232A"/>
        </w:rPr>
        <w:t>SUBJECT TO COMPLETION, DATED JULY 24, 2024</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Prospectus dated 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91440</wp:posOffset>
            </wp:positionV>
            <wp:extent cx="241744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KAROOOOO LTD.</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152" w:lineRule="exact"/>
        <w:rPr>
          <w:sz w:val="24"/>
          <w:szCs w:val="24"/>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selling shareholder identified in this prospectus supplement is offering ordinary shares of Karooooo Ltd. (being a number of ordinary shares that generates $75.0 million in gross proceeds). We are not selling any ordinary shares included in this prospectus supplement and will not receive any of the proceeds from the sale of any ordinary shares by the selling shareholder pursuant to this prospectus supplement.</w:t>
      </w:r>
    </w:p>
    <w:p>
      <w:pPr>
        <w:spacing w:after="0" w:line="99" w:lineRule="exact"/>
        <w:rPr>
          <w:sz w:val="24"/>
          <w:szCs w:val="24"/>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(“Nasdaq”) under the symbol “KARO.” The closing price of the ordinary shares on Nasdaq on July 23, 2024 was $35.33 per share.</w:t>
      </w:r>
    </w:p>
    <w:p>
      <w:pPr>
        <w:spacing w:after="0" w:line="94"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named in this prospectus has granted the underwriters an option for a period of</w:t>
      </w:r>
    </w:p>
    <w:p>
      <w:pPr>
        <w:spacing w:after="0" w:line="27" w:lineRule="exact"/>
        <w:rPr>
          <w:sz w:val="24"/>
          <w:szCs w:val="24"/>
          <w:color w:val="auto"/>
        </w:rPr>
      </w:pPr>
    </w:p>
    <w:p>
      <w:pPr>
        <w:ind w:left="460" w:right="579"/>
        <w:spacing w:after="0" w:line="260" w:lineRule="auto"/>
        <w:rPr>
          <w:sz w:val="20"/>
          <w:szCs w:val="20"/>
          <w:color w:val="auto"/>
        </w:rPr>
      </w:pPr>
      <w:r>
        <w:rPr>
          <w:rFonts w:ascii="Times New Roman" w:cs="Times New Roman" w:eastAsia="Times New Roman" w:hAnsi="Times New Roman"/>
          <w:sz w:val="18"/>
          <w:szCs w:val="18"/>
          <w:color w:val="auto"/>
        </w:rPr>
        <w:t>30 days from the date of this prospectus supplement to purchase up to additional ordinary shares (being a number of ordinary shares that generates $11.25 million in gross proceeds).</w:t>
      </w:r>
    </w:p>
    <w:p>
      <w:pPr>
        <w:spacing w:after="0" w:line="114" w:lineRule="exact"/>
        <w:rPr>
          <w:sz w:val="24"/>
          <w:szCs w:val="24"/>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“foreign private issuer” as defined under U.S. federal securities laws and, as such, may elect to comply with reduced public company reporting requirements for this and future filings. See “Prospectus Supplement Summary — Implications of Being an Emerging Growth Company and Foreign Private Issuer” in this prospectus supplement.</w:t>
      </w:r>
    </w:p>
    <w:p>
      <w:pPr>
        <w:spacing w:after="0" w:line="95" w:lineRule="exact"/>
        <w:rPr>
          <w:sz w:val="24"/>
          <w:szCs w:val="24"/>
          <w:color w:val="auto"/>
        </w:rPr>
      </w:pPr>
    </w:p>
    <w:p>
      <w:pPr>
        <w:ind w:left="460" w:right="6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“Risk Factors” section beginning on page S-4 of this prospectus supplement, on page 4 of the accompanying prospectus and in our Securities and Exchange Commission (“SEC”) filings that are incorporated by reference in this prospectus supplement, the accompanying prospectus and in the documents incorporated by reference herein and therein.</w:t>
      </w:r>
    </w:p>
    <w:p>
      <w:pPr>
        <w:spacing w:after="0" w:line="112" w:lineRule="exact"/>
        <w:rPr>
          <w:sz w:val="24"/>
          <w:szCs w:val="24"/>
          <w:color w:val="auto"/>
        </w:rPr>
      </w:pPr>
    </w:p>
    <w:p>
      <w:pPr>
        <w:ind w:left="460" w:right="8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77" w:lineRule="exact"/>
        <w:rPr>
          <w:sz w:val="24"/>
          <w:szCs w:val="24"/>
          <w:color w:val="auto"/>
        </w:rPr>
      </w:pPr>
    </w:p>
    <w:tbl>
      <w:tblPr>
        <w:tblLayout w:type="fixed"/>
        <w:tblInd w:w="460" w:type="dxa"/>
        <w:tblCellMar>
          <w:top w:w="0" w:type="dxa"/>
          <w:left w:w="0" w:type="dxa"/>
          <w:bottom w:w="0" w:type="dxa"/>
          <w:right w:w="0" w:type="dxa"/>
        </w:tblCellMar>
      </w:tblPr>
      <w:tr>
        <w:trPr>
          <w:trHeight w:val="212"/>
        </w:trPr>
        <w:tc>
          <w:tcPr>
            <w:tcW w:w="4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820" w:type="dxa"/>
            <w:vAlign w:val="bottom"/>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47"/>
        </w:trPr>
        <w:tc>
          <w:tcPr>
            <w:tcW w:w="498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57"/>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r>
      <w:tr>
        <w:trPr>
          <w:trHeight w:val="279"/>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commission</w:t>
            </w:r>
            <w:r>
              <w:rPr>
                <w:rFonts w:ascii="Times New Roman" w:cs="Times New Roman" w:eastAsia="Times New Roman" w:hAnsi="Times New Roman"/>
                <w:sz w:val="20"/>
                <w:szCs w:val="20"/>
                <w:color w:val="auto"/>
                <w:vertAlign w:val="superscript"/>
              </w:rPr>
              <w:t>(1)</w:t>
            </w:r>
          </w:p>
        </w:tc>
        <w:tc>
          <w:tcPr>
            <w:tcW w:w="22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2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r>
      <w:tr>
        <w:trPr>
          <w:trHeight w:val="268"/>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selling shareholder, before expenses</w:t>
            </w:r>
          </w:p>
        </w:tc>
        <w:tc>
          <w:tcPr>
            <w:tcW w:w="2200" w:type="dxa"/>
            <w:vAlign w:val="bottom"/>
            <w:tcBorders>
              <w:bottom w:val="single" w:sz="8" w:color="CCEEFF"/>
            </w:tcBorders>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632"/>
              <w:spacing w:after="0"/>
              <w:rPr>
                <w:sz w:val="20"/>
                <w:szCs w:val="20"/>
                <w:color w:val="auto"/>
              </w:rPr>
            </w:pPr>
            <w:r>
              <w:rPr>
                <w:rFonts w:ascii="Times New Roman" w:cs="Times New Roman" w:eastAsia="Times New Roman" w:hAnsi="Times New Roman"/>
                <w:sz w:val="18"/>
                <w:szCs w:val="18"/>
                <w:color w:val="auto"/>
                <w:w w:val="88"/>
              </w:rPr>
              <w:t>$</w:t>
            </w:r>
          </w:p>
        </w:tc>
      </w:tr>
      <w:tr>
        <w:trPr>
          <w:trHeight w:val="385"/>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73" w:lineRule="exact"/>
        <w:rPr>
          <w:sz w:val="24"/>
          <w:szCs w:val="24"/>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for a description of all underwriting compensation payable in connection with this offering.</w:t>
      </w:r>
    </w:p>
    <w:p>
      <w:pPr>
        <w:spacing w:after="0" w:line="163"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Delivery of the ordinary shares is expected to be made on or about</w:t>
            </w:r>
          </w:p>
        </w:tc>
        <w:tc>
          <w:tcPr>
            <w:tcW w:w="2820" w:type="dxa"/>
            <w:vAlign w:val="bottom"/>
          </w:tcPr>
          <w:p>
            <w:pPr>
              <w:jc w:val="center"/>
              <w:ind w:right="1172"/>
              <w:spacing w:after="0"/>
              <w:rPr>
                <w:sz w:val="20"/>
                <w:szCs w:val="20"/>
                <w:color w:val="auto"/>
              </w:rPr>
            </w:pPr>
            <w:r>
              <w:rPr>
                <w:rFonts w:ascii="Times New Roman" w:cs="Times New Roman" w:eastAsia="Times New Roman" w:hAnsi="Times New Roman"/>
                <w:sz w:val="18"/>
                <w:szCs w:val="18"/>
                <w:color w:val="auto"/>
              </w:rPr>
              <w:t>, 2024.</w:t>
            </w:r>
          </w:p>
        </w:tc>
      </w:tr>
      <w:tr>
        <w:trPr>
          <w:trHeight w:val="432"/>
        </w:trPr>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tc>
        <w:tc>
          <w:tcPr>
            <w:tcW w:w="2820" w:type="dxa"/>
            <w:vAlign w:val="bottom"/>
          </w:tcPr>
          <w:p>
            <w:pPr>
              <w:spacing w:after="0"/>
              <w:rPr>
                <w:sz w:val="24"/>
                <w:szCs w:val="24"/>
                <w:color w:val="auto"/>
              </w:rPr>
            </w:pPr>
          </w:p>
        </w:tc>
      </w:tr>
      <w:tr>
        <w:trPr>
          <w:trHeight w:val="481"/>
        </w:trPr>
        <w:tc>
          <w:tcPr>
            <w:tcW w:w="4880" w:type="dxa"/>
            <w:vAlign w:val="bottom"/>
          </w:tcPr>
          <w:p>
            <w:pPr>
              <w:jc w:val="center"/>
              <w:ind w:right="839"/>
              <w:spacing w:after="0"/>
              <w:rPr>
                <w:sz w:val="20"/>
                <w:szCs w:val="20"/>
                <w:color w:val="auto"/>
              </w:rPr>
            </w:pPr>
            <w:r>
              <w:rPr>
                <w:rFonts w:ascii="Times New Roman" w:cs="Times New Roman" w:eastAsia="Times New Roman" w:hAnsi="Times New Roman"/>
                <w:sz w:val="25"/>
                <w:szCs w:val="25"/>
                <w:b w:val="1"/>
                <w:bCs w:val="1"/>
                <w:color w:val="auto"/>
              </w:rPr>
              <w:t>UBS Investment Bank</w:t>
            </w:r>
          </w:p>
        </w:tc>
        <w:tc>
          <w:tcPr>
            <w:tcW w:w="400" w:type="dxa"/>
            <w:vAlign w:val="bottom"/>
          </w:tcPr>
          <w:p>
            <w:pPr>
              <w:spacing w:after="0"/>
              <w:rPr>
                <w:sz w:val="24"/>
                <w:szCs w:val="24"/>
                <w:color w:val="auto"/>
              </w:rPr>
            </w:pPr>
          </w:p>
        </w:tc>
        <w:tc>
          <w:tcPr>
            <w:tcW w:w="2820" w:type="dxa"/>
            <w:vAlign w:val="bottom"/>
          </w:tcPr>
          <w:p>
            <w:pPr>
              <w:jc w:val="center"/>
              <w:ind w:right="1132"/>
              <w:spacing w:after="0"/>
              <w:rPr>
                <w:sz w:val="20"/>
                <w:szCs w:val="20"/>
                <w:color w:val="auto"/>
              </w:rPr>
            </w:pPr>
            <w:r>
              <w:rPr>
                <w:rFonts w:ascii="Times New Roman" w:cs="Times New Roman" w:eastAsia="Times New Roman" w:hAnsi="Times New Roman"/>
                <w:sz w:val="25"/>
                <w:szCs w:val="25"/>
                <w:b w:val="1"/>
                <w:bCs w:val="1"/>
                <w:color w:val="auto"/>
                <w:w w:val="99"/>
              </w:rPr>
              <w:t>William Blair</w:t>
            </w:r>
          </w:p>
        </w:tc>
      </w:tr>
      <w:tr>
        <w:trPr>
          <w:trHeight w:val="570"/>
        </w:trPr>
        <w:tc>
          <w:tcPr>
            <w:tcW w:w="4880" w:type="dxa"/>
            <w:vAlign w:val="bottom"/>
          </w:tcPr>
          <w:p>
            <w:pPr>
              <w:jc w:val="center"/>
              <w:ind w:right="839"/>
              <w:spacing w:after="0"/>
              <w:rPr>
                <w:sz w:val="20"/>
                <w:szCs w:val="20"/>
                <w:color w:val="auto"/>
              </w:rPr>
            </w:pPr>
            <w:r>
              <w:rPr>
                <w:rFonts w:ascii="Times New Roman" w:cs="Times New Roman" w:eastAsia="Times New Roman" w:hAnsi="Times New Roman"/>
                <w:sz w:val="22"/>
                <w:szCs w:val="22"/>
                <w:b w:val="1"/>
                <w:bCs w:val="1"/>
                <w:color w:val="auto"/>
                <w:w w:val="98"/>
              </w:rPr>
              <w:t>Raymond James</w:t>
            </w:r>
          </w:p>
        </w:tc>
        <w:tc>
          <w:tcPr>
            <w:tcW w:w="400" w:type="dxa"/>
            <w:vAlign w:val="bottom"/>
          </w:tcPr>
          <w:p>
            <w:pPr>
              <w:spacing w:after="0"/>
              <w:rPr>
                <w:sz w:val="24"/>
                <w:szCs w:val="24"/>
                <w:color w:val="auto"/>
              </w:rPr>
            </w:pPr>
          </w:p>
        </w:tc>
        <w:tc>
          <w:tcPr>
            <w:tcW w:w="2820" w:type="dxa"/>
            <w:vAlign w:val="bottom"/>
          </w:tcPr>
          <w:p>
            <w:pPr>
              <w:jc w:val="center"/>
              <w:ind w:right="1132"/>
              <w:spacing w:after="0"/>
              <w:rPr>
                <w:sz w:val="20"/>
                <w:szCs w:val="20"/>
                <w:color w:val="auto"/>
              </w:rPr>
            </w:pPr>
            <w:r>
              <w:rPr>
                <w:rFonts w:ascii="Times New Roman" w:cs="Times New Roman" w:eastAsia="Times New Roman" w:hAnsi="Times New Roman"/>
                <w:sz w:val="22"/>
                <w:szCs w:val="22"/>
                <w:b w:val="1"/>
                <w:bCs w:val="1"/>
                <w:color w:val="auto"/>
                <w:w w:val="98"/>
              </w:rPr>
              <w:t>Standard Bank</w:t>
            </w:r>
          </w:p>
        </w:tc>
      </w:tr>
      <w:tr>
        <w:trPr>
          <w:trHeight w:val="433"/>
        </w:trPr>
        <w:tc>
          <w:tcPr>
            <w:tcW w:w="488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Prospectus Supplement dated</w:t>
            </w:r>
          </w:p>
        </w:tc>
        <w:tc>
          <w:tcPr>
            <w:tcW w:w="3220" w:type="dxa"/>
            <w:vAlign w:val="bottom"/>
            <w:gridSpan w:val="2"/>
          </w:tcPr>
          <w:p>
            <w:pPr>
              <w:jc w:val="right"/>
              <w:ind w:right="2372"/>
              <w:spacing w:after="0"/>
              <w:rPr>
                <w:sz w:val="20"/>
                <w:szCs w:val="20"/>
                <w:color w:val="auto"/>
              </w:rPr>
            </w:pPr>
            <w:r>
              <w:rPr>
                <w:rFonts w:ascii="Times New Roman" w:cs="Times New Roman" w:eastAsia="Times New Roman" w:hAnsi="Times New Roman"/>
                <w:sz w:val="18"/>
                <w:szCs w:val="18"/>
                <w:color w:val="auto"/>
              </w:rPr>
              <w:t>, 2024</w:t>
            </w:r>
          </w:p>
        </w:tc>
      </w:tr>
      <w:tr>
        <w:trPr>
          <w:trHeight w:val="392"/>
        </w:trPr>
        <w:tc>
          <w:tcPr>
            <w:tcW w:w="48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6"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Notice to Prospective Investors in Singapore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S-iii</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Market and Industry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S-iv</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Trademarks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S-v</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S-3</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S-6</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 Considerations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S-10</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S-18</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S-26</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S-26</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S-26</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S-27</w:t>
            </w:r>
          </w:p>
        </w:tc>
      </w:tr>
      <w:tr>
        <w:trPr>
          <w:trHeight w:val="493"/>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20" w:type="dxa"/>
            <w:vAlign w:val="bottom"/>
          </w:tcPr>
          <w:p>
            <w:pPr>
              <w:spacing w:after="0"/>
              <w:rPr>
                <w:sz w:val="24"/>
                <w:szCs w:val="24"/>
                <w:color w:val="auto"/>
              </w:rPr>
            </w:pPr>
          </w:p>
        </w:tc>
      </w:tr>
      <w:tr>
        <w:trPr>
          <w:trHeight w:val="412"/>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Notice to Prospective Investors in Singapore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7</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Dividends and 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Expenses of 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Service of Process and Enforcement of Civil Liabilities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This document consists of two parts. The first part, this prospectus supplement, and the second part, the accompanying prospectus, are each part of a registration statement on Form F-3 that we filed with the SEC, using a “shelf” registration process. Under this shelf registration process, the selling shareholder may sell its ordinary shares in one or more offerings. In this prospectus supplement, we provide you with specific information about the terms of this offering and updates with respect to information contained in the accompanying prospectus and the documents incorporated by reference into this prospectus supplement and the accompanying prospectus. The accompanying prospectus, including the documents incorporated by reference in the registration statement, provides more general information, some of which may not apply to this offering. You should read this prospectus supplement and the accompanying prospectus together with additional information described under the headings “Where You Can Find Additional Information” and “Information Incorporated by Reference” in the accompanying prospectus before investing in our ordinary shares.</w:t>
      </w:r>
    </w:p>
    <w:p>
      <w:pPr>
        <w:spacing w:after="0" w:line="12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the registration statement) the statement in the document having the later date modifies or supersedes the earlier statement.</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None of we, the selling shareholder or the underwriters has authorized anyone to provide any information or to make any representations other than those contained or incorporated by reference in this prospectus supplement, the accompanying prospectus, or in any free writing prospectus prepared by or on behalf of us or to which we may have referred you. We, the selling shareholder and the underwriters take no responsibility for, and can provide no assurance as to the reliability of, any other information that others may give you. The information contained in this prospectus supplement, the accompanying prospectus and any free writing prospectus is accurate only as of their respective dates, and any information we, the selling shareholder and the underwriters have incorporated by reference is accurate only as of the date of the document incorporated by reference, regardless of the time of delivery of this prospectus supplement, the accompanying prospectus and any free writing prospectus or of any sale of the ordinary shares.</w:t>
      </w:r>
    </w:p>
    <w:p>
      <w:pPr>
        <w:spacing w:after="0" w:line="113"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sell or the solicitation of an offer to buy any securities other than the ordinary shares described in this prospectus supplement or an offer to sell or the solicitation of an offer to buy such ordinary shares in any circumstances in which such offer or solicitation is unlawful or in any jurisdiction where offers or sales are not permitted.</w:t>
      </w:r>
    </w:p>
    <w:p>
      <w:pPr>
        <w:spacing w:after="0" w:line="11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For investors outside the United States: None of we, the selling shareholder or any of the underwriters have taken any action that would permit the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w:t>
      </w:r>
    </w:p>
    <w:p>
      <w:pPr>
        <w:spacing w:after="0" w:line="121"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“Karooooo,” the “Company,” the “Group,” “we,” “our,” “ours,” “us” or similar terms refer to Karooooo Ltd. and its subsidiaries.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This prospectus supplement has not been and will not be registered as a prospectus with the Monetary Authority of Singapore and the securities will be offered pursuant to exemptions under the Securities and Futures Act 2001 of Singapore, as modified or amended from time to time (the “SFA”).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w:t>
      </w:r>
    </w:p>
    <w:p>
      <w:pPr>
        <w:spacing w:after="0" w:line="127"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spacing w:after="0" w:line="108" w:lineRule="exact"/>
        <w:rPr>
          <w:sz w:val="20"/>
          <w:szCs w:val="20"/>
          <w:color w:val="auto"/>
        </w:rPr>
      </w:pPr>
    </w:p>
    <w:p>
      <w:pPr>
        <w:jc w:val="both"/>
        <w:ind w:left="460" w:right="49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Notification under Section 309B(1) of the SFA: </w:t>
      </w:r>
      <w:r>
        <w:rPr>
          <w:rFonts w:ascii="Times New Roman" w:cs="Times New Roman" w:eastAsia="Times New Roman" w:hAnsi="Times New Roman"/>
          <w:sz w:val="18"/>
          <w:szCs w:val="18"/>
          <w:color w:val="auto"/>
        </w:rPr>
        <w:t>The ordinary shares are “prescribed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Certain market data and forecasts used throughout this prospectus supplement were obtained from internal company surveys, market research, consultant surveys, reports of governmental and international agencies and industry publications and surveys. Industry publications and third-party research, surveys and reports generally indicate that their information has been obtained from sources believed to be reliable. This information involves a number of assumptions and limitations, and you are cautioned not to give undue weight to such estimates. Our estimates involve risks and uncertainties and are subject to change based on various factors, including those discussed under the heading “Risk Factors” in this prospectus supplement and the documents incorporated by reference in the registration statement.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ind w:left="460" w:right="539" w:firstLine="432"/>
        <w:spacing w:after="0" w:line="250"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prospectus supplement, the accompanying prospectus and the documents incorporated by reference herein and therein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supplement, the accompanying prospectus and the documents incorporated by reference herein and therein is the property of its respective holder.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83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7310" cy="783907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540" w:right="6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supplement or the accompanying prospectus. This summary may not contain all the information that may be important to you, and we urge you to read this entire prospectus supplement, the accompanying prospectus and the documents incorporated by reference herein and therein carefully, including the risks of investing in our ordinary shares discussed under the heading “Risk Factors” contained in this prospectus supplement and under similar headings in the accompanying prospectus and in the documents incorporated by reference herein and therein before deciding to invest in our securities.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a global provider of leading real-time mobility data analytics solutions for smart transportation.</w:t>
      </w:r>
    </w:p>
    <w:p>
      <w:pPr>
        <w:spacing w:after="0" w:line="144" w:lineRule="exact"/>
        <w:rPr>
          <w:sz w:val="20"/>
          <w:szCs w:val="20"/>
          <w:color w:val="auto"/>
        </w:rPr>
      </w:pPr>
    </w:p>
    <w:p>
      <w:pPr>
        <w:ind w:left="540" w:right="659" w:firstLine="432"/>
        <w:spacing w:after="0" w:line="261" w:lineRule="auto"/>
        <w:rPr>
          <w:sz w:val="20"/>
          <w:szCs w:val="20"/>
          <w:color w:val="auto"/>
        </w:rPr>
      </w:pPr>
      <w:r>
        <w:rPr>
          <w:rFonts w:ascii="Times New Roman" w:cs="Times New Roman" w:eastAsia="Times New Roman" w:hAnsi="Times New Roman"/>
          <w:sz w:val="18"/>
          <w:szCs w:val="18"/>
          <w:color w:val="auto"/>
        </w:rPr>
        <w:t>We offer a full-stack smart mobility SaaS platform for connected vehicles and other assets and provide customers with differentiated insights and analytics to optimize their business operations and workforce, increase efficiency and decrease costs, improve safety, monitor environmental impact, assist with regulatory compliance and manage risk.</w:t>
      </w:r>
    </w:p>
    <w:p>
      <w:pPr>
        <w:spacing w:after="0" w:line="112" w:lineRule="exact"/>
        <w:rPr>
          <w:sz w:val="20"/>
          <w:szCs w:val="20"/>
          <w:color w:val="auto"/>
        </w:rPr>
      </w:pPr>
    </w:p>
    <w:p>
      <w:pPr>
        <w:ind w:left="540" w:right="839" w:firstLine="432"/>
        <w:spacing w:after="0" w:line="256" w:lineRule="auto"/>
        <w:rPr>
          <w:sz w:val="20"/>
          <w:szCs w:val="20"/>
          <w:color w:val="auto"/>
        </w:rPr>
      </w:pPr>
      <w:r>
        <w:rPr>
          <w:rFonts w:ascii="Times New Roman" w:cs="Times New Roman" w:eastAsia="Times New Roman" w:hAnsi="Times New Roman"/>
          <w:sz w:val="18"/>
          <w:szCs w:val="18"/>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20" w:lineRule="exact"/>
        <w:rPr>
          <w:sz w:val="20"/>
          <w:szCs w:val="20"/>
          <w:color w:val="auto"/>
        </w:rPr>
      </w:pPr>
    </w:p>
    <w:p>
      <w:pPr>
        <w:ind w:left="540" w:right="579" w:firstLine="432"/>
        <w:spacing w:after="0" w:line="254" w:lineRule="auto"/>
        <w:rPr>
          <w:sz w:val="20"/>
          <w:szCs w:val="20"/>
          <w:color w:val="auto"/>
        </w:rPr>
      </w:pPr>
      <w:r>
        <w:rPr>
          <w:rFonts w:ascii="Times New Roman" w:cs="Times New Roman" w:eastAsia="Times New Roman" w:hAnsi="Times New Roman"/>
          <w:sz w:val="18"/>
          <w:szCs w:val="18"/>
          <w:color w:val="auto"/>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11"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We provide customers with the flexibility to deploy our solutions across a range of vehicles, including electric vehicles, and other assets and to use our platform alone or in conjunction with the systems of original equipment manufacturers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and Corporate Information</w:t>
      </w:r>
    </w:p>
    <w:p>
      <w:pPr>
        <w:spacing w:after="0" w:line="162" w:lineRule="exact"/>
        <w:rPr>
          <w:sz w:val="20"/>
          <w:szCs w:val="20"/>
          <w:color w:val="auto"/>
        </w:rPr>
      </w:pPr>
    </w:p>
    <w:p>
      <w:pPr>
        <w:ind w:left="540" w:right="579" w:firstLine="432"/>
        <w:spacing w:after="0" w:line="260" w:lineRule="auto"/>
        <w:rPr>
          <w:sz w:val="20"/>
          <w:szCs w:val="20"/>
          <w:color w:val="auto"/>
        </w:rPr>
      </w:pPr>
      <w:r>
        <w:rPr>
          <w:rFonts w:ascii="Times New Roman" w:cs="Times New Roman" w:eastAsia="Times New Roman" w:hAnsi="Times New Roman"/>
          <w:sz w:val="18"/>
          <w:szCs w:val="18"/>
          <w:color w:val="auto"/>
        </w:rPr>
        <w:t>Karooooo Ltd. was incorporated in Singapore on May 19, 2018 as Karooooo Pte. Ltd., a private limited company (Company Registration No. 201817157Z) under the Companies Act 1967 of Singapore (the “Singapore Companies Act”). On February 22, 2021, we converted Karooooo Pte. Ltd. from a Singapore private limited company to Karooooo Ltd., a Singapore public limited company. Our principal executive office is our premises at 1 Harbourfront Avenue, Keppel Bay Tower #14-07, Singapore 098632. Our telephone number at this location is +65 6255 4151.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64" w:lineRule="exact"/>
        <w:rPr>
          <w:sz w:val="20"/>
          <w:szCs w:val="20"/>
          <w:color w:val="auto"/>
        </w:rPr>
      </w:pPr>
    </w:p>
    <w:p>
      <w:pPr>
        <w:ind w:left="540" w:right="619" w:firstLine="432"/>
        <w:spacing w:after="0" w:line="267" w:lineRule="auto"/>
        <w:rPr>
          <w:sz w:val="20"/>
          <w:szCs w:val="20"/>
          <w:color w:val="auto"/>
        </w:rPr>
      </w:pPr>
      <w:r>
        <w:rPr>
          <w:rFonts w:ascii="Times New Roman" w:cs="Times New Roman" w:eastAsia="Times New Roman" w:hAnsi="Times New Roman"/>
          <w:sz w:val="18"/>
          <w:szCs w:val="18"/>
          <w:color w:val="auto"/>
        </w:rPr>
        <w:t xml:space="preserve">Our principal website is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information on our website is not incorporated by reference into this prospectus supplement, and you should not consider information contained on our website to be a part of this prospectus supplement or in deciding whether to purchase our ordinary shares.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Foreign Private Issuer</w:t>
      </w:r>
    </w:p>
    <w:p>
      <w:pPr>
        <w:spacing w:after="0" w:line="162" w:lineRule="exact"/>
        <w:rPr>
          <w:sz w:val="20"/>
          <w:szCs w:val="20"/>
          <w:color w:val="auto"/>
        </w:rPr>
      </w:pPr>
    </w:p>
    <w:p>
      <w:pPr>
        <w:ind w:left="540" w:right="1039" w:firstLine="432"/>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spacing w:after="0" w:line="112" w:lineRule="exact"/>
        <w:rPr>
          <w:sz w:val="20"/>
          <w:szCs w:val="20"/>
          <w:color w:val="auto"/>
        </w:rPr>
      </w:pPr>
    </w:p>
    <w:p>
      <w:pPr>
        <w:ind w:left="1400" w:right="799" w:hanging="424"/>
        <w:spacing w:after="0" w:line="266"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(the “Sarbanes-Oxley Act”); and</w:t>
      </w:r>
    </w:p>
    <w:p>
      <w:pPr>
        <w:spacing w:after="0" w:line="94" w:lineRule="exact"/>
        <w:rPr>
          <w:rFonts w:ascii="Times New Roman" w:cs="Times New Roman" w:eastAsia="Times New Roman" w:hAnsi="Times New Roman"/>
          <w:sz w:val="18"/>
          <w:szCs w:val="18"/>
          <w:color w:val="auto"/>
        </w:rPr>
      </w:pPr>
    </w:p>
    <w:p>
      <w:pPr>
        <w:ind w:left="1400" w:right="779" w:hanging="424"/>
        <w:spacing w:after="0" w:line="261"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2" w:lineRule="exact"/>
        <w:rPr>
          <w:sz w:val="20"/>
          <w:szCs w:val="20"/>
          <w:color w:val="auto"/>
        </w:rPr>
      </w:pPr>
    </w:p>
    <w:p>
      <w:pPr>
        <w:ind w:left="540" w:right="599" w:firstLine="432"/>
        <w:spacing w:after="0" w:line="252" w:lineRule="auto"/>
        <w:rPr>
          <w:sz w:val="20"/>
          <w:szCs w:val="20"/>
          <w:color w:val="auto"/>
        </w:rPr>
      </w:pPr>
      <w:r>
        <w:rPr>
          <w:rFonts w:ascii="Times New Roman" w:cs="Times New Roman" w:eastAsia="Times New Roman" w:hAnsi="Times New Roman"/>
          <w:sz w:val="18"/>
          <w:szCs w:val="18"/>
          <w:color w:val="auto"/>
        </w:rPr>
        <w:t>We may take advantage of these provisions until we are no longer an emerging growth company. We will remain an emerging growth company until the earliest of (i) the last day of the fiscal year in which we have total annual gross revenues of $1.235 billion or more; (ii) February 28, 2027; (iii) the date on which we have issued more than $1.0 billion in non-convertible debt during the previous three years; and (iv) the date on which we are deemed to be a large accelerated filer under the rules of the SEC, which means the market value of our ordinary shares that are held by non-affiliates equals or exceeds $700.0 million as of the prior August 31.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International Accounting Standards Board.</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also considered a “foreign private issuer.” Accordingly, we report under the</w:t>
      </w:r>
    </w:p>
    <w:p>
      <w:pPr>
        <w:spacing w:after="0" w:line="27" w:lineRule="exact"/>
        <w:rPr>
          <w:sz w:val="20"/>
          <w:szCs w:val="20"/>
          <w:color w:val="auto"/>
        </w:rPr>
      </w:pPr>
    </w:p>
    <w:p>
      <w:pPr>
        <w:ind w:left="540" w:right="639"/>
        <w:spacing w:after="0" w:line="253" w:lineRule="auto"/>
        <w:rPr>
          <w:sz w:val="20"/>
          <w:szCs w:val="20"/>
          <w:color w:val="auto"/>
        </w:rPr>
      </w:pPr>
      <w:r>
        <w:rPr>
          <w:rFonts w:ascii="Times New Roman" w:cs="Times New Roman" w:eastAsia="Times New Roman" w:hAnsi="Times New Roman"/>
          <w:sz w:val="18"/>
          <w:szCs w:val="18"/>
          <w:color w:val="auto"/>
        </w:rPr>
        <w:t>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08" w:lineRule="exact"/>
        <w:rPr>
          <w:sz w:val="20"/>
          <w:szCs w:val="20"/>
          <w:color w:val="auto"/>
        </w:rPr>
      </w:pPr>
    </w:p>
    <w:p>
      <w:pPr>
        <w:ind w:left="1400" w:right="63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rFonts w:ascii="Times New Roman" w:cs="Times New Roman" w:eastAsia="Times New Roman" w:hAnsi="Times New Roman"/>
          <w:sz w:val="18"/>
          <w:szCs w:val="18"/>
          <w:color w:val="auto"/>
        </w:rPr>
      </w:pPr>
    </w:p>
    <w:p>
      <w:pPr>
        <w:ind w:left="1400" w:right="6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08" w:lineRule="exact"/>
        <w:rPr>
          <w:rFonts w:ascii="Times New Roman" w:cs="Times New Roman" w:eastAsia="Times New Roman" w:hAnsi="Times New Roman"/>
          <w:sz w:val="18"/>
          <w:szCs w:val="18"/>
          <w:color w:val="auto"/>
        </w:rPr>
      </w:pPr>
    </w:p>
    <w:p>
      <w:pPr>
        <w:ind w:left="1400" w:right="69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95" w:lineRule="exact"/>
        <w:rPr>
          <w:sz w:val="20"/>
          <w:szCs w:val="20"/>
          <w:color w:val="auto"/>
        </w:rPr>
      </w:pPr>
    </w:p>
    <w:p>
      <w:pPr>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6" w:lineRule="exact"/>
        <w:rPr>
          <w:sz w:val="20"/>
          <w:szCs w:val="20"/>
          <w:color w:val="auto"/>
        </w:rPr>
      </w:pPr>
    </w:p>
    <w:p>
      <w:pPr>
        <w:ind w:left="540" w:right="619" w:firstLine="432"/>
        <w:spacing w:after="0" w:line="256" w:lineRule="auto"/>
        <w:rPr>
          <w:sz w:val="20"/>
          <w:szCs w:val="20"/>
          <w:color w:val="auto"/>
        </w:rPr>
      </w:pPr>
      <w:r>
        <w:rPr>
          <w:rFonts w:ascii="Times New Roman" w:cs="Times New Roman" w:eastAsia="Times New Roman" w:hAnsi="Times New Roman"/>
          <w:sz w:val="18"/>
          <w:szCs w:val="18"/>
          <w:color w:val="auto"/>
        </w:rPr>
        <w:t>In this prospectus supplement, the accompanying prospectus and in the documents incorporated by reference herein and therein, we have taken advantage of certain of the reduced reporting requirements as a result of being an emerging growth company and a foreign private issuer. Accordingly, the information contained in this prospectus supplement, the accompanying prospectus and in the documents incorporated by reference herein and therein may be different than the information you receive from other public companies in which you hold equity securities.</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979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597916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540" w:right="59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contains basic information about this offering. Certain of the terms and conditions described below are subject to important limitations and exceptions. The following is not intended to be complete. You should carefully review the full text and more specific details contained elsewhere or incorporated by reference in this prospectus supplement and the accompanying prospectus.</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Selling shareholder</w:t>
      </w:r>
    </w:p>
    <w:p>
      <w:pPr>
        <w:spacing w:after="0" w:line="198"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Number of ordinary shares offered by the selling shareholder</w:t>
      </w:r>
    </w:p>
    <w:p>
      <w:pPr>
        <w:spacing w:after="0" w:line="351" w:lineRule="exact"/>
        <w:rPr>
          <w:sz w:val="20"/>
          <w:szCs w:val="20"/>
          <w:color w:val="auto"/>
        </w:rPr>
      </w:pPr>
    </w:p>
    <w:p>
      <w:pPr>
        <w:ind w:left="720" w:right="18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ordinary shares from the selling shareholder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Isaias (Zak) Jose Calisto. See “Selling Shareholder.”</w:t>
      </w:r>
    </w:p>
    <w:p>
      <w:pPr>
        <w:spacing w:after="0" w:line="200" w:lineRule="exact"/>
        <w:rPr>
          <w:sz w:val="20"/>
          <w:szCs w:val="20"/>
          <w:color w:val="auto"/>
        </w:rPr>
      </w:pPr>
    </w:p>
    <w:p>
      <w:pPr>
        <w:spacing w:after="0" w:line="214" w:lineRule="exact"/>
        <w:rPr>
          <w:sz w:val="20"/>
          <w:szCs w:val="20"/>
          <w:color w:val="auto"/>
        </w:rPr>
      </w:pPr>
    </w:p>
    <w:p>
      <w:pPr>
        <w:ind w:right="699" w:firstLine="540"/>
        <w:spacing w:after="0" w:line="282" w:lineRule="auto"/>
        <w:rPr>
          <w:sz w:val="20"/>
          <w:szCs w:val="20"/>
          <w:color w:val="auto"/>
        </w:rPr>
      </w:pPr>
      <w:r>
        <w:rPr>
          <w:rFonts w:ascii="Times New Roman" w:cs="Times New Roman" w:eastAsia="Times New Roman" w:hAnsi="Times New Roman"/>
          <w:sz w:val="18"/>
          <w:szCs w:val="18"/>
          <w:color w:val="auto"/>
        </w:rPr>
        <w:t>ordinary shares (being a number of ordinary shares that generates $75.0 million in gross proceeds).</w:t>
      </w:r>
    </w:p>
    <w:p>
      <w:pPr>
        <w:spacing w:after="0" w:line="351" w:lineRule="exact"/>
        <w:rPr>
          <w:sz w:val="20"/>
          <w:szCs w:val="20"/>
          <w:color w:val="auto"/>
        </w:rPr>
      </w:pPr>
    </w:p>
    <w:p>
      <w:pPr>
        <w:ind w:right="579"/>
        <w:spacing w:after="0" w:line="258" w:lineRule="auto"/>
        <w:rPr>
          <w:sz w:val="20"/>
          <w:szCs w:val="20"/>
          <w:color w:val="auto"/>
        </w:rPr>
      </w:pPr>
      <w:r>
        <w:rPr>
          <w:rFonts w:ascii="Times New Roman" w:cs="Times New Roman" w:eastAsia="Times New Roman" w:hAnsi="Times New Roman"/>
          <w:sz w:val="18"/>
          <w:szCs w:val="18"/>
          <w:color w:val="auto"/>
        </w:rPr>
        <w:t>Up to ordinary shares (being a number of ordinary shares that generates $11.25 million in gross proceeds) at the public offering price, less underwriting discounts and commissions. The underwriters can exercise this option at any time within 30 days from the date of this prospectus supplement.</w:t>
      </w:r>
    </w:p>
    <w:p>
      <w:pPr>
        <w:spacing w:after="0" w:line="156" w:lineRule="exact"/>
        <w:rPr>
          <w:sz w:val="20"/>
          <w:szCs w:val="20"/>
          <w:color w:val="auto"/>
        </w:rPr>
      </w:pPr>
    </w:p>
    <w:p>
      <w:pPr>
        <w:sectPr>
          <w:pgSz w:w="11900" w:h="16838" w:orient="portrait"/>
          <w:cols w:equalWidth="0" w:num="2">
            <w:col w:w="3520" w:space="260"/>
            <w:col w:w="5239"/>
          </w:cols>
          <w:pgMar w:left="1440" w:top="270" w:right="1440" w:bottom="1440" w:gutter="0" w:footer="0" w:header="0"/>
          <w:type w:val="continuous"/>
        </w:sect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Ordinary Shares outstanding before and immediately after the offering</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Nasdaq symbol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30,893,300 ordinary shares.</w:t>
      </w:r>
    </w:p>
    <w:p>
      <w:pPr>
        <w:spacing w:after="0" w:line="198" w:lineRule="exact"/>
        <w:rPr>
          <w:sz w:val="20"/>
          <w:szCs w:val="20"/>
          <w:color w:val="auto"/>
        </w:rPr>
      </w:pPr>
    </w:p>
    <w:p>
      <w:pPr>
        <w:ind w:right="619"/>
        <w:spacing w:after="0" w:line="256" w:lineRule="auto"/>
        <w:rPr>
          <w:sz w:val="20"/>
          <w:szCs w:val="20"/>
          <w:color w:val="auto"/>
        </w:rPr>
      </w:pPr>
      <w:r>
        <w:rPr>
          <w:rFonts w:ascii="Times New Roman" w:cs="Times New Roman" w:eastAsia="Times New Roman" w:hAnsi="Times New Roman"/>
          <w:sz w:val="18"/>
          <w:szCs w:val="18"/>
          <w:color w:val="auto"/>
        </w:rPr>
        <w:t>The selling shareholder will receive all of the net proceeds from the sale of ordinary shares in this offering. We will, however, bear the costs associated with the sale of ordinary shares by the selling shareholder, other than any underwriting discounts and commissions, which will be borne by the selling shareholder. See “Use of Proceeds” and “Underwriting.”</w:t>
      </w:r>
    </w:p>
    <w:p>
      <w:pPr>
        <w:spacing w:after="0" w:line="160" w:lineRule="exact"/>
        <w:rPr>
          <w:sz w:val="20"/>
          <w:szCs w:val="20"/>
          <w:color w:val="auto"/>
        </w:rPr>
      </w:pPr>
    </w:p>
    <w:p>
      <w:pPr>
        <w:ind w:right="579"/>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See the “Risk Factors” section beginning on page S-4 of this prospectus supplement, on page 4 of the accompanying prospectus and in the documents incorporated by reference herein and therein for a discussion of factors you should consider before deciding to invest in our ordinary shares.</w:t>
      </w:r>
    </w:p>
    <w:p>
      <w:pPr>
        <w:spacing w:after="0" w:line="160" w:lineRule="exact"/>
        <w:rPr>
          <w:sz w:val="20"/>
          <w:szCs w:val="20"/>
          <w:color w:val="auto"/>
        </w:rPr>
      </w:pPr>
    </w:p>
    <w:p>
      <w:pPr>
        <w:ind w:right="899"/>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under the symbol “KARO.”</w:t>
      </w:r>
    </w:p>
    <w:p>
      <w:pPr>
        <w:spacing w:after="0" w:line="200" w:lineRule="exact"/>
        <w:rPr>
          <w:sz w:val="20"/>
          <w:szCs w:val="20"/>
          <w:color w:val="auto"/>
        </w:rPr>
      </w:pPr>
    </w:p>
    <w:p>
      <w:pPr>
        <w:sectPr>
          <w:pgSz w:w="11900" w:h="16838" w:orient="portrait"/>
          <w:cols w:equalWidth="0" w:num="2">
            <w:col w:w="3420" w:space="360"/>
            <w:col w:w="5239"/>
          </w:cols>
          <w:pgMar w:left="1440" w:top="270" w:right="1440"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risks described under “Item 3.D. Key Information — Risk Factors” in our most recent Annual Report on Form 20-F (our “Annual Report”), and any updates to those risk factors in our reports on Form 6-K incorporated by reference in this prospectus supplement, together with all of the other information appearing or incorporated by reference in this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2"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 xml:space="preserve">For general risks related to our business, operations and industry, please refer to the risk factors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Item 3.D. Key Information — Risk Factors” in our Annual Report.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 and the Offering</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For risks related to our ordinary shares, please refer to the risk factors described under “Item 3.D. Key Information — Risk Factors — Risks Relating to Our Ordinary Shares” in our Annual Report in addition to the risk factors included below.</w:t>
      </w:r>
    </w:p>
    <w:p>
      <w:pPr>
        <w:spacing w:after="0" w:line="172"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offering price will be determined by the selling shareholder and does not necessarily indicate the actual or market value of our ordinary shares.</w:t>
      </w:r>
    </w:p>
    <w:p>
      <w:pPr>
        <w:spacing w:after="0" w:line="7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selling shareholder and the underwriters will negotiate to determine the public offering price, which will not necessarily indicate the actual or market value of our ordinary shares. The offering price is not intended to bear any relationship to the book value of our assets or our past operations, cash flows, losses, financial condition, net worth or any other established criteria used to value securities. You may not be able to resell your shares at or above this offering price, or at all.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currently have limited or no liquidity in our shares.</w:t>
      </w:r>
    </w:p>
    <w:p>
      <w:pPr>
        <w:spacing w:after="0" w:line="162" w:lineRule="exact"/>
        <w:rPr>
          <w:sz w:val="20"/>
          <w:szCs w:val="20"/>
          <w:color w:val="auto"/>
        </w:rPr>
      </w:pPr>
    </w:p>
    <w:p>
      <w:pPr>
        <w:ind w:left="460" w:right="699" w:firstLine="432"/>
        <w:spacing w:after="0" w:line="274" w:lineRule="auto"/>
        <w:rPr>
          <w:sz w:val="20"/>
          <w:szCs w:val="20"/>
          <w:color w:val="auto"/>
        </w:rPr>
      </w:pPr>
      <w:r>
        <w:rPr>
          <w:rFonts w:ascii="Times New Roman" w:cs="Times New Roman" w:eastAsia="Times New Roman" w:hAnsi="Times New Roman"/>
          <w:sz w:val="17"/>
          <w:szCs w:val="17"/>
          <w:color w:val="auto"/>
        </w:rPr>
        <w:t>As of July 23, 2024, the selling shareholder and Juan Marais, the Chief Sales Officer of the Company, beneficially own an aggregate of 23,168,811 shares or 75.00% of the issued and outstanding shares of the Company. As long as the selling shareholder and Juan Marais continue to own a significant percentage of our outstanding ordinary shares, this concentrated ownership and influence could discourage potential investors from seeking to acquire ordinary shares and, as a result, the market price of our ordinary shares may be negatively impacted and you may not be able to resell your shares at or above market prices, or at all.</w:t>
      </w:r>
    </w:p>
    <w:p>
      <w:pPr>
        <w:spacing w:after="0" w:line="169" w:lineRule="exact"/>
        <w:rPr>
          <w:sz w:val="20"/>
          <w:szCs w:val="20"/>
          <w:color w:val="auto"/>
        </w:rPr>
      </w:pPr>
    </w:p>
    <w:p>
      <w:pPr>
        <w:ind w:left="4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ordinary shares in the public market, or the perception that these sales may occur, could cause the market price of our ordinary shares to experience significant volatility and/or decline.</w:t>
      </w:r>
    </w:p>
    <w:p>
      <w:pPr>
        <w:spacing w:after="0" w:line="107"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Each of the selling shareholder and Juan Marais has the ability to sell a substantial number of ordinary shares. We have filed a registration statement on Form F-3 pursuant to which the selling shareholder may offer and resell up to 6,000,000 ordinary shares, and the selling shareholder is offering to sell a portion of such ordinary shares in this offering. Sales of substantial amounts of our ordinary shares in the public market, the disclosure of any future sales or the perception that these sales may occur, including by these shareholders, could cause the market price of our ordinary shares to decline. A decline in the price of our ordinary shares may also impede our ability to raise capital through the issuance of additional ordinary shares or other equity securities.</w:t>
      </w:r>
    </w:p>
    <w:p>
      <w:pPr>
        <w:spacing w:after="0" w:line="111"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Moreover, we have entered into a registration rights agreement pursuant to which we have granted demand and piggyback registration rights to the selling shareholder. See “Selling Shareholder — Material Relationships with the Selling Shareholder — Registration Rights Agreement” in the accompanying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Under certain attribution rules, our non-U.S. subsidiaries are expected to be treated as controlled foreign corporations for U.S. federal income tax purposes, and, as a result, there could be adverse U.S. federal income tax consequences to U.S. investors that own our shares (directly or indirectly) and are treated as “Ten Percent Shareholders.”</w:t>
      </w:r>
    </w:p>
    <w:p>
      <w:pPr>
        <w:spacing w:after="0" w:line="99"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Certain “Ten Percent Shareholders” (as defined below) in a non-U.S. corporation that is a controlled foreign corporation (a “CFC”) for U.S. federal income tax purposes generally are required to include in income for U.S. federal income tax purposes their pro rata share of the CFC’s “Subpart F income,” investment of earnings in U.S. property and “global intangible low taxed income,” even if the CFC has made no distributions to its shareholders. A non-U.S. corporation generally will be a CFC for U.S. federal income tax purposes if Ten Percent Shareholders own, directly, indirectly or constructively (through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constructively, 10% or more of the total combined voting power of all classes of stock entitled to vote of such corporation or 10% or more of the total value of the stock of such corporation. We believe we are not a CFC and we do not expect to be a CFC in the foreseeable future. However, the determination of CFC status is complex and includes certain “downward attribution” rules pursuant to which our non-U.S. subsidiaries are expected to be treated as constructively controlled by our U.S. subsidiaries and therefore our non-U.S. subsidiaries are expected to be treated as CFCs. We do not intend to provide information to Ten Percent Shareholders that may be required in order for those shareholders to properly report their U.S. taxable income with respect to our or our subsidiaries’ operation. Prospective investors that may be or become Ten Percent Shareholders who directly or indirectly own our shares should consult their tax adviser with respect to the potential adverse tax consequences of investing in us.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 this prospectus supplement and the accompanying prospectus contain statements that constitute forward-looking statements within the meaning of Section 21E of the Exchange Act and Section 27A of the Securities Act of 1933, as amended (the “Securities Act”).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prospectus supplement, the accompanying prospectus or the documents incorporated by reference in this prospectus supplement and the accompanying prospectus. In addition, even if our results of operations, financial condition and liquidity, the development of the industry in which we operate and the effect of acquisitions on us are consistent with the forward-looking statements contained in this prospectus supplement, the accompanying prospectus and the documents incorporated by reference in this prospectus supplement and the accompanying prospectus, those results or developments may not be indicative of results or developments in subsequent periods.</w:t>
      </w:r>
    </w:p>
    <w:p>
      <w:pPr>
        <w:spacing w:after="0" w:line="12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Factors that may cause our actual results to differ materially from those expressed or implied by the forward-looking statements in this prospectus supplement, the accompanying prospectus and the documents incorporated herein by reference in this prospectus supplement and the accompanying prospectus include, but are not limited to, the risks described under the heading titled “Risk Factors” in our Annual Report, subsequent quarterly reports on Form 6-K and other filings with the SEC. For example, factors that could cause actual results to vary from projected results include, but are not limited to:</w:t>
      </w:r>
    </w:p>
    <w:p>
      <w:pPr>
        <w:spacing w:after="0" w:line="106" w:lineRule="exact"/>
        <w:rPr>
          <w:sz w:val="20"/>
          <w:szCs w:val="20"/>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subscribers and retain existing subscribers;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58"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geopolitical tensions,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spacing w:after="0" w:line="102"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157" w:lineRule="exact"/>
        <w:rPr>
          <w:rFonts w:ascii="Times New Roman" w:cs="Times New Roman" w:eastAsia="Times New Roman" w:hAnsi="Times New Roman"/>
          <w:sz w:val="18"/>
          <w:szCs w:val="18"/>
          <w:color w:val="auto"/>
        </w:rPr>
      </w:pPr>
    </w:p>
    <w:p>
      <w:pPr>
        <w:ind w:left="1320" w:right="125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80"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key personnel or attract, train and retain other highly qualified personnel;</w:t>
      </w:r>
    </w:p>
    <w:p>
      <w:pPr>
        <w:spacing w:after="0" w:line="169" w:lineRule="exact"/>
        <w:rPr>
          <w:rFonts w:ascii="Times New Roman" w:cs="Times New Roman" w:eastAsia="Times New Roman" w:hAnsi="Times New Roman"/>
          <w:sz w:val="17"/>
          <w:szCs w:val="17"/>
          <w:color w:val="auto"/>
        </w:rPr>
      </w:pPr>
    </w:p>
    <w:p>
      <w:pPr>
        <w:ind w:left="1320" w:right="13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80" w:lineRule="exact"/>
        <w:rPr>
          <w:rFonts w:ascii="Times New Roman" w:cs="Times New Roman" w:eastAsia="Times New Roman" w:hAnsi="Times New Roman"/>
          <w:sz w:val="18"/>
          <w:szCs w:val="18"/>
          <w:color w:val="auto"/>
        </w:rPr>
      </w:pPr>
    </w:p>
    <w:p>
      <w:pPr>
        <w:ind w:left="1320" w:right="11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14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the heading “Risk Factors” in our filings with the SEC.</w:t>
      </w:r>
    </w:p>
    <w:p>
      <w:pPr>
        <w:spacing w:after="0" w:line="144"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We will not receive any proceeds from the sale of any ordinary shares by the selling shareholder. We will, however, bear the costs associated with the sale of ordinary shares by the selling shareholder, other than any underwriting discounts and commissions, which will be borne by the selling shareholder. See “Underwriting.”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Based solely upon information furnished to us, the table below lists the selling shareholder and other information regarding the beneficial ownership of ordinary shares by the selling shareholder as of July 23, 2024, before and after giving effect to this offering. The information in the table below regarding the beneficial ownership of ordinary shares by the selling shareholder after giving effect to this offering is illustrative and assumes that 2,122,841 (or 2,441,268 if the option to purchase additional shares is exercised in full) ordinary shares were sold in the offering, assuming an offering price of $35.33 per share (the closing price of the ordinary shares on Nasdaq on July 23, 2024) and gross proceeds from the sale of $75.0 million (or</w:t>
      </w:r>
    </w:p>
    <w:p>
      <w:pPr>
        <w:spacing w:after="0" w:line="3" w:lineRule="exact"/>
        <w:rPr>
          <w:sz w:val="20"/>
          <w:szCs w:val="20"/>
          <w:color w:val="auto"/>
        </w:rPr>
      </w:pPr>
    </w:p>
    <w:p>
      <w:pPr>
        <w:ind w:left="460" w:right="779"/>
        <w:spacing w:after="0" w:line="255" w:lineRule="auto"/>
        <w:rPr>
          <w:sz w:val="20"/>
          <w:szCs w:val="20"/>
          <w:color w:val="auto"/>
        </w:rPr>
      </w:pPr>
      <w:r>
        <w:rPr>
          <w:rFonts w:ascii="Times New Roman" w:cs="Times New Roman" w:eastAsia="Times New Roman" w:hAnsi="Times New Roman"/>
          <w:sz w:val="18"/>
          <w:szCs w:val="18"/>
          <w:color w:val="auto"/>
        </w:rPr>
        <w:t>$86.25 million if the option to purchase additional shares is exercised in full). Beneficial ownership is determined in accordance with the rules of the SEC and includes voting or investment power with respect to shares.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14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90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0" w:type="dxa"/>
            <w:vAlign w:val="bottom"/>
            <w:vMerge w:val="restart"/>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1940" w:type="dxa"/>
            <w:vAlign w:val="bottom"/>
          </w:tcPr>
          <w:p>
            <w:pPr>
              <w:spacing w:after="0"/>
              <w:rPr>
                <w:sz w:val="10"/>
                <w:szCs w:val="10"/>
                <w:color w:val="auto"/>
              </w:rPr>
            </w:pPr>
          </w:p>
        </w:tc>
        <w:tc>
          <w:tcPr>
            <w:tcW w:w="1440" w:type="dxa"/>
            <w:vAlign w:val="bottom"/>
            <w:gridSpan w:val="4"/>
            <w:vMerge w:val="continue"/>
          </w:tcPr>
          <w:p>
            <w:pPr>
              <w:spacing w:after="0"/>
              <w:rPr>
                <w:sz w:val="10"/>
                <w:szCs w:val="10"/>
                <w:color w:val="auto"/>
              </w:rPr>
            </w:pPr>
          </w:p>
        </w:tc>
        <w:tc>
          <w:tcPr>
            <w:tcW w:w="9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Shares Being</w:t>
            </w:r>
          </w:p>
        </w:tc>
        <w:tc>
          <w:tcPr>
            <w:tcW w:w="13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Beneficially</w:t>
            </w:r>
          </w:p>
        </w:tc>
        <w:tc>
          <w:tcPr>
            <w:tcW w:w="100" w:type="dxa"/>
            <w:vAlign w:val="bottom"/>
            <w:vMerge w:val="continue"/>
          </w:tcPr>
          <w:p>
            <w:pPr>
              <w:spacing w:after="0"/>
              <w:rPr>
                <w:sz w:val="10"/>
                <w:szCs w:val="10"/>
                <w:color w:val="auto"/>
              </w:rPr>
            </w:pPr>
          </w:p>
        </w:tc>
        <w:tc>
          <w:tcPr>
            <w:tcW w:w="9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Shares Being</w:t>
            </w:r>
          </w:p>
        </w:tc>
        <w:tc>
          <w:tcPr>
            <w:tcW w:w="146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Shares Beneficially</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44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Owned Prior to This</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Sold in This</w:t>
            </w:r>
          </w:p>
        </w:tc>
        <w:tc>
          <w:tcPr>
            <w:tcW w:w="146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Sold in This</w:t>
            </w:r>
          </w:p>
        </w:tc>
        <w:tc>
          <w:tcPr>
            <w:tcW w:w="14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This</w:t>
            </w:r>
          </w:p>
        </w:tc>
        <w:tc>
          <w:tcPr>
            <w:tcW w:w="0" w:type="dxa"/>
            <w:vAlign w:val="bottom"/>
          </w:tcPr>
          <w:p>
            <w:pPr>
              <w:spacing w:after="0"/>
              <w:rPr>
                <w:sz w:val="1"/>
                <w:szCs w:val="1"/>
                <w:color w:val="auto"/>
              </w:rPr>
            </w:pPr>
          </w:p>
        </w:tc>
      </w:tr>
      <w:tr>
        <w:trPr>
          <w:trHeight w:val="190"/>
        </w:trPr>
        <w:tc>
          <w:tcPr>
            <w:tcW w:w="1940" w:type="dxa"/>
            <w:vAlign w:val="bottom"/>
          </w:tcPr>
          <w:p>
            <w:pPr>
              <w:spacing w:after="0"/>
              <w:rPr>
                <w:sz w:val="16"/>
                <w:szCs w:val="16"/>
                <w:color w:val="auto"/>
              </w:rPr>
            </w:pPr>
          </w:p>
        </w:tc>
        <w:tc>
          <w:tcPr>
            <w:tcW w:w="14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4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19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Selling Shareholder:</w:t>
            </w: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19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Isaias (Zak) Jose Calisto</w:t>
            </w:r>
            <w:r>
              <w:rPr>
                <w:rFonts w:ascii="Times New Roman" w:cs="Times New Roman" w:eastAsia="Times New Roman" w:hAnsi="Times New Roman"/>
                <w:sz w:val="21"/>
                <w:szCs w:val="21"/>
                <w:color w:val="auto"/>
                <w:vertAlign w:val="superscript"/>
              </w:rPr>
              <w:t>(1)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20,028,811</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64.83%</w:t>
            </w:r>
          </w:p>
        </w:tc>
        <w:tc>
          <w:tcPr>
            <w:tcW w:w="10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2,122,841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17,905,970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57.96%</w:t>
            </w:r>
          </w:p>
        </w:tc>
        <w:tc>
          <w:tcPr>
            <w:tcW w:w="1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2,441,268</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8"/>
              </w:rPr>
              <w:t>17,587,543</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56.93%</w:t>
            </w:r>
          </w:p>
        </w:tc>
        <w:tc>
          <w:tcPr>
            <w:tcW w:w="0" w:type="dxa"/>
            <w:vAlign w:val="bottom"/>
          </w:tcPr>
          <w:p>
            <w:pPr>
              <w:spacing w:after="0"/>
              <w:rPr>
                <w:sz w:val="1"/>
                <w:szCs w:val="1"/>
                <w:color w:val="auto"/>
              </w:rPr>
            </w:pPr>
          </w:p>
        </w:tc>
      </w:tr>
      <w:tr>
        <w:trPr>
          <w:trHeight w:val="210"/>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880" w:right="519" w:hanging="426"/>
        <w:spacing w:after="0" w:line="267"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Calisto beneficially owns 20,028,811 shares, or 64.83% of the 30,893,300 ordinary shares issued and outstanding as of the date of this prospectus supplement. In addition, Juan Marais, the Chief Sales Officer of the Company, is the beneficial owner of 3,140,000 shares, or 10.16% of the issued and outstanding shares of the Company, through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One Spire (Pty) Ltd.’s 3,140,000 shares may be deemed to be beneficially owned by Mr. Calisto. Therefore, Mr. Calisto may be deemed to beneficially own 23,168,811 shares or 75.00% of the issued and outstanding shares of the Company. Mr. Calisto disclaims beneficial ownership of One Spire (Pty) Ltd.’s 3,140,000 ordinary shares. After completion of the offering, Mr. Calisto expects to transfer approximately 14 million shares to a trust for the benefit of his family members in the near-term future, while retaining voting power over such shares.</w:t>
      </w:r>
    </w:p>
    <w:p>
      <w:pPr>
        <w:spacing w:after="0" w:line="118"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See “Material Relationships with the Selling Shareholder” in the accompanying prospectus for more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46"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are material Singaporean, South African and U.S. federal income tax considerations relevant to an investment in our ordinary shares. This discussion does not address all of the tax consequences that may be relevant in light of the investor’s particular circumstances. Potential investors should consult their tax advisers regarding the Singaporean, South African, U.S. federal, state and local, and non-U.S. tax consequences of owning and disposing of our ordinary shares in their particular circumstances. To the extent that the discussion relates to matters of Singaporean tax law, it represents the opinion of Allen &amp; Gledhill LLP, our Singaporean counsel. To the extent that it relates to matters of South African tax law, it represents the opinion of ENSafrica, our South African counsel.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Singaporean Tax Considerations</w:t>
      </w:r>
    </w:p>
    <w:p>
      <w:pPr>
        <w:spacing w:after="0" w:line="162"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The statements made herein regarding taxation are general in nature and based on certain aspects of current tax laws of Singapore and administrative guidelines issued by the relevant authorities in force as of the date of this prospectus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ordinary shares or of any person acquiring, selling or otherwise dealing with our ordinary shares or on any tax implications arising from the acquisition, sale or other dealings in respect of our ordinary shares. The statements made herein do not purport to be a comprehensive or exhaustive description of all of the tax considerations that may be relevant to a decision to purchase, own or dispose of our ordinary shares and do not purport to deal with the tax consequences applicable to all categories of investors, some of which (such as dealers in securities) may be subject to special rules. Prospective holders of our ordinary shares are advised to consult their own tax advisers as to the Singapore or other tax consequences of the acquisition, ownership of or disposal of our ordinary shares. The statements below regarding the Singapore tax treatment of dividends received in respect of our ordinary shares are based on the assumption that the Company is tax resident in Singapore for Singapore income tax purposes. It is emphasized that neither the Company nor any other persons involved in this prospectus accepts responsibility for any tax effects or liabilities resulting from the subscription for, purchase, holding or disposal of our ordinary shares.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Individual Income Tax</w:t>
      </w:r>
    </w:p>
    <w:p>
      <w:pPr>
        <w:spacing w:after="0" w:line="162" w:lineRule="exact"/>
        <w:rPr>
          <w:sz w:val="20"/>
          <w:szCs w:val="20"/>
          <w:color w:val="auto"/>
        </w:rPr>
      </w:pPr>
    </w:p>
    <w:p>
      <w:pPr>
        <w:ind w:left="460" w:right="979" w:firstLine="432"/>
        <w:spacing w:after="0" w:line="266" w:lineRule="auto"/>
        <w:rPr>
          <w:sz w:val="20"/>
          <w:szCs w:val="20"/>
          <w:color w:val="auto"/>
        </w:rPr>
      </w:pPr>
      <w:r>
        <w:rPr>
          <w:rFonts w:ascii="Times New Roman" w:cs="Times New Roman" w:eastAsia="Times New Roman" w:hAnsi="Times New Roman"/>
          <w:sz w:val="18"/>
          <w:szCs w:val="18"/>
          <w:color w:val="auto"/>
        </w:rPr>
        <w:t>An individual is a tax resident in Singapore in a year of assessment if, in the preceding year, he was physically present in Singapore or exercised an employment in Singapore (other than as a director of a company) for 183 days or more, or if he resides in Singapore.</w:t>
      </w:r>
    </w:p>
    <w:p>
      <w:pPr>
        <w:spacing w:after="0" w:line="95"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Individual taxpayers who are Singapore tax residents are subject to Singapore income tax on income accruing in or derived from Singapore. All foreign-sourced income received in Singapore on or after January 1, 2004 by a Singapore tax resident individual (except for income received through a partnership in Singapore) is exempt from Singapore income tax if the Comptroller of Income Tax in Singapore (“Comptroller”) is satisfied that the tax exemption would be beneficial to the individual. A Singapore tax resident individual is taxed at progressive rates ranging from 0% to 24%.</w:t>
      </w:r>
    </w:p>
    <w:p>
      <w:pPr>
        <w:spacing w:after="0" w:line="120"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Non-resident individuals, subject to certain exceptions and conditions, are subject to Singapore income tax on income accruing in or derived from Singapore at the rate of 24%.</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Corporate Income Tax</w:t>
      </w:r>
    </w:p>
    <w:p>
      <w:pPr>
        <w:spacing w:after="0" w:line="162"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A corporate taxpayer is regarded as resident in Singapore for Singapore tax purposes if the control and management of its business is exercised in Singapore.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Corporate taxpayers who are Singapore tax residents are subject to Singapore income tax on income accruing in or derived from Singapore and, subject to certain exceptions, on foreign-sourced income received or deemed to be received in Singapore. Foreign-sourced income in the form of dividends, branch profits and service income received or deemed to be received in Singapore by Singapore tax resident companies on or after June 1, 2003 are exempt from tax if certain prescribed conditions are met, including the following:</w:t>
      </w:r>
    </w:p>
    <w:p>
      <w:pPr>
        <w:spacing w:after="0" w:line="116" w:lineRule="exact"/>
        <w:rPr>
          <w:sz w:val="20"/>
          <w:szCs w:val="20"/>
          <w:color w:val="auto"/>
        </w:rPr>
      </w:pPr>
    </w:p>
    <w:p>
      <w:pPr>
        <w:ind w:left="1320" w:right="719" w:hanging="434"/>
        <w:spacing w:after="0" w:line="282" w:lineRule="auto"/>
        <w:tabs>
          <w:tab w:leader="none" w:pos="12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under the law of the jurisdiction from which such income is received; and</w:t>
      </w:r>
    </w:p>
    <w:p>
      <w:pPr>
        <w:spacing w:after="0" w:line="94" w:lineRule="exact"/>
        <w:rPr>
          <w:rFonts w:ascii="Times New Roman" w:cs="Times New Roman" w:eastAsia="Times New Roman" w:hAnsi="Times New Roman"/>
          <w:sz w:val="18"/>
          <w:szCs w:val="18"/>
          <w:color w:val="auto"/>
        </w:rPr>
      </w:pPr>
    </w:p>
    <w:p>
      <w:pPr>
        <w:ind w:left="1320" w:right="619" w:hanging="434"/>
        <w:spacing w:after="0" w:line="261" w:lineRule="auto"/>
        <w:tabs>
          <w:tab w:leader="none" w:pos="12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99"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Certain concessions and clarifications have also been announced by the Inland Revenue Authority of Singapore (“IRAS”) with respect to such conditions.</w:t>
      </w:r>
    </w:p>
    <w:p>
      <w:pPr>
        <w:spacing w:after="0" w:line="94"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A non-resident corporate taxpayer is subject to income tax on income that is accrued in or derived from Singapore, and on foreign-sourced income received or deemed received in Singapore, subject to certain exceptions.</w:t>
      </w:r>
    </w:p>
    <w:p>
      <w:pPr>
        <w:spacing w:after="0" w:line="108" w:lineRule="exact"/>
        <w:rPr>
          <w:sz w:val="20"/>
          <w:szCs w:val="20"/>
          <w:color w:val="auto"/>
        </w:rPr>
      </w:pPr>
    </w:p>
    <w:p>
      <w:pPr>
        <w:ind w:left="460" w:right="999" w:firstLine="432"/>
        <w:spacing w:after="0" w:line="261" w:lineRule="auto"/>
        <w:rPr>
          <w:sz w:val="20"/>
          <w:szCs w:val="20"/>
          <w:color w:val="auto"/>
        </w:rPr>
      </w:pPr>
      <w:r>
        <w:rPr>
          <w:rFonts w:ascii="Times New Roman" w:cs="Times New Roman" w:eastAsia="Times New Roman" w:hAnsi="Times New Roman"/>
          <w:sz w:val="18"/>
          <w:szCs w:val="18"/>
          <w:color w:val="auto"/>
        </w:rPr>
        <w:t>The corporate tax rate in Singapore is currently 17%. In addition, three-quarters of up to the first S$10,000 of a company’s annual normal chargeable income, and one-half of up to the next S$190,000, is exempt from corporate tax from the year of assessment (“YA”) 2020 onwards. The remaining chargeable income (after the tax exemption) will be fully taxable at the prevailing corporate tax rate.</w:t>
      </w:r>
    </w:p>
    <w:p>
      <w:pPr>
        <w:spacing w:after="0" w:line="99"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on three-quarters of up to the first S$100,000 of a company’s annual normal chargeable income, and one-half of up to the next S$100,000, a year for each of the company’s first three YAs from YA 2020 onwards. The remaining chargeable income (after the tax exemption) will be taxed at the applicable corporate tax rate.</w:t>
      </w:r>
    </w:p>
    <w:p>
      <w:pPr>
        <w:spacing w:after="0" w:line="17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162"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All Singapore-resident companies are currently under the one-tier corporate tax system (“one-tier system”).</w:t>
      </w:r>
    </w:p>
    <w:p>
      <w:pPr>
        <w:spacing w:after="0" w:line="94"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Dividends received in respect of our ordinary shares by either a resident or non-resident of Singapore are not subject to Singapore withholding tax, on the basis that we are a tax resident of Singapore and under the one-tier system.</w:t>
      </w:r>
    </w:p>
    <w:p>
      <w:pPr>
        <w:spacing w:after="0" w:line="95"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Under the one-tier system, the tax on corporate profits is final and dividends paid by a Singapore resident company are tax exempt in the hands of a shareholder, regardless of whether the shareholder is a company or an individual and whether or not the shareholder is a Singapore tax resident.</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our Ordinary Shares</w:t>
      </w:r>
    </w:p>
    <w:p>
      <w:pPr>
        <w:spacing w:after="0" w:line="162" w:lineRule="exact"/>
        <w:rPr>
          <w:sz w:val="20"/>
          <w:szCs w:val="20"/>
          <w:color w:val="auto"/>
        </w:rPr>
      </w:pPr>
    </w:p>
    <w:p>
      <w:pPr>
        <w:ind w:left="460" w:right="539" w:firstLine="432"/>
        <w:spacing w:after="0" w:line="281" w:lineRule="auto"/>
        <w:rPr>
          <w:sz w:val="20"/>
          <w:szCs w:val="20"/>
          <w:color w:val="auto"/>
        </w:rPr>
      </w:pPr>
      <w:r>
        <w:rPr>
          <w:rFonts w:ascii="Times New Roman" w:cs="Times New Roman" w:eastAsia="Times New Roman" w:hAnsi="Times New Roman"/>
          <w:sz w:val="17"/>
          <w:szCs w:val="17"/>
          <w:color w:val="auto"/>
        </w:rPr>
        <w:t>Singapore does not impose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especially if they arise from activities which the IRAS regards as the carrying on of a trade or business in Singapore.</w:t>
      </w:r>
    </w:p>
    <w:p>
      <w:pPr>
        <w:spacing w:after="0" w:line="97"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Holders of our ordinary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ordinary shares is made.</w:t>
      </w:r>
    </w:p>
    <w:p>
      <w:pPr>
        <w:spacing w:after="0" w:line="106"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Holders of our ordinary shares who may be subject to this tax treatment should consult their accounting and tax advisers regarding the Singapore income tax consequences of their acquisition, holding and disposal of our ordinary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is no stamp duty payable on the subscription for our ordinary shares.</w:t>
      </w:r>
    </w:p>
    <w:p>
      <w:pPr>
        <w:spacing w:after="0" w:line="158" w:lineRule="exact"/>
        <w:rPr>
          <w:sz w:val="20"/>
          <w:szCs w:val="20"/>
          <w:color w:val="auto"/>
        </w:rPr>
      </w:pPr>
    </w:p>
    <w:p>
      <w:pPr>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 our ordinary shares evidenced in certificated form are acquired in Singapore, stamp duty is payable on the instrument of their transfer at the rate of 0.2% of the consideration for, or market value of, our ordinary shares, whichever is higher.</w:t>
      </w:r>
    </w:p>
    <w:p>
      <w:pPr>
        <w:spacing w:after="0" w:line="10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Stamp duty is borne by the purchaser unless there is an agreement to the contrary. Where an instrument of transfer is executed outside Singapore or no instrument of transfer is executed, no stamp duty is generally payable on the acquisition of our ordinary shares. However, stamp duty may be payable if the instrument of transfer is executed outside Singapore and is received in Singapore.</w:t>
      </w:r>
    </w:p>
    <w:p>
      <w:pPr>
        <w:spacing w:after="0" w:line="99"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On the basis that any transfer instruments in respect of any interests in our ordinary shares (whether traded on Nasdaq or JSE) are executed outside Singapore for registration in our share register(s) and/or administrative depositary register(s) (including branch register(s) of members) maintained in the United States and/or South Africa, no stamp duty should be payable in Singapore on such transfers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spacing w:after="0" w:line="18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Estate Duty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Singapore estate duty was abolished with respect to all deaths occurring on or after February 15, 2008.</w:t>
      </w:r>
    </w:p>
    <w:p>
      <w:pPr>
        <w:spacing w:after="0" w:line="2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 (“GST”)</w:t>
      </w:r>
    </w:p>
    <w:p>
      <w:pPr>
        <w:spacing w:after="0" w:line="162"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sale of our ordinary shares by a GST-registered investor belonging in Singapore for GST purposes to another person belonging in Singapore is an exempt supply not subject to GST. Any input GST incurred by the GST-registered investor in making an exempt supply is generally not recoverable from the Singapore Comptroller of GST.</w:t>
      </w:r>
    </w:p>
    <w:p>
      <w:pPr>
        <w:spacing w:after="0" w:line="99"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Where our ordinary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incurred by the GST-registered investor in making such a supply in the course of or furtherance of a business may be fully recoverable from the Singapore Comptroller of</w:t>
      </w:r>
    </w:p>
    <w:p>
      <w:pPr>
        <w:spacing w:after="0" w:line="3" w:lineRule="exact"/>
        <w:rPr>
          <w:sz w:val="20"/>
          <w:szCs w:val="20"/>
          <w:color w:val="auto"/>
        </w:rPr>
      </w:pPr>
    </w:p>
    <w:p>
      <w:pPr>
        <w:ind w:left="460" w:right="1219"/>
        <w:spacing w:after="0" w:line="260" w:lineRule="auto"/>
        <w:rPr>
          <w:sz w:val="20"/>
          <w:szCs w:val="20"/>
          <w:color w:val="auto"/>
        </w:rPr>
      </w:pPr>
      <w:r>
        <w:rPr>
          <w:rFonts w:ascii="Times New Roman" w:cs="Times New Roman" w:eastAsia="Times New Roman" w:hAnsi="Times New Roman"/>
          <w:sz w:val="18"/>
          <w:szCs w:val="18"/>
          <w:color w:val="auto"/>
        </w:rPr>
        <w:t>GST. Investors should seek their own tax advice on the recoverability of GST incurred on expenses in connection with the purchase and sale of our ordinary shares.</w:t>
      </w:r>
    </w:p>
    <w:p>
      <w:pPr>
        <w:spacing w:after="0" w:line="11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Services consisting of arranging, brokering, underwriting or advising on the issue, allotment or transfer of ownership of our ordinary shares rendered by a GST-registered person to an investor belonging in Singapore for GST purposes in connection with the investor’s purchase, sale or holding of our ordinary shares will be subject to GST at the standard rate of 9.0%. Similar services rendered by a GST registered person contractually to and for the direct benefit of an investor belonging outside Singapore should generally, subject to the satisfaction of certain conditions, be subject to GST at 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South African Tax Considerations</w:t>
      </w:r>
    </w:p>
    <w:p>
      <w:pPr>
        <w:spacing w:after="0" w:line="162"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summary describes the principal South African income tax considerations generally applicable to the acquisition, holding and disposal of the Company’s ordinary shares.</w:t>
      </w:r>
    </w:p>
    <w:p>
      <w:pPr>
        <w:spacing w:after="0" w:line="81"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South African Income Tax Act No. 58 of 1962 (“Income Tax Act”), and the prevailing practice adopted by the South African Revenue Service (“SARS”), published in writing prior to the date hereof. This summary does not consider legislative proposals to amend the Income Tax Act. This summary is of a general nature only and is not intended to be legal or tax advice to any particular shareholder. This summary is not exhaustive of all South African income tax considerations. Accordingly, shareholders should consult their own tax advisors as to the tax consequences under the tax laws of the country of which they are resident or otherwise subject to tax.</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term “Regulated Intermediary” means a regulated intermediary as contemplated in section 64D of the Income Tax Act.</w:t>
      </w:r>
    </w:p>
    <w:p>
      <w:pPr>
        <w:spacing w:after="0" w:line="94"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For tax years ending before March 31, 2023, the Corporate Income Tax rate applicable to the corporate income of both resident and non-resident companies is 28%. This rate was reduced to 27% with effect for years of assessment ending on or after March 31, 2023. Individuals are taxed according to a sliding scale.</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SA Tax Resident Shareholders</w:t>
      </w:r>
    </w:p>
    <w:p>
      <w:pPr>
        <w:spacing w:after="0" w:line="162"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South African dividends tax at 20% will be withheld on any cash dividends declared and paid by the Company to SA Tax Resident Shareholders holding Company ordinary shares listed on the JSE, subject to any applicable exemptions that may apply.</w:t>
      </w:r>
    </w:p>
    <w:p>
      <w:pPr>
        <w:spacing w:after="0" w:line="95"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No South African dividends tax will be withheld on any cash dividends declared and paid by the Company to SA Tax Resident Shareholders holding Company ordinary shares through DTC. Such dividends will be subject to income tax in South Africa in the hands of the SA Tax Resident Shareholders, unless a relevant exemption applies.</w:t>
      </w:r>
    </w:p>
    <w:p>
      <w:pPr>
        <w:spacing w:after="0" w:line="11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Company will meet the definition of a controlled foreign company (“CFC”) for purposes of the Income Tax Act where more than 50% of the participation rights/voting rights in the Company are directly or indirectly held/exercisable by SA Tax Residents (not being headquarter companies) who each hold 5% or more of the Participation rights in the Company.</w:t>
      </w:r>
    </w:p>
    <w:p>
      <w:pPr>
        <w:spacing w:after="0" w:line="112"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 Company’s ordinary shares are not held more than 50% by SA Tax Resident ordinary shareholders and thus the Company is not currently a CFC.</w:t>
      </w:r>
    </w:p>
    <w:p>
      <w:pPr>
        <w:spacing w:after="0" w:line="81"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shareholder base of the Company may vary over time. Where the Company achieves CFC status in future, only those SA Tax Resident Shareholders holding, alone or together with any connected person, 10% or more of the Company’s ordinary shares must include in their taxable income (i.e. impute) an amount equal to the “net income” of the Company multiplied by such shareholder’s proportion of participation rights held in the Company. Highly taxed income or certain classes of income may benefit from an exemption or exclusion from “net income”.</w:t>
      </w:r>
    </w:p>
    <w:p>
      <w:pPr>
        <w:spacing w:after="0" w:line="120"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SA Tax Resident Shareholders who, together with connected persons, will acquire more than 10% of the Company’s ordinary shares in future are advised to obtain tax advice regarding whether they will have a South African tax exposure as a result of the Company potentially being a CFC as at that date, having regard to the Company’s shareholder base as at that point in time.</w:t>
      </w:r>
    </w:p>
    <w:p>
      <w:pPr>
        <w:spacing w:after="0" w:line="112"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SA Tax Resident Shareholders that dispose of their Company ordinary shares will be subject to either income tax (in the case of share dealers) or capital gains tax (in the case of capital investors).</w:t>
      </w:r>
    </w:p>
    <w:p>
      <w:pPr>
        <w:spacing w:after="0" w:line="81"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Where a natural person or trust holds Company ordinary shares on the JSE and such shares are transferred and subsequently registered through the DTC, such person will be treated as having disposed of and reacquired such shares at market value on the day on which such shares are registered through the DTC.</w:t>
      </w:r>
    </w:p>
    <w:p>
      <w:pPr>
        <w:spacing w:after="0" w:line="17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Non-SA Tax Resident Shareholders</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No South African dividends tax will be withheld on any cash dividends declared and paid by the Company to Non-SA Tax Resident Shareholders (i.e. shareholders of the Company who are not subject to income tax in South Africa on their worldwide income) holding Company ordinary shares. Where such shares are registered on the JSE, a specific exemption from dividends tax is applicable, provided that the Non-SA Tax Resident Shareholder has submitted the prescribed information to their Regulated Intermediary or the Company as required in terms of section 64G(2)(a) prior to payment of the relevant cash dividend. Where such shares are registered through the DTC, South African dividends tax is not applicable.</w:t>
      </w:r>
    </w:p>
    <w:p>
      <w:pPr>
        <w:spacing w:after="0" w:line="12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Non-SA Tax Resident Shareholders that dispose of their Company ordinary shares registered on the JSE or through the DTC will not be subject to capital gains tax (in the case of capital investors) in South Africa provided that the Company ordinary shares are not attributable to a permanent establishment of the Non-SA Tax Resident Shareholder in South Africa.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Where the Non-SA Tax Resident Shareholders are share dealers, no income tax will be payable on disposal of their Company ordinary shares registered on the JSE or through the DTC provided that the Company ordinary shares are not attributable to a permanent establishment of the Non-SA Tax Resident shareholder in South Africa.</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62"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owning and disposing of ordinary shares, but this discussion does not purport to be a comprehensive description of all of the tax considerations that may be relevant to a particular person’s decision to hold ordinary shares.</w:t>
      </w:r>
    </w:p>
    <w:p>
      <w:pPr>
        <w:spacing w:after="0" w:line="11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This discussion applies only to a U.S. Holder that acquires ordinary shares in this offering and holds the ordinary shares as capital assets for U.S. federal income tax purposes. In addition, it does not describe all of the tax consequences that may be relevant in light of a U.S. Holder’s particular circumstances, including any alternative minimum tax or Medicare contribution tax considerations, or consequences applicable to U.S. Holders subject to special rules, such as:</w:t>
      </w:r>
    </w:p>
    <w:p>
      <w:pPr>
        <w:spacing w:after="0" w:line="102" w:lineRule="exact"/>
        <w:rPr>
          <w:sz w:val="20"/>
          <w:szCs w:val="20"/>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straddle, integrated or similar transaction;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and their partners;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stock by voting power or value;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in connection with a trade or business outside the United States.</w:t>
      </w:r>
    </w:p>
    <w:p>
      <w:pPr>
        <w:spacing w:after="0" w:line="15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that is classified as a partnership for U.S. federal income tax purposes) owns ordinary shares, the U.S. federal income tax treatment of a partner will generally depend on the status of the partner and the activities of the partnership. Partnerships considering an investment in ordinary shares and their partners should consult their tax advisers as to their particular U.S. federal income tax consequences of owning and disposing of ordinary shares.</w:t>
      </w:r>
    </w:p>
    <w:p>
      <w:pPr>
        <w:spacing w:after="0" w:line="102"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and final, temporary and proposed Treasury regulations, all as of the date hereof, any of which is subject to change, possibly with retroactive effect.</w:t>
      </w:r>
    </w:p>
    <w:p>
      <w:pPr>
        <w:spacing w:after="0" w:line="108"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As used herein, a “U.S. Holder” is a person that is, for U.S. federal income tax purposes, a beneficial owner of ordinary shares and:</w:t>
      </w:r>
    </w:p>
    <w:p>
      <w:pPr>
        <w:spacing w:after="0" w:line="94"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4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94"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81"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 laws other than income tax laws (such as U.S. federal estate or gift tax laws). U.S. Holders should consult their tax advisers concerning the U.S. federal, state, local and non-U.S. tax consequences of owning and disposing of ordinary shares in their particular circumstances.</w:t>
      </w:r>
    </w:p>
    <w:p>
      <w:pPr>
        <w:spacing w:after="0" w:line="112" w:lineRule="exact"/>
        <w:rPr>
          <w:sz w:val="20"/>
          <w:szCs w:val="20"/>
          <w:color w:val="auto"/>
        </w:rPr>
      </w:pPr>
    </w:p>
    <w:p>
      <w:pPr>
        <w:ind w:left="460" w:right="499" w:firstLine="432"/>
        <w:spacing w:after="0" w:line="312" w:lineRule="auto"/>
        <w:rPr>
          <w:sz w:val="20"/>
          <w:szCs w:val="20"/>
          <w:color w:val="auto"/>
        </w:rPr>
      </w:pPr>
      <w:r>
        <w:rPr>
          <w:rFonts w:ascii="Times New Roman" w:cs="Times New Roman" w:eastAsia="Times New Roman" w:hAnsi="Times New Roman"/>
          <w:sz w:val="17"/>
          <w:szCs w:val="17"/>
          <w:color w:val="auto"/>
        </w:rPr>
        <w:t>Except as described below under “— Passive Foreign Investment Company Rules,” this discussion assumes that we are not, and will not be, a passive foreign investment company (a “PFIC”) for any taxable year.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Distributions paid on our ordinary shares, other than certain pro rata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U.S. Holders generally should expect that distributions will be treated as dividends. Dividends will not be eligible for the dividends-received deduction generally available to</w:t>
      </w:r>
    </w:p>
    <w:p>
      <w:pPr>
        <w:spacing w:after="0" w:line="3" w:lineRule="exact"/>
        <w:rPr>
          <w:sz w:val="20"/>
          <w:szCs w:val="20"/>
          <w:color w:val="auto"/>
        </w:rPr>
      </w:pPr>
    </w:p>
    <w:p>
      <w:pPr>
        <w:ind w:left="460" w:right="819"/>
        <w:spacing w:after="0" w:line="250" w:lineRule="auto"/>
        <w:rPr>
          <w:sz w:val="20"/>
          <w:szCs w:val="20"/>
          <w:color w:val="auto"/>
        </w:rPr>
      </w:pPr>
      <w:r>
        <w:rPr>
          <w:rFonts w:ascii="Times New Roman" w:cs="Times New Roman" w:eastAsia="Times New Roman" w:hAnsi="Times New Roman"/>
          <w:sz w:val="18"/>
          <w:szCs w:val="18"/>
          <w:color w:val="auto"/>
        </w:rPr>
        <w:t>U.S. corporations under the Code. Subject to applicable limitations (including a minimum holding period requirement), dividends paid by “qualified foreign corporations” to certain non-corporate U.S. investors are taxable at a preferential rate applicable to long-term capital gains. A non-U.S. corporation is treated as a qualified foreign corporation with respect to dividends paid on stock that is readily tradable on certain</w:t>
      </w:r>
    </w:p>
    <w:p>
      <w:pPr>
        <w:spacing w:after="0" w:line="2" w:lineRule="exact"/>
        <w:rPr>
          <w:sz w:val="20"/>
          <w:szCs w:val="20"/>
          <w:color w:val="auto"/>
        </w:rPr>
      </w:pPr>
    </w:p>
    <w:p>
      <w:pPr>
        <w:ind w:left="460" w:right="519"/>
        <w:spacing w:after="0" w:line="253" w:lineRule="auto"/>
        <w:rPr>
          <w:sz w:val="20"/>
          <w:szCs w:val="20"/>
          <w:color w:val="auto"/>
        </w:rPr>
      </w:pPr>
      <w:r>
        <w:rPr>
          <w:rFonts w:ascii="Times New Roman" w:cs="Times New Roman" w:eastAsia="Times New Roman" w:hAnsi="Times New Roman"/>
          <w:sz w:val="18"/>
          <w:szCs w:val="18"/>
          <w:color w:val="auto"/>
        </w:rPr>
        <w:t>U.S. securities markets, such as the Nasdaq. The preferential rate does not apply if the non-U.S. corporation is a PFIC for the year the dividend is paid or the preceding year. Non-corporate U.S. Holders should consult their tax advisers regarding the availability of the preferential rate and any limitations that may apply in their particular circumstances.</w:t>
      </w:r>
    </w:p>
    <w:p>
      <w:pPr>
        <w:spacing w:after="0" w:line="121" w:lineRule="exact"/>
        <w:rPr>
          <w:sz w:val="20"/>
          <w:szCs w:val="20"/>
          <w:color w:val="auto"/>
        </w:rPr>
      </w:pPr>
    </w:p>
    <w:p>
      <w:pPr>
        <w:ind w:left="460" w:right="579" w:firstLine="432"/>
        <w:spacing w:after="0" w:line="272" w:lineRule="auto"/>
        <w:rPr>
          <w:sz w:val="20"/>
          <w:szCs w:val="20"/>
          <w:color w:val="auto"/>
        </w:rPr>
      </w:pPr>
      <w:r>
        <w:rPr>
          <w:rFonts w:ascii="Times New Roman" w:cs="Times New Roman" w:eastAsia="Times New Roman" w:hAnsi="Times New Roman"/>
          <w:sz w:val="17"/>
          <w:szCs w:val="17"/>
          <w:color w:val="auto"/>
        </w:rPr>
        <w:t>Dividends will be included in a U.S. Holder’s income on the date of receipt. The amount of any dividend income paid in a currency other than the U.S. dollar will be the U.S. dollar amount calculated by reference to the spot rate in effect on the date of receipt, regardless of whether the payment is in fact converted into</w:t>
      </w:r>
    </w:p>
    <w:p>
      <w:pPr>
        <w:spacing w:after="0" w:line="2" w:lineRule="exact"/>
        <w:rPr>
          <w:sz w:val="20"/>
          <w:szCs w:val="20"/>
          <w:color w:val="auto"/>
        </w:rPr>
      </w:pPr>
    </w:p>
    <w:p>
      <w:pPr>
        <w:ind w:left="460" w:right="479"/>
        <w:spacing w:after="0" w:line="252" w:lineRule="auto"/>
        <w:rPr>
          <w:sz w:val="20"/>
          <w:szCs w:val="20"/>
          <w:color w:val="auto"/>
        </w:rPr>
      </w:pPr>
      <w:r>
        <w:rPr>
          <w:rFonts w:ascii="Times New Roman" w:cs="Times New Roman" w:eastAsia="Times New Roman" w:hAnsi="Times New Roman"/>
          <w:sz w:val="18"/>
          <w:szCs w:val="18"/>
          <w:color w:val="auto"/>
        </w:rPr>
        <w:t>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Dividends will be treated as foreign-source income for foreign tax credit purposes, which may be relevant to U.S. Holders in calculating their foreign tax credit limitation. Foreign currency gain or loss generally will be treated as U.S.-source income or loss for foreign tax credit purposes.</w:t>
      </w:r>
    </w:p>
    <w:p>
      <w:pPr>
        <w:spacing w:after="0" w:line="12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As described under “Tax Considerations — Singaporean Tax Considerations — Dividend Distributions” and “Tax Considerations — South African Tax Considerations — Non-SA Tax Resident Shareholders,” Singapore and South Africa generally do not impose withholding taxes on dividends paid by the Company on ordinary shares held through DTC (and in the case of a Non-SA Tax Resident Shareholder, JSE, provided that procedural requirements to establish an exemption are met). If any non-U.S. jurisdiction imposes taxes on dividends, U.S. Holders should consult their tax advisers regarding the creditability or deductibility of any such foreign taxes (including any applicable limitations that may apply either generally or in their particular circumstances).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Ordinary Shares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capital gain or loss on a sale or other taxable disposition of ordinary shares, which will be long-term capital gain or loss if, at the time of the sale or disposition, the U.S. Holder has owned the ordinary shares for more than one year. The amount of gain or loss will equal the difference between the amount realized on the sale or disposition and the U.S. Holder’s tax basis in the ordinary shares disposed of, in each case as determined in U.S. dollars. A U.S. Holder’s gain or loss will generally be treated as U.S.-source income or loss for foreign tax credit purposes. U.S. Holders that sell ordinary shares for an amount denominated in a non-U.S. currency should consult their tax advisers regarding the exchange rate at which the amount received should be translated to U.S. dollars, and whether any U.S.-source foreign currency gain or loss may be required to be recognized as a result of the sale. Long-term capital gains recognized by non-corporate U.S. Holders are taxed at a rate that is lower than the rate applicable to ordinary income. The deductibility of capital losses is subject to limitations.</w:t>
      </w:r>
    </w:p>
    <w:p>
      <w:pPr>
        <w:spacing w:after="0" w:line="124"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As described under “Tax Considerations — Singaporean Tax Considerations — Gains on Disposal of our Ordinary Shares” and “Tax Considerations — South African Tax Considerations — Non-SA Tax Resident Shareholders,” Singapore and South Africa generally do not tax capital gains of non-resident investors from the sale of their ordinary shares. U.S. Holders should consult their tax advisers regarding the U.S. federal income tax consequences of the imposition of any non-U.S. taxes on dispositions of our ordinary shares.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162" w:lineRule="exact"/>
        <w:rPr>
          <w:sz w:val="20"/>
          <w:szCs w:val="20"/>
          <w:color w:val="auto"/>
        </w:rPr>
      </w:pPr>
    </w:p>
    <w:p>
      <w:pPr>
        <w:ind w:left="460" w:right="599" w:firstLine="432"/>
        <w:spacing w:after="0" w:line="257"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w:t>
      </w:r>
    </w:p>
    <w:p>
      <w:pPr>
        <w:spacing w:after="0" w:line="1" w:lineRule="exact"/>
        <w:rPr>
          <w:sz w:val="20"/>
          <w:szCs w:val="20"/>
          <w:color w:val="auto"/>
        </w:rPr>
      </w:pPr>
    </w:p>
    <w:p>
      <w:pPr>
        <w:ind w:left="460" w:right="579" w:hanging="6"/>
        <w:spacing w:after="0" w:line="260" w:lineRule="auto"/>
        <w:tabs>
          <w:tab w:leader="none" w:pos="7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its gross income consists of passive income. For purposes of the above calculations, a non-U.S. corporation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spacing w:after="0" w:line="256" w:lineRule="auto"/>
        <w:rPr>
          <w:sz w:val="20"/>
          <w:szCs w:val="20"/>
          <w:color w:val="auto"/>
        </w:rPr>
      </w:pPr>
      <w:r>
        <w:rPr>
          <w:rFonts w:ascii="Times New Roman" w:cs="Times New Roman" w:eastAsia="Times New Roman" w:hAnsi="Times New Roman"/>
          <w:sz w:val="18"/>
          <w:szCs w:val="18"/>
          <w:color w:val="auto"/>
        </w:rPr>
        <w:t>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 from the sale or exchange of investment property. Cash is generally a passive asset for these purposes. Goodwill and other intangible assets are generally characterized as active assets to the extent they are associated with business activities that produce active income.</w:t>
      </w:r>
    </w:p>
    <w:p>
      <w:pPr>
        <w:spacing w:after="0" w:line="120"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Based on the current and expected composition of our income and assets and the value of our assets, including the estimated value of our goodwill and certain other intangible assets, we do not expect to be a PFIC for our current taxable year or in the foreseeable future. However, our PFIC status for any taxable year is an annual factual determination that can be made only after the end of that year, and will depend on the composition of our income and assets and the value of our assets from time to time (including the value of our goodwill and certain other intangible assets,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and certain other intangible assets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uncertainties and the proper characterization of some of our income and assets is not entirely clear. Accordingly, there can be no assurance that we will not be a PFIC for our current or any future taxable year.</w:t>
      </w:r>
    </w:p>
    <w:p>
      <w:pPr>
        <w:spacing w:after="0" w:line="13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the U.S. Holders held such shares directly, even though the U.S. Holder will not receive any proceeds of those distributions or dispositions.</w:t>
      </w:r>
    </w:p>
    <w:p>
      <w:pPr>
        <w:spacing w:after="0" w:line="106"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owns ordinary shares, gain recognized by such U.S. Holder on a sale or other disposition (including certain pledges) of its ordinary shares will be allocated ratably over its holding period. The amounts allocated to the taxable year of the sale or disposition and to any year before we became a PFIC with respect to such U.S. Holder will be taxed as ordinary income. The amount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taxable year on its ordinary shares exceed 125% of the average of the annual distributions on the ordinary shares received during the preceding three taxable years or the U.S. Holder’s holding period, whichever is shorter, such excess distributions will be subject to taxation in the same manner. If we are a PFIC for any taxable year during which a U.S. Holder owns ordinary shares, we will generally continue to be treated as a PFIC with respect to the U.S. Holder for all succeeding taxable years during which the U.S. Holder owns the ordinary shares, even if we cease to meet the threshold requirements for PFIC status, unless the U.S. Holder makes a timely “deemed sale” election. If we are a PFIC for any taxable year, a mark-to-market election may be available, which will result in an alternative treatment of the ordinary shares. U.S. Holders should consult their tax advisers to determine whether any of these elections will be available or advisable, and, if so, what the consequences of the resulting alternative treatments will be in their particular circumstances.</w:t>
      </w:r>
    </w:p>
    <w:p>
      <w:pPr>
        <w:spacing w:after="0" w:line="12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 taxable year in which we pay a dividend or for the prior taxable year, the preferential tax rate described above with respect to dividends paid to certain non-corporate U.S. Holders will not apply.</w:t>
      </w:r>
    </w:p>
    <w:p>
      <w:pPr>
        <w:spacing w:after="0" w:line="108" w:lineRule="exact"/>
        <w:rPr>
          <w:sz w:val="20"/>
          <w:szCs w:val="20"/>
          <w:color w:val="auto"/>
        </w:rPr>
      </w:pPr>
    </w:p>
    <w:p>
      <w:pPr>
        <w:ind w:left="460" w:right="759" w:firstLine="432"/>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95" w:lineRule="exact"/>
        <w:rPr>
          <w:sz w:val="20"/>
          <w:szCs w:val="20"/>
          <w:color w:val="auto"/>
        </w:rPr>
      </w:pPr>
    </w:p>
    <w:p>
      <w:pPr>
        <w:ind w:left="460" w:right="779" w:firstLine="432"/>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ordinary shares, the U.S. Holder will generally be required to file annual reports on an Internal Revenue Service Form 8621. Substantial penalties and other adverse tax consequences may apply for failure to timely file such reports. U.S. Holders should consult their tax advisers regarding the determination of whether we are a PFIC for any taxable year and the potential application of the PFIC rules to their ownership of ordinary shares.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460" w:right="739" w:firstLine="432"/>
        <w:spacing w:after="0" w:line="276" w:lineRule="auto"/>
        <w:rPr>
          <w:sz w:val="20"/>
          <w:szCs w:val="20"/>
          <w:color w:val="auto"/>
        </w:rPr>
      </w:pPr>
      <w:r>
        <w:rPr>
          <w:rFonts w:ascii="Times New Roman" w:cs="Times New Roman" w:eastAsia="Times New Roman" w:hAnsi="Times New Roman"/>
          <w:sz w:val="17"/>
          <w:szCs w:val="17"/>
          <w:color w:val="auto"/>
        </w:rPr>
        <w:t>Payments of distributions and sales proceeds that are made within the United States or through certain U.S. related financial intermediaries may be subject to information reporting and backup withholding, unless</w:t>
      </w:r>
    </w:p>
    <w:p>
      <w:pPr>
        <w:spacing w:after="0" w:line="1" w:lineRule="exact"/>
        <w:rPr>
          <w:sz w:val="20"/>
          <w:szCs w:val="20"/>
          <w:color w:val="auto"/>
        </w:rPr>
      </w:pPr>
    </w:p>
    <w:p>
      <w:pPr>
        <w:ind w:left="460" w:right="559" w:hanging="6"/>
        <w:spacing w:after="0" w:line="271" w:lineRule="auto"/>
        <w:tabs>
          <w:tab w:leader="none" w:pos="67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 is a corporation or other “exempt recipient” (and establishes that status if required to do so) or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spacing w:after="0" w:line="106"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their ownership of ordinary shares or non-U.S. financial accounts through which ordinary shares are held, on Internal Revenue Service Form 8938. Substantial penalties and other tax consequences may apply for failure to timely file such reports. U.S. Holders should consult their tax advisers regarding their reporting obligations with respect to our ordinary shares.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among the Company, the selling shareholder and the underwriters named below, for whom UBS Securities LLC and William Blair &amp; Company, L.L.C. are acting as representatives, the underwriters have severally agreed to purchase, and the selling shareholder has agreed to sell to them, severally, the number of shares indicated below:</w:t>
      </w:r>
    </w:p>
    <w:p>
      <w:pPr>
        <w:sectPr>
          <w:pgSz w:w="11900" w:h="16838" w:orient="portrait"/>
          <w:cols w:equalWidth="0" w:num="1">
            <w:col w:w="9019"/>
          </w:cols>
          <w:pgMar w:left="1440" w:top="270" w:right="1440" w:bottom="1440" w:gutter="0" w:footer="0" w:header="0"/>
        </w:sect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60" w:lineRule="exact"/>
        <w:rPr>
          <w:sz w:val="20"/>
          <w:szCs w:val="20"/>
          <w:color w:val="auto"/>
        </w:rPr>
      </w:pPr>
    </w:p>
    <w:p>
      <w:pPr>
        <w:sectPr>
          <w:pgSz w:w="11900" w:h="16838" w:orient="portrait"/>
          <w:cols w:equalWidth="0" w:num="2">
            <w:col w:w="6820" w:space="720"/>
            <w:col w:w="14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Standard Bank of South Africa Limited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-119380</wp:posOffset>
            </wp:positionV>
            <wp:extent cx="514350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196850"/>
                    </a:xfrm>
                    <a:prstGeom prst="rect">
                      <a:avLst/>
                    </a:prstGeom>
                    <a:noFill/>
                  </pic:spPr>
                </pic:pic>
              </a:graphicData>
            </a:graphic>
          </wp:anchor>
        </w:drawing>
      </w:r>
    </w:p>
    <w:p>
      <w:pPr>
        <w:spacing w:after="0" w:line="259"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ordinary shares subject to their acceptance of the shares from the selling shareholder and subject to prior sale. The underwriting agreement provides that the obligations of the several underwriters to pay for and accept delivery of the ordinary shares offered by this prospectus supplement are subject to the approval of certain legal matters by their counsel and to certain other conditions. The underwriters are obligated to take and pay for all of the ordinary shares offered by this prospectus supplement if any such ordinary shares are taken. However, the underwriters are not required to take or pay for the ordinary shares covered by the underwriters’ over-allotment option described below.</w:t>
      </w:r>
    </w:p>
    <w:p>
      <w:pPr>
        <w:spacing w:after="0" w:line="124" w:lineRule="exact"/>
        <w:rPr>
          <w:sz w:val="20"/>
          <w:szCs w:val="20"/>
          <w:color w:val="auto"/>
        </w:rPr>
      </w:pPr>
    </w:p>
    <w:p>
      <w:pPr>
        <w:ind w:left="460" w:right="559" w:firstLine="432"/>
        <w:spacing w:after="0" w:line="276" w:lineRule="auto"/>
        <w:rPr>
          <w:sz w:val="20"/>
          <w:szCs w:val="20"/>
          <w:color w:val="auto"/>
        </w:rPr>
      </w:pPr>
      <w:r>
        <w:rPr>
          <w:rFonts w:ascii="Times New Roman" w:cs="Times New Roman" w:eastAsia="Times New Roman" w:hAnsi="Times New Roman"/>
          <w:sz w:val="17"/>
          <w:szCs w:val="17"/>
          <w:color w:val="auto"/>
        </w:rPr>
        <w:t>The underwriters initially propose to offer part of the ordinary shares directly to the public at the offering price listed on the cover page of this prospectus supplement and part to certain dealers at a price that represents</w:t>
      </w:r>
    </w:p>
    <w:p>
      <w:pPr>
        <w:spacing w:after="0" w:line="1" w:lineRule="exact"/>
        <w:rPr>
          <w:sz w:val="20"/>
          <w:szCs w:val="20"/>
          <w:color w:val="auto"/>
        </w:rPr>
      </w:pPr>
    </w:p>
    <w:p>
      <w:pPr>
        <w:ind w:left="460" w:right="579"/>
        <w:spacing w:after="0" w:line="255" w:lineRule="auto"/>
        <w:rPr>
          <w:sz w:val="20"/>
          <w:szCs w:val="20"/>
          <w:color w:val="auto"/>
        </w:rPr>
      </w:pPr>
      <w:r>
        <w:rPr>
          <w:rFonts w:ascii="Times New Roman" w:cs="Times New Roman" w:eastAsia="Times New Roman" w:hAnsi="Times New Roman"/>
          <w:sz w:val="18"/>
          <w:szCs w:val="18"/>
          <w:color w:val="auto"/>
        </w:rPr>
        <w:t>a concession not in excess of $ per share under the public offering price. After the initial offering of the ordinary shares, the offering price and other selling terms may from time to time be varied by the representatives.</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has granted to the underwriters an option, exercisable for 30 days from the date of</w:t>
      </w:r>
    </w:p>
    <w:p>
      <w:pPr>
        <w:spacing w:after="0" w:line="27" w:lineRule="exact"/>
        <w:rPr>
          <w:sz w:val="20"/>
          <w:szCs w:val="20"/>
          <w:color w:val="auto"/>
        </w:rPr>
      </w:pPr>
    </w:p>
    <w:p>
      <w:pPr>
        <w:ind w:left="460" w:right="659"/>
        <w:spacing w:after="0" w:line="251" w:lineRule="auto"/>
        <w:rPr>
          <w:sz w:val="20"/>
          <w:szCs w:val="20"/>
          <w:color w:val="auto"/>
        </w:rPr>
      </w:pPr>
      <w:r>
        <w:rPr>
          <w:rFonts w:ascii="Times New Roman" w:cs="Times New Roman" w:eastAsia="Times New Roman" w:hAnsi="Times New Roman"/>
          <w:sz w:val="18"/>
          <w:szCs w:val="18"/>
          <w:color w:val="auto"/>
        </w:rPr>
        <w:t>this prospectus supplement, to purchase up to additional ordinary shares (being a number of ordinary shares that generates $11.25 million in gross proceeds) at the public offering price listed on the cover page of this prospectus supplement, less underwriting discounts and commissions. The underwriters may exercise this option solely for the purpose of covering over-allotments, if any, made in connection with the offering of the ordinary shares offered by this prospectus supplement.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w:t>
      </w:r>
    </w:p>
    <w:p>
      <w:pPr>
        <w:spacing w:after="0" w:line="126" w:lineRule="exact"/>
        <w:rPr>
          <w:sz w:val="20"/>
          <w:szCs w:val="20"/>
          <w:color w:val="auto"/>
        </w:rPr>
      </w:pPr>
    </w:p>
    <w:p>
      <w:pPr>
        <w:ind w:left="460" w:right="499" w:firstLine="432"/>
        <w:spacing w:after="0" w:line="276" w:lineRule="auto"/>
        <w:rPr>
          <w:sz w:val="20"/>
          <w:szCs w:val="20"/>
          <w:color w:val="auto"/>
        </w:rPr>
      </w:pPr>
      <w:r>
        <w:rPr>
          <w:rFonts w:ascii="Times New Roman" w:cs="Times New Roman" w:eastAsia="Times New Roman" w:hAnsi="Times New Roman"/>
          <w:sz w:val="17"/>
          <w:szCs w:val="17"/>
          <w:color w:val="auto"/>
        </w:rPr>
        <w:t>The following table shows the per share and total public offering price, underwriting discounts and commissions, and proceeds before expenses to the selling shareholder. These amounts are shown assuming both</w:t>
      </w:r>
    </w:p>
    <w:p>
      <w:pPr>
        <w:spacing w:after="0" w:line="1" w:lineRule="exact"/>
        <w:rPr>
          <w:sz w:val="20"/>
          <w:szCs w:val="20"/>
          <w:color w:val="auto"/>
        </w:rPr>
      </w:pPr>
    </w:p>
    <w:p>
      <w:pPr>
        <w:ind w:left="460" w:right="599"/>
        <w:spacing w:after="0" w:line="260" w:lineRule="auto"/>
        <w:rPr>
          <w:sz w:val="20"/>
          <w:szCs w:val="20"/>
          <w:color w:val="auto"/>
        </w:rPr>
      </w:pPr>
      <w:r>
        <w:rPr>
          <w:rFonts w:ascii="Times New Roman" w:cs="Times New Roman" w:eastAsia="Times New Roman" w:hAnsi="Times New Roman"/>
          <w:sz w:val="18"/>
          <w:szCs w:val="18"/>
          <w:color w:val="auto"/>
        </w:rPr>
        <w:t>no exercise and full exercise of the underwriters’ option to purchase up to an additional ordinary shares (being a number of ordinary shares that generates $11.25 million in gross proceeds).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spacing w:after="0"/>
              <w:rPr>
                <w:sz w:val="18"/>
                <w:szCs w:val="18"/>
                <w:color w:val="auto"/>
              </w:rPr>
            </w:pPr>
          </w:p>
        </w:tc>
      </w:tr>
      <w:tr>
        <w:trPr>
          <w:trHeight w:val="47"/>
        </w:trPr>
        <w:tc>
          <w:tcPr>
            <w:tcW w:w="43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80"/>
        </w:trPr>
        <w:tc>
          <w:tcPr>
            <w:tcW w:w="4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jc w:val="right"/>
              <w:ind w:right="434"/>
              <w:spacing w:after="0" w:line="181" w:lineRule="exact"/>
              <w:rPr>
                <w:sz w:val="20"/>
                <w:szCs w:val="20"/>
                <w:color w:val="auto"/>
              </w:rPr>
            </w:pPr>
            <w:r>
              <w:rPr>
                <w:rFonts w:ascii="Times New Roman" w:cs="Times New Roman" w:eastAsia="Times New Roman" w:hAnsi="Times New Roman"/>
                <w:sz w:val="16"/>
                <w:szCs w:val="16"/>
                <w:b w:val="1"/>
                <w:bCs w:val="1"/>
                <w:color w:val="auto"/>
              </w:rPr>
              <w:t>Full</w:t>
            </w:r>
          </w:p>
        </w:tc>
      </w:tr>
      <w:tr>
        <w:trPr>
          <w:trHeight w:val="212"/>
        </w:trPr>
        <w:tc>
          <w:tcPr>
            <w:tcW w:w="4360" w:type="dxa"/>
            <w:vAlign w:val="bottom"/>
          </w:tcPr>
          <w:p>
            <w:pPr>
              <w:spacing w:after="0"/>
              <w:rPr>
                <w:sz w:val="18"/>
                <w:szCs w:val="18"/>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No Exercise</w:t>
            </w:r>
          </w:p>
        </w:tc>
        <w:tc>
          <w:tcPr>
            <w:tcW w:w="1280" w:type="dxa"/>
            <w:vAlign w:val="bottom"/>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Exercise</w:t>
            </w:r>
          </w:p>
        </w:tc>
      </w:tr>
      <w:tr>
        <w:trPr>
          <w:trHeight w:val="47"/>
        </w:trPr>
        <w:tc>
          <w:tcPr>
            <w:tcW w:w="436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57"/>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r>
      <w:tr>
        <w:trPr>
          <w:trHeight w:val="198"/>
        </w:trPr>
        <w:tc>
          <w:tcPr>
            <w:tcW w:w="4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discounts and commissions to be paid by the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shareholder</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80" w:type="dxa"/>
            <w:vAlign w:val="bottom"/>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r>
      <w:tr>
        <w:trPr>
          <w:trHeight w:val="41"/>
        </w:trPr>
        <w:tc>
          <w:tcPr>
            <w:tcW w:w="4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3"/>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shareholder</w:t>
            </w: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r>
      <w:tr>
        <w:trPr>
          <w:trHeight w:val="405"/>
        </w:trPr>
        <w:tc>
          <w:tcPr>
            <w:tcW w:w="550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The estimated offering expenses payable by us are approximately $</w:t>
            </w:r>
          </w:p>
        </w:tc>
        <w:tc>
          <w:tcPr>
            <w:tcW w:w="100" w:type="dxa"/>
            <w:vAlign w:val="bottom"/>
          </w:tcPr>
          <w:p>
            <w:pPr>
              <w:spacing w:after="0"/>
              <w:rPr>
                <w:sz w:val="24"/>
                <w:szCs w:val="24"/>
                <w:color w:val="auto"/>
              </w:rPr>
            </w:pPr>
          </w:p>
        </w:tc>
        <w:tc>
          <w:tcPr>
            <w:tcW w:w="2500" w:type="dxa"/>
            <w:vAlign w:val="bottom"/>
            <w:gridSpan w:val="3"/>
          </w:tcPr>
          <w:p>
            <w:pPr>
              <w:jc w:val="right"/>
              <w:ind w:right="434"/>
              <w:spacing w:after="0"/>
              <w:rPr>
                <w:sz w:val="20"/>
                <w:szCs w:val="20"/>
                <w:color w:val="auto"/>
              </w:rPr>
            </w:pPr>
            <w:r>
              <w:rPr>
                <w:rFonts w:ascii="Times New Roman" w:cs="Times New Roman" w:eastAsia="Times New Roman" w:hAnsi="Times New Roman"/>
                <w:sz w:val="18"/>
                <w:szCs w:val="18"/>
                <w:color w:val="auto"/>
              </w:rPr>
              <w:t>. We have agreed to pay</w:t>
            </w:r>
          </w:p>
        </w:tc>
      </w:tr>
    </w:tbl>
    <w:p>
      <w:pPr>
        <w:ind w:left="460" w:right="479"/>
        <w:spacing w:after="0" w:line="255" w:lineRule="auto"/>
        <w:rPr>
          <w:sz w:val="20"/>
          <w:szCs w:val="20"/>
          <w:color w:val="auto"/>
        </w:rPr>
      </w:pPr>
      <w:r>
        <w:rPr>
          <w:rFonts w:ascii="Times New Roman" w:cs="Times New Roman" w:eastAsia="Times New Roman" w:hAnsi="Times New Roman"/>
          <w:sz w:val="18"/>
          <w:szCs w:val="18"/>
          <w:color w:val="auto"/>
        </w:rPr>
        <w:t>certain expenses incurred by the selling shareholder in connection with this offering, other than the underwriting discounts and commissions. We have also agreed to reimburse the underwriters for certain of their expenses in an amount up to $35,000.</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ordinary shares offered by them.</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ordinary shares are listed on the Nasdaq under the symbol “KARO.”</w:t>
      </w:r>
    </w:p>
    <w:p>
      <w:pPr>
        <w:spacing w:after="0" w:line="158"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the selling shareholder have agreed that, without the prior written consent of UBS Securities LLC on behalf of the underwriters, we and they will not, and will not publicly disclose an intention to, during the period ending 90 days after the date of this prospectus supplement (the “restricted period”):</w:t>
      </w:r>
    </w:p>
    <w:p>
      <w:pPr>
        <w:spacing w:after="0" w:line="99" w:lineRule="exact"/>
        <w:rPr>
          <w:sz w:val="20"/>
          <w:szCs w:val="20"/>
          <w:color w:val="auto"/>
        </w:rPr>
      </w:pPr>
    </w:p>
    <w:p>
      <w:pPr>
        <w:ind w:left="1320" w:right="559" w:hanging="434"/>
        <w:spacing w:after="0" w:line="261"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ordinary shares or any securities convertible into or exercisable or exchangeable for our ordinary shares;</w:t>
      </w:r>
    </w:p>
    <w:p>
      <w:pPr>
        <w:spacing w:after="0" w:line="112"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of our ordinary shares or any securities convertible into or exercisable or exchangeable for our ordinary shares; or</w:t>
      </w:r>
    </w:p>
    <w:p>
      <w:pPr>
        <w:spacing w:after="0" w:line="108" w:lineRule="exact"/>
        <w:rPr>
          <w:rFonts w:ascii="Times New Roman" w:cs="Times New Roman" w:eastAsia="Times New Roman" w:hAnsi="Times New Roman"/>
          <w:sz w:val="18"/>
          <w:szCs w:val="18"/>
          <w:color w:val="auto"/>
        </w:rPr>
      </w:pPr>
    </w:p>
    <w:p>
      <w:pPr>
        <w:ind w:left="1320" w:right="779" w:hanging="434"/>
        <w:spacing w:after="0" w:line="282" w:lineRule="auto"/>
        <w:tabs>
          <w:tab w:leader="none" w:pos="1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our ordinary shares.</w:t>
      </w:r>
    </w:p>
    <w:p>
      <w:pPr>
        <w:spacing w:after="0" w:line="81"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our ordinary shares or such other securities, in cash or otherwise. In addition, we and each such person agrees that, without the prior written consent of UBS Securities LLC on behalf of the underwriters, we or such other person will not, during the restricted period, make any demand for, or exercise any right with respect to, the registration of any of our ordinary shares or any security convertible into or exercisable or exchangeable for our ordinary shares.</w:t>
      </w:r>
    </w:p>
    <w:p>
      <w:pPr>
        <w:spacing w:after="0" w:line="11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58" w:lineRule="exact"/>
        <w:rPr>
          <w:sz w:val="20"/>
          <w:szCs w:val="20"/>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ordinary shares to the underwriters;</w:t>
      </w:r>
    </w:p>
    <w:p>
      <w:pPr>
        <w:spacing w:after="0" w:line="144"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ordinary shares upon the exercise of an option or a warrant or the conversion of a security outstanding on the date of this prospectus supplement of which the underwriters have been advised in writing;</w:t>
      </w:r>
    </w:p>
    <w:p>
      <w:pPr>
        <w:spacing w:after="0" w:line="108"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up to 5% of the outstanding ordinary shares following this offering to fund an acquisition, joint venture, or other similar transaction; provided that the recipient of such ordinary shares enter into lock-up restrictions no less restrictive than to which we have agreed;</w:t>
      </w:r>
    </w:p>
    <w:p>
      <w:pPr>
        <w:spacing w:after="0" w:line="108" w:lineRule="exact"/>
        <w:rPr>
          <w:rFonts w:ascii="Times New Roman" w:cs="Times New Roman" w:eastAsia="Times New Roman" w:hAnsi="Times New Roman"/>
          <w:sz w:val="18"/>
          <w:szCs w:val="18"/>
          <w:color w:val="auto"/>
        </w:rPr>
      </w:pPr>
    </w:p>
    <w:p>
      <w:pPr>
        <w:jc w:val="both"/>
        <w:ind w:left="1320" w:right="599" w:hanging="434"/>
        <w:spacing w:after="0" w:line="289" w:lineRule="auto"/>
        <w:tabs>
          <w:tab w:leader="none" w:pos="13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tender of ordinary shares by any person other than us in connection with a bona fide third party tender offer, merger, consolidation or similar transaction that is approved by our board of directors and made to all holders in which a purchaser acquires at least 90% of the Company’s voting stock;</w:t>
      </w:r>
    </w:p>
    <w:p>
      <w:pPr>
        <w:spacing w:after="0" w:line="76" w:lineRule="exact"/>
        <w:rPr>
          <w:rFonts w:ascii="Times New Roman" w:cs="Times New Roman" w:eastAsia="Times New Roman" w:hAnsi="Times New Roman"/>
          <w:sz w:val="17"/>
          <w:szCs w:val="17"/>
          <w:color w:val="auto"/>
        </w:rPr>
      </w:pPr>
    </w:p>
    <w:p>
      <w:pPr>
        <w:ind w:left="1320" w:right="599" w:hanging="434"/>
        <w:spacing w:after="0" w:line="258"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our ordinary shares or other securities acquired in open market transactions after the completion of the offering of our ordinary shares; provided that no filing under the Exchange Act (or the equivalent thereof in non-U.S. jurisdictions), is required or voluntarily made in connection with subsequent sales of the ordinary shares or other securities acquired in such open market transactions;</w:t>
      </w:r>
    </w:p>
    <w:p>
      <w:pPr>
        <w:spacing w:after="0" w:line="115" w:lineRule="exact"/>
        <w:rPr>
          <w:rFonts w:ascii="Times New Roman" w:cs="Times New Roman" w:eastAsia="Times New Roman" w:hAnsi="Times New Roman"/>
          <w:sz w:val="18"/>
          <w:szCs w:val="18"/>
          <w:color w:val="auto"/>
        </w:rPr>
      </w:pPr>
    </w:p>
    <w:p>
      <w:pPr>
        <w:ind w:left="1320" w:right="61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as a bona fide gift, for bona fide estate planning purposes, to an immediate family member, or to any trust for the direct or indirect benefit of the transferor or their immediate family;</w:t>
      </w:r>
    </w:p>
    <w:p>
      <w:pPr>
        <w:spacing w:after="0" w:line="108" w:lineRule="exact"/>
        <w:rPr>
          <w:rFonts w:ascii="Times New Roman" w:cs="Times New Roman" w:eastAsia="Times New Roman" w:hAnsi="Times New Roman"/>
          <w:sz w:val="18"/>
          <w:szCs w:val="18"/>
          <w:color w:val="auto"/>
        </w:rPr>
      </w:pPr>
    </w:p>
    <w:p>
      <w:pPr>
        <w:ind w:left="1320" w:right="659" w:hanging="434"/>
        <w:spacing w:after="0" w:line="255"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our ordinary shares, provided that (i) such plan does not provide for the transfer of our ordinary shares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our ordinary shares may be made under such plan during the restricted period; or</w:t>
      </w:r>
    </w:p>
    <w:p>
      <w:pPr>
        <w:spacing w:after="0" w:line="10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exceptions.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UBS Securities LLC, in its sole discretion, may release the ordinary shares and other securities subject to the lock-up agreements described above in whole or in part at any time.</w:t>
      </w:r>
    </w:p>
    <w:p>
      <w:pPr>
        <w:spacing w:after="0" w:line="94"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order to facilitate the offering of the ordinary shares, the underwriters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spacing w:after="0" w:line="127"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We, the selling shareholder and the underwriters have agreed to indemnify each other against certain liabilities, including liabilities under the Securities Act.</w:t>
      </w:r>
    </w:p>
    <w:p>
      <w:pPr>
        <w:spacing w:after="0" w:line="8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ordinary shares to underwriters for sale to their online brokerage account holders. Internet distributions will be allocated by the representatives to underwriters that may make Internet distributions on the same basis as other allocations.</w:t>
      </w:r>
    </w:p>
    <w:p>
      <w:pPr>
        <w:spacing w:after="0" w:line="116"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11"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The Standard Bank of South Africa Limited is not a U.S. registered broker-dealer and it will not effect any offers or sales of any ordinary shares in the United States unless it is through one or more U.S. registered broker-dealers as permitted by the regulations of FINRA.</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ordinary shares have been offered or will be offered pursuant to the offering contemplated by this prospectus supplement to the public in that Relevant State prior to the publication of a prospectus in relation to the ordinary shares which has been approved by the competent authority in that Relevant State or, where appropriate, approved in another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spacing w:after="0" w:line="266" w:lineRule="auto"/>
        <w:rPr>
          <w:sz w:val="20"/>
          <w:szCs w:val="20"/>
          <w:color w:val="auto"/>
        </w:rPr>
      </w:pPr>
      <w:r>
        <w:rPr>
          <w:rFonts w:ascii="Times New Roman" w:cs="Times New Roman" w:eastAsia="Times New Roman" w:hAnsi="Times New Roman"/>
          <w:sz w:val="18"/>
          <w:szCs w:val="18"/>
          <w:color w:val="auto"/>
        </w:rPr>
        <w:t>Relevant State and notified to the competent authority in that Relevant State, all in accordance with the Prospectus Regulation, except that offers of ordinary shares may be made to the public in that Relevant State at any time under the following exemptions under the Prospectus Regulation:</w:t>
      </w:r>
    </w:p>
    <w:p>
      <w:pPr>
        <w:spacing w:after="0" w:line="108" w:lineRule="exact"/>
        <w:rPr>
          <w:sz w:val="20"/>
          <w:szCs w:val="20"/>
          <w:color w:val="auto"/>
        </w:rPr>
      </w:pPr>
    </w:p>
    <w:p>
      <w:pPr>
        <w:ind w:left="1320" w:right="1159" w:hanging="434"/>
        <w:spacing w:after="0" w:line="282" w:lineRule="auto"/>
        <w:tabs>
          <w:tab w:leader="none" w:pos="12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94" w:lineRule="exact"/>
        <w:rPr>
          <w:rFonts w:ascii="Times New Roman" w:cs="Times New Roman" w:eastAsia="Times New Roman" w:hAnsi="Times New Roman"/>
          <w:sz w:val="18"/>
          <w:szCs w:val="18"/>
          <w:color w:val="auto"/>
        </w:rPr>
      </w:pPr>
    </w:p>
    <w:p>
      <w:pPr>
        <w:jc w:val="both"/>
        <w:ind w:left="1320" w:right="619" w:hanging="434"/>
        <w:spacing w:after="0" w:line="266" w:lineRule="auto"/>
        <w:tabs>
          <w:tab w:leader="none" w:pos="12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94"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ind w:left="460" w:right="519"/>
        <w:spacing w:after="0" w:line="266"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the Company or any underwriter to publish a prospectus pursuant to Article 3 of the Prospectus Regulation or supplement a prospectus pursuant to Article 23 of the Prospectus Regulation.</w:t>
      </w:r>
    </w:p>
    <w:p>
      <w:pPr>
        <w:spacing w:after="0" w:line="108"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ordinary shares or to whom any offer is made will be deemed to have represented, acknowledged and agreed to and with the Company and the underwriters that it is a qualified investor within the meaning of the Prospectus Regulation.</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5(1) of the Prospectus Regulation, each such financial intermediary will be deemed to have represented,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acknowledged and agreed that the ordinary shares acquired by it in the offer have not been acquired on a non-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discretionary basis on behalf of, nor have they been acquired with a view to their offer or resale to, persons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circumstances which may give rise to an offer to the public other than their offer or resale in a Relevant State to</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qualified investors, in circumstances in which the prior consent of the representatives has been obtained to each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proposed offer or resale.</w:t>
      </w:r>
    </w:p>
    <w:p>
      <w:pPr>
        <w:spacing w:after="0" w:line="139"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94"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ordinary shares in any Relevant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10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158"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62" w:lineRule="exact"/>
        <w:rPr>
          <w:sz w:val="20"/>
          <w:szCs w:val="20"/>
          <w:color w:val="auto"/>
        </w:rPr>
      </w:pPr>
    </w:p>
    <w:p>
      <w:pPr>
        <w:ind w:left="460" w:right="699" w:firstLine="432"/>
        <w:spacing w:after="0" w:line="254" w:lineRule="auto"/>
        <w:rPr>
          <w:sz w:val="20"/>
          <w:szCs w:val="20"/>
          <w:color w:val="auto"/>
        </w:rPr>
      </w:pPr>
      <w:r>
        <w:rPr>
          <w:rFonts w:ascii="Times New Roman" w:cs="Times New Roman" w:eastAsia="Times New Roman" w:hAnsi="Times New Roman"/>
          <w:sz w:val="18"/>
          <w:szCs w:val="18"/>
          <w:color w:val="auto"/>
        </w:rPr>
        <w:t>In relation to the United Kingdom (“UK”), no ordinary shares have been offered or will be offered pursuant to the offering contemplated by this prospectus supplement and the accompanying prospectus to the public in the UK prior to the publication of a prospectus in relation to the ordinary shares which has been approved by the Financial Conduct Authority in the UK in accordance with Regulation (EU) 2017/1129 as it forms part of UK domestic law by virtue of the European Union (Withdrawal) Act 2018 (the “UK Prospectus Regulation”) and the Financial Services and Markets Act 2000 (the “FSMA”), except that offers of ordinary shares may be made to the public in the UK at any time under the following exemptions under the UK Prospectus Regulation and the FSMA:</w:t>
      </w:r>
    </w:p>
    <w:p>
      <w:pPr>
        <w:spacing w:after="0" w:line="111" w:lineRule="exact"/>
        <w:rPr>
          <w:sz w:val="20"/>
          <w:szCs w:val="20"/>
          <w:color w:val="auto"/>
        </w:rPr>
      </w:pPr>
    </w:p>
    <w:p>
      <w:pPr>
        <w:ind w:left="1320" w:right="859" w:hanging="434"/>
        <w:spacing w:after="0" w:line="282" w:lineRule="auto"/>
        <w:tabs>
          <w:tab w:leader="none" w:pos="12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94" w:lineRule="exact"/>
        <w:rPr>
          <w:rFonts w:ascii="Times New Roman" w:cs="Times New Roman" w:eastAsia="Times New Roman" w:hAnsi="Times New Roman"/>
          <w:sz w:val="18"/>
          <w:szCs w:val="18"/>
          <w:color w:val="auto"/>
        </w:rPr>
      </w:pPr>
    </w:p>
    <w:p>
      <w:pPr>
        <w:jc w:val="both"/>
        <w:ind w:left="1320" w:right="679" w:hanging="434"/>
        <w:spacing w:after="0" w:line="266" w:lineRule="auto"/>
        <w:tabs>
          <w:tab w:leader="none" w:pos="13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108"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66"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the Issuer or any underwriter to publish a prospectus pursuant to Section 85 of the FSMA or Article 3 of the UK Prospectus Regulation or supplement a prospectus pursuant to Article 23 of the UK Prospectus Regulation.</w:t>
      </w:r>
    </w:p>
    <w:p>
      <w:pPr>
        <w:spacing w:after="0" w:line="108" w:lineRule="exact"/>
        <w:rPr>
          <w:sz w:val="20"/>
          <w:szCs w:val="20"/>
          <w:color w:val="auto"/>
        </w:rPr>
      </w:pPr>
    </w:p>
    <w:p>
      <w:pPr>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Each person in the UK who initially acquires any ordinary shares or to whom any offer is made will be deemed to have represented, acknowledged and agreed to and with the Company and the underwriters that it is a qualified investor within the meaning of the UK Prospectus Regulation.</w:t>
      </w:r>
    </w:p>
    <w:p>
      <w:pPr>
        <w:spacing w:after="0" w:line="108"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 Article 5(1) of the UK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08"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94" w:lineRule="exact"/>
        <w:rPr>
          <w:sz w:val="20"/>
          <w:szCs w:val="20"/>
          <w:color w:val="auto"/>
        </w:rPr>
      </w:pPr>
    </w:p>
    <w:p>
      <w:pPr>
        <w:jc w:val="both"/>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ordinary shares in the UK means the communication in any form and by any means of sufficient information on the terms of the offer and any ordinary shares to be offered so as to enable an investor to decide to purchase or subscribe for any ordinary shares.</w:t>
      </w:r>
    </w:p>
    <w:p>
      <w:pPr>
        <w:spacing w:after="0" w:line="112" w:lineRule="exact"/>
        <w:rPr>
          <w:sz w:val="20"/>
          <w:szCs w:val="20"/>
          <w:color w:val="auto"/>
        </w:rPr>
      </w:pPr>
    </w:p>
    <w:p>
      <w:pPr>
        <w:jc w:val="both"/>
        <w:ind w:left="460" w:right="63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95"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6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ordinary shares may not be publicly offered in Switzerland and will not be listed on the SIX Swiss Exchange (“SIX”) or on any other stock exchange or regulated trading facility in Switzerland. This prospectus supplement and the accompanying prospectus do not constitute prospectuses within the meaning of, and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ordinary shares or the offering may be publicly distributed or otherwise made publicly available in Switzerland.</w:t>
      </w:r>
    </w:p>
    <w:p>
      <w:pPr>
        <w:spacing w:after="0" w:line="12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Neither this prospectus supplement and the accompanying prospectus nor any other offering or marketing material relating to the offering, the Company or the ordinary shares has been or will be filed with or approved by any Swiss regulatory authority. In particular, this prospectus supplement and the accompanying prospectus will not be filed with, and the offer of ordinary shares will not be supervised by, the Swiss Financial Market Supervisory Authority FINMA (FINMA), and the offer of ordinary shares has not been and will not be authorized under the Swiss Federal Act on Collective Investment Schemes (“CISA”). The investor protection afforded to acquirers of interests in collective investment schemes under the CISA does not extend to acquirers of ordinary shares.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48" w:lineRule="exact"/>
        <w:rPr>
          <w:sz w:val="20"/>
          <w:szCs w:val="20"/>
          <w:color w:val="auto"/>
        </w:rPr>
      </w:pPr>
    </w:p>
    <w:p>
      <w:pPr>
        <w:ind w:left="460" w:right="479" w:firstLine="432"/>
        <w:spacing w:after="0" w:line="269"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 of the DFSA. They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ordinary shares to which this prospectus supplement and the accompanying prospectus relate may be illiquid and/or subject to restrictions on their resale. Prospective purchasers of the ordinary shares offered should conduct their own due diligence on the ordinary shares. If you do not understand the contents of this prospectus supplement and the accompanying prospectus you should consult an authorized financial advisor.</w:t>
      </w:r>
    </w:p>
    <w:p>
      <w:pPr>
        <w:spacing w:after="0" w:line="114"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relation to its use in the Dubai International Financial Centre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ordinary shares may not be offered or sold directly or indirectly to the public in the DIFC.</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w:t>
      </w:r>
    </w:p>
    <w:p>
      <w:pPr>
        <w:spacing w:after="0" w:line="144" w:lineRule="exact"/>
        <w:rPr>
          <w:sz w:val="20"/>
          <w:szCs w:val="20"/>
          <w:color w:val="auto"/>
        </w:rPr>
      </w:pPr>
    </w:p>
    <w:p>
      <w:pPr>
        <w:ind w:left="1320" w:right="799" w:hanging="434"/>
        <w:spacing w:after="0" w:line="282"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constitute a disclosure document or a prospectus under Chapter 6D.2 of the Corporations Act 2001 (Cth) (“Corporations Act”);</w:t>
      </w:r>
    </w:p>
    <w:p>
      <w:pPr>
        <w:spacing w:after="0" w:line="94" w:lineRule="exact"/>
        <w:rPr>
          <w:rFonts w:ascii="Times New Roman" w:cs="Times New Roman" w:eastAsia="Times New Roman" w:hAnsi="Times New Roman"/>
          <w:sz w:val="18"/>
          <w:szCs w:val="18"/>
          <w:color w:val="auto"/>
        </w:rPr>
      </w:pPr>
    </w:p>
    <w:p>
      <w:pPr>
        <w:ind w:left="1320" w:right="499" w:hanging="434"/>
        <w:spacing w:after="0" w:line="261"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12" w:lineRule="exact"/>
        <w:rPr>
          <w:rFonts w:ascii="Times New Roman" w:cs="Times New Roman" w:eastAsia="Times New Roman" w:hAnsi="Times New Roman"/>
          <w:sz w:val="18"/>
          <w:szCs w:val="18"/>
          <w:color w:val="auto"/>
        </w:rPr>
      </w:pPr>
    </w:p>
    <w:p>
      <w:pPr>
        <w:ind w:left="1320" w:right="699" w:hanging="434"/>
        <w:spacing w:after="0" w:line="266" w:lineRule="auto"/>
        <w:tabs>
          <w:tab w:leader="none" w:pos="13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95"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ordinary shares may not be directly or indirectly offered for subscription or purchased or sold, and no invitations to subscribe for or buy the ordinary shares may be issued, and no draft or definitive offering memorandum, advertisement or other offering material relating to any ordinary shares may be distributed in Australia, except where disclosure to investors is not required under Chapter 6D of the Corporations Act or is otherwise in compliance with all applicable Australian laws and regulations. By submitting an application for the ordinary shares, you represent and warrant to us that you are an Exempt Investor.</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 any offering of ordinary shares under this prospectus supplement and the accompanying prospectus will be made without disclosure in Australia under Chapter 6D.2 of the Corporations Act, the offer of those ordinary shares for resale in Australia within 12 months may, under section 707 of the Corporations Act, require disclosure to investors under Chapter 6D.2 if none of the exemptions in section 708 applies to that resale. By applying for the ordinary shares you undertake to us that you will not, for a period of 12 months from the date of issue of the ordinary shares, offer, transfer, assign or otherwise alienate those ordinary shares to investors in Australia except in circumstances where disclosure to investors is not required under Chapter 6D.2 of the Corporations Act or where a compliant disclosure document is prepared and lodged with ASIC.</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62"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The ordinary shares have not been offered or sold and will not be offered or sold in Hong Kong, by means of any document, other than (a) to “professional investors” as defined in the Securities and Futures Ordinance (Cap. 571 of the Laws of Hong Kong) (“SFO”) of Hong Kong and any rules made under that thereunder; or</w:t>
      </w:r>
    </w:p>
    <w:p>
      <w:pPr>
        <w:spacing w:after="0" w:line="2" w:lineRule="exact"/>
        <w:rPr>
          <w:sz w:val="20"/>
          <w:szCs w:val="20"/>
          <w:color w:val="auto"/>
        </w:rPr>
      </w:pPr>
    </w:p>
    <w:p>
      <w:pPr>
        <w:ind w:left="460" w:right="1279" w:hanging="6"/>
        <w:spacing w:after="0" w:line="260" w:lineRule="auto"/>
        <w:tabs>
          <w:tab w:leader="none" w:pos="7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as defined in the Companies (Winding</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79"/>
        <w:spacing w:after="0" w:line="254" w:lineRule="auto"/>
        <w:rPr>
          <w:sz w:val="20"/>
          <w:szCs w:val="20"/>
          <w:color w:val="auto"/>
        </w:rPr>
      </w:pPr>
      <w:r>
        <w:rPr>
          <w:rFonts w:ascii="Times New Roman" w:cs="Times New Roman" w:eastAsia="Times New Roman" w:hAnsi="Times New Roman"/>
          <w:sz w:val="18"/>
          <w:szCs w:val="18"/>
          <w:color w:val="auto"/>
        </w:rPr>
        <w:t>Up and Miscellaneous Provisions) Ordinance (Cap. 32) of Hong Kong (“CO”) or which do not constitute an offer to the public within the meaning of the CO. No advertisement, invitation or document relating to the ordinary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ordinary shares which are or are intended to be disposed of only to persons outside Hong Kong or only to “professional investors” as defined in the SFO and any rules made thereunder.</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ordinary shares have not been and will not be registered pursuant to Article 4, Paragraph 1 of the Financial Instruments and Exchange Act. Accordingly, none of the ordinary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Please refer to the section “Notice to Prospective Investors in Singapore” on page S-iii of this prospectus supplement for the relevant restrictions.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48"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ordinary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spacing w:after="0" w:line="120"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14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ordinary shares in South Africa. Accordingly, this prospectus supplement and the accompanying prospectus do not, nor are they intended to, constitute a “registered prospectus” (as that term is defined in the South African Companies Act) prepared and registered under the South African Companies Act and have not been approved by, and/or filed with, the South African Companies and Intellectual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Property Commission or any other regulatory authority in South Africa. The ordinary shares are not offered, and the offer shall not be transferred, sold, renounced or delivered, in South Africa or to a person with an address in South Africa, unless one or other of the following exemptions stipulated in section 96 (1) applies:</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96 (1) (a)  the offer, transfer, sale, renunciation or delivery is to:</w:t>
      </w:r>
    </w:p>
    <w:p>
      <w:pPr>
        <w:spacing w:after="0" w:line="212" w:lineRule="exact"/>
        <w:rPr>
          <w:sz w:val="20"/>
          <w:szCs w:val="20"/>
          <w:color w:val="auto"/>
        </w:rPr>
      </w:pPr>
    </w:p>
    <w:p>
      <w:pPr>
        <w:ind w:left="2280" w:right="919" w:hanging="436"/>
        <w:spacing w:after="0" w:line="282" w:lineRule="auto"/>
        <w:tabs>
          <w:tab w:leader="none" w:pos="22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134" w:lineRule="exact"/>
        <w:rPr>
          <w:rFonts w:ascii="Times New Roman" w:cs="Times New Roman" w:eastAsia="Times New Roman" w:hAnsi="Times New Roman"/>
          <w:sz w:val="18"/>
          <w:szCs w:val="18"/>
          <w:color w:val="auto"/>
        </w:rPr>
      </w:pPr>
    </w:p>
    <w:p>
      <w:pPr>
        <w:ind w:left="2240" w:hanging="396"/>
        <w:spacing w:after="0"/>
        <w:tabs>
          <w:tab w:leader="none" w:pos="2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198" w:lineRule="exact"/>
        <w:rPr>
          <w:rFonts w:ascii="Times New Roman" w:cs="Times New Roman" w:eastAsia="Times New Roman" w:hAnsi="Times New Roman"/>
          <w:sz w:val="18"/>
          <w:szCs w:val="18"/>
          <w:color w:val="auto"/>
        </w:rPr>
      </w:pPr>
    </w:p>
    <w:p>
      <w:pPr>
        <w:ind w:left="2240" w:hanging="396"/>
        <w:spacing w:after="0"/>
        <w:tabs>
          <w:tab w:leader="none" w:pos="2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w:t>
      </w:r>
    </w:p>
    <w:p>
      <w:pPr>
        <w:spacing w:after="0" w:line="198" w:lineRule="exact"/>
        <w:rPr>
          <w:rFonts w:ascii="Times New Roman" w:cs="Times New Roman" w:eastAsia="Times New Roman" w:hAnsi="Times New Roman"/>
          <w:sz w:val="18"/>
          <w:szCs w:val="18"/>
          <w:color w:val="auto"/>
        </w:rPr>
      </w:pPr>
    </w:p>
    <w:p>
      <w:pPr>
        <w:ind w:left="2240" w:hanging="396"/>
        <w:spacing w:after="0"/>
        <w:tabs>
          <w:tab w:leader="none" w:pos="2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financial service providers under South African law;</w:t>
      </w:r>
    </w:p>
    <w:p>
      <w:pPr>
        <w:spacing w:after="0" w:line="198" w:lineRule="exact"/>
        <w:rPr>
          <w:rFonts w:ascii="Times New Roman" w:cs="Times New Roman" w:eastAsia="Times New Roman" w:hAnsi="Times New Roman"/>
          <w:sz w:val="18"/>
          <w:szCs w:val="18"/>
          <w:color w:val="auto"/>
        </w:rPr>
      </w:pPr>
    </w:p>
    <w:p>
      <w:pPr>
        <w:ind w:left="2220" w:hanging="376"/>
        <w:spacing w:after="0"/>
        <w:tabs>
          <w:tab w:leader="none" w:pos="22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recognized as such under South African law;</w:t>
      </w:r>
    </w:p>
    <w:p>
      <w:pPr>
        <w:spacing w:after="0" w:line="198" w:lineRule="exact"/>
        <w:rPr>
          <w:rFonts w:ascii="Times New Roman" w:cs="Times New Roman" w:eastAsia="Times New Roman" w:hAnsi="Times New Roman"/>
          <w:sz w:val="18"/>
          <w:szCs w:val="18"/>
          <w:color w:val="auto"/>
        </w:rPr>
      </w:pPr>
    </w:p>
    <w:p>
      <w:pPr>
        <w:ind w:left="2280" w:right="519" w:hanging="436"/>
        <w:spacing w:after="0" w:line="261" w:lineRule="auto"/>
        <w:tabs>
          <w:tab w:leader="none" w:pos="22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52" w:lineRule="exact"/>
        <w:rPr>
          <w:rFonts w:ascii="Times New Roman" w:cs="Times New Roman" w:eastAsia="Times New Roman" w:hAnsi="Times New Roman"/>
          <w:sz w:val="18"/>
          <w:szCs w:val="18"/>
          <w:color w:val="auto"/>
        </w:rPr>
      </w:pPr>
    </w:p>
    <w:p>
      <w:pPr>
        <w:ind w:left="2240" w:hanging="396"/>
        <w:spacing w:after="0"/>
        <w:tabs>
          <w:tab w:leader="none" w:pos="2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(i) to (vi); or</w:t>
      </w:r>
    </w:p>
    <w:p>
      <w:pPr>
        <w:spacing w:after="0" w:line="198" w:lineRule="exact"/>
        <w:rPr>
          <w:sz w:val="20"/>
          <w:szCs w:val="20"/>
          <w:color w:val="auto"/>
        </w:rPr>
      </w:pPr>
    </w:p>
    <w:p>
      <w:pPr>
        <w:ind w:left="1840" w:right="499" w:hanging="1389"/>
        <w:spacing w:after="0" w:line="257" w:lineRule="auto"/>
        <w:rPr>
          <w:sz w:val="20"/>
          <w:szCs w:val="20"/>
          <w:color w:val="auto"/>
        </w:rPr>
      </w:pPr>
      <w:r>
        <w:rPr>
          <w:rFonts w:ascii="Times New Roman" w:cs="Times New Roman" w:eastAsia="Times New Roman" w:hAnsi="Times New Roman"/>
          <w:sz w:val="18"/>
          <w:szCs w:val="18"/>
          <w:color w:val="auto"/>
        </w:rPr>
        <w:t>Section 96 (1) (b) the total contemplated acquisition cost of the ordinary shares, for any single addressee acting as principal is equal to or greater than ZAR1,000,000 or such higher amount as may be promulgated by notice in the Government Gazette of South Africa pursuant to section 96(2)</w:t>
      </w:r>
    </w:p>
    <w:p>
      <w:pPr>
        <w:spacing w:after="0" w:line="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(a) of the South African Companies Act.</w:t>
      </w:r>
    </w:p>
    <w:p>
      <w:pPr>
        <w:spacing w:after="0" w:line="220" w:lineRule="exact"/>
        <w:rPr>
          <w:sz w:val="20"/>
          <w:szCs w:val="20"/>
          <w:color w:val="auto"/>
        </w:rPr>
      </w:pPr>
    </w:p>
    <w:p>
      <w:pPr>
        <w:jc w:val="both"/>
        <w:ind w:left="460" w:right="459" w:firstLine="432"/>
        <w:spacing w:after="0" w:line="312" w:lineRule="auto"/>
        <w:rPr>
          <w:sz w:val="20"/>
          <w:szCs w:val="20"/>
          <w:color w:val="auto"/>
        </w:rPr>
      </w:pPr>
      <w:r>
        <w:rPr>
          <w:rFonts w:ascii="Times New Roman" w:cs="Times New Roman" w:eastAsia="Times New Roman" w:hAnsi="Times New Roman"/>
          <w:sz w:val="17"/>
          <w:szCs w:val="17"/>
          <w:color w:val="auto"/>
        </w:rPr>
        <w:t>Information made available in this prospectus supplement and the accompanying prospectus should not be considered as “advice” as defined in the South African Financial Advisory and Intermediary Services Act, 2002.</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validity of the ordinary shares and certain other matters of Singapore law will be passed upon for us by Allen &amp; Gledhill LLP. Certain matters of South African law will be passed upon for us by ENSafrica. Certain matters of U.S. federal and New York state law will be passed upon for us by Davis Polk &amp; Wardwell LLP and for the underwriters by Fried, Frank, Harris, Shriver &amp; Jacobson LLP.</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Karooooo Ltd. appearing in Karooooo Ltd.’s Annual Report on Form 20-F for the year ended February 29, 2024,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16"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Karooooo Ltd. for the year ended February 28, 2022, have been incorporated by reference herein in reliance upon the report of KPMG LLP, independent registered public accounting firm, incorporated by reference herein, and upon the authority of said firm as experts in accounting and auditing.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21"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We have filed with the SEC a registration statement (including amendments and exhibits to the registration statement) on Form F-3 under the Securities Act. This prospectus supplement and the accompanying prospectus, which are part of the registration statement, do not contain all of the information set forth in the registration statement and the exhibits and schedules to the registration statement. For more detail about us and the securities that are offered by this prospectus supplement, you may examine the registration statement on Form F-3 and the exhibits filed with it at the website provided in the previous paragraph.</w:t>
      </w:r>
    </w:p>
    <w:p>
      <w:pPr>
        <w:spacing w:after="0" w:line="103" w:lineRule="exact"/>
        <w:rPr>
          <w:sz w:val="20"/>
          <w:szCs w:val="20"/>
          <w:color w:val="auto"/>
        </w:rPr>
      </w:pPr>
    </w:p>
    <w:p>
      <w:pPr>
        <w:jc w:val="both"/>
        <w:ind w:left="460" w:right="93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reference to our website is an inactive textual reference only, and information contained therein or connected thereto is not incorporated into this prospectus supplement or the registration statement of which it forms a part.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 this prospectus supplement, which means that we disclose important information to you by referring you to another document filed separately with the SEC. The information incorporated by reference in this prospectus supplement is considered to be a part of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This prospectus supplement incorporates by reference the document listed below:</w:t>
      </w:r>
    </w:p>
    <w:p>
      <w:pPr>
        <w:spacing w:after="0" w:line="124" w:lineRule="exact"/>
        <w:rPr>
          <w:sz w:val="20"/>
          <w:szCs w:val="20"/>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6">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February 29, 2024;</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47">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July 23, 2024.</w:t>
      </w:r>
    </w:p>
    <w:p>
      <w:pPr>
        <w:spacing w:after="0" w:line="144" w:lineRule="exact"/>
        <w:rPr>
          <w:rFonts w:ascii="Times New Roman" w:cs="Times New Roman" w:eastAsia="Times New Roman" w:hAnsi="Times New Roman"/>
          <w:sz w:val="18"/>
          <w:szCs w:val="18"/>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that we file with the SEC pursuant to the Exchange Act (excluding any information or documents deemed to be furnished and not filed with the SEC), after the date hereof and prior to the completion or termination of this offering, shall be incorporated by reference. We may incorporate by reference any reports on Form 6-K that we furnish to the SEC after the date of this prospectus supplement and prior to the completion or termination of this offering that we specifically identify in such form as being incorporated by reference into this prospectus supplement. In all cases, you should rely on the later information over different information included in this prospectus supplement and the accompanying prospectus.</w:t>
      </w:r>
    </w:p>
    <w:p>
      <w:pPr>
        <w:spacing w:after="0" w:line="124" w:lineRule="exact"/>
        <w:rPr>
          <w:rFonts w:ascii="Times New Roman" w:cs="Times New Roman" w:eastAsia="Times New Roman" w:hAnsi="Times New Roman"/>
          <w:sz w:val="18"/>
          <w:szCs w:val="18"/>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You can obtain any of the filings incorporated by reference in this prospectus supplement through us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filings with the SEC, including our Annual Reports on Form 20-F and Reports on Form 6-K and exhibits incorporated in and amendments to those reports, are also available free of charge on our website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at no cost, upon written or oral request to us at the following address:</w:t>
      </w:r>
    </w:p>
    <w:p>
      <w:pPr>
        <w:spacing w:after="0" w:line="1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Karooooo Ltd.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17 Kallang Junction #06-05/06</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339274</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IR@karooooo.com</w:t>
      </w:r>
    </w:p>
    <w:p>
      <w:pPr>
        <w:spacing w:after="0" w:line="16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156845</wp:posOffset>
            </wp:positionV>
            <wp:extent cx="2777490" cy="6686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77749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KAROOOOO LTD.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6,000,000 Ordinary Shares</w:t>
      </w:r>
    </w:p>
    <w:p>
      <w:pPr>
        <w:spacing w:after="0" w:line="215" w:lineRule="exact"/>
        <w:rPr>
          <w:sz w:val="20"/>
          <w:szCs w:val="20"/>
          <w:color w:val="auto"/>
        </w:rPr>
      </w:pPr>
    </w:p>
    <w:p>
      <w:pPr>
        <w:ind w:left="460" w:right="519" w:firstLine="432"/>
        <w:spacing w:after="0" w:line="246" w:lineRule="auto"/>
        <w:rPr>
          <w:sz w:val="20"/>
          <w:szCs w:val="20"/>
          <w:color w:val="auto"/>
        </w:rPr>
      </w:pPr>
      <w:r>
        <w:rPr>
          <w:rFonts w:ascii="Times New Roman" w:cs="Times New Roman" w:eastAsia="Times New Roman" w:hAnsi="Times New Roman"/>
          <w:sz w:val="20"/>
          <w:szCs w:val="20"/>
          <w:color w:val="auto"/>
        </w:rPr>
        <w:t>Pursuant to this prospectus, the selling shareholder identified in this prospectus may offer and resell, transfer or otherwise dispose of up to 6,000,000 ordinary shares of Karooooo Ltd. from time to time if and to the extent as it may determine as described in the section entitled “Plan of Distribution” at prevailing market prices, at prices different than prevailing market prices or at privately negotiated prices.</w:t>
      </w:r>
    </w:p>
    <w:p>
      <w:pPr>
        <w:spacing w:after="0" w:line="185" w:lineRule="exact"/>
        <w:rPr>
          <w:sz w:val="20"/>
          <w:szCs w:val="20"/>
          <w:color w:val="auto"/>
        </w:rPr>
      </w:pPr>
    </w:p>
    <w:p>
      <w:pPr>
        <w:ind w:left="460" w:right="479" w:firstLine="432"/>
        <w:spacing w:after="0" w:line="260" w:lineRule="auto"/>
        <w:rPr>
          <w:sz w:val="20"/>
          <w:szCs w:val="20"/>
          <w:color w:val="auto"/>
        </w:rPr>
      </w:pPr>
      <w:r>
        <w:rPr>
          <w:rFonts w:ascii="Times New Roman" w:cs="Times New Roman" w:eastAsia="Times New Roman" w:hAnsi="Times New Roman"/>
          <w:sz w:val="19"/>
          <w:szCs w:val="19"/>
          <w:color w:val="auto"/>
        </w:rPr>
        <w:t>We are not selling any ordinary shares included in this prospectus and will not receive any of the proceeds from the sale of any ordinary shares by the selling shareholder pursuant to this prospectus. If any ordinary shares are sold, the selling shareholder will pay any underwriting or brokerage commissions and/or similar charges incurred for the sale of such shares. We will bear all other costs, fees and expenses incurred in effecting the registration of ordinary shares covered by this prospectus, including all registration and filing fees and fees and expenses of our counsel and accountants.</w:t>
      </w:r>
    </w:p>
    <w:p>
      <w:pPr>
        <w:spacing w:after="0" w:line="173" w:lineRule="exact"/>
        <w:rPr>
          <w:sz w:val="20"/>
          <w:szCs w:val="20"/>
          <w:color w:val="auto"/>
        </w:rPr>
      </w:pPr>
    </w:p>
    <w:p>
      <w:pPr>
        <w:jc w:val="center"/>
        <w:ind w:left="460" w:right="559"/>
        <w:spacing w:after="0" w:line="295" w:lineRule="auto"/>
        <w:rPr>
          <w:sz w:val="20"/>
          <w:szCs w:val="20"/>
          <w:color w:val="auto"/>
        </w:rPr>
      </w:pPr>
      <w:r>
        <w:rPr>
          <w:rFonts w:ascii="Times New Roman" w:cs="Times New Roman" w:eastAsia="Times New Roman" w:hAnsi="Times New Roman"/>
          <w:sz w:val="19"/>
          <w:szCs w:val="19"/>
          <w:color w:val="auto"/>
        </w:rPr>
        <w:t>Our ordinary shares are listed on the Nasdaq Capital Market (“Nasdaq”) under the symbol “KARO.” The closing price of the ordinary shares on Nasdaq on July 10, 2024 was $30.53 per share.</w:t>
      </w:r>
    </w:p>
    <w:p>
      <w:pPr>
        <w:spacing w:after="0" w:line="138" w:lineRule="exact"/>
        <w:rPr>
          <w:sz w:val="20"/>
          <w:szCs w:val="20"/>
          <w:color w:val="auto"/>
        </w:rPr>
      </w:pPr>
    </w:p>
    <w:p>
      <w:pPr>
        <w:ind w:left="460" w:right="1159" w:firstLine="432"/>
        <w:spacing w:after="0" w:line="249" w:lineRule="auto"/>
        <w:rPr>
          <w:sz w:val="20"/>
          <w:szCs w:val="20"/>
          <w:color w:val="auto"/>
        </w:rPr>
      </w:pPr>
      <w:r>
        <w:rPr>
          <w:rFonts w:ascii="Times New Roman" w:cs="Times New Roman" w:eastAsia="Times New Roman" w:hAnsi="Times New Roman"/>
          <w:sz w:val="20"/>
          <w:szCs w:val="20"/>
          <w:color w:val="auto"/>
        </w:rPr>
        <w:t>We are registering the offer and sale of the 6,000,000 ordinary shares held by the selling shareholder to satisfy certain registration rights we have granted. See “Selling Shareholder — Material Relationships with the Selling Shareholder — Registration Rights Agreement.”</w:t>
      </w:r>
    </w:p>
    <w:p>
      <w:pPr>
        <w:spacing w:after="0" w:line="18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0"/>
          <w:szCs w:val="20"/>
          <w:color w:val="auto"/>
        </w:rPr>
        <w:t>We are an “emerging growth company” and a “foreign private issuer” as defined under</w:t>
      </w:r>
    </w:p>
    <w:p>
      <w:pPr>
        <w:spacing w:after="0" w:line="22" w:lineRule="exact"/>
        <w:rPr>
          <w:sz w:val="20"/>
          <w:szCs w:val="20"/>
          <w:color w:val="auto"/>
        </w:rPr>
      </w:pPr>
    </w:p>
    <w:p>
      <w:pPr>
        <w:ind w:left="460" w:right="519"/>
        <w:spacing w:after="0" w:line="242" w:lineRule="auto"/>
        <w:rPr>
          <w:sz w:val="20"/>
          <w:szCs w:val="20"/>
          <w:color w:val="auto"/>
        </w:rPr>
      </w:pPr>
      <w:r>
        <w:rPr>
          <w:rFonts w:ascii="Times New Roman" w:cs="Times New Roman" w:eastAsia="Times New Roman" w:hAnsi="Times New Roman"/>
          <w:sz w:val="20"/>
          <w:szCs w:val="20"/>
          <w:color w:val="auto"/>
        </w:rPr>
        <w:t>U.S. federal securities laws and, as such, may elect to comply with reduced public company reporting requirements for this and future filings. See “Prospectus Summary — Implications of Being an Emerging Growth Company and Foreign Private Issuer.”</w:t>
      </w:r>
    </w:p>
    <w:p>
      <w:pPr>
        <w:spacing w:after="0" w:line="183" w:lineRule="exact"/>
        <w:rPr>
          <w:sz w:val="20"/>
          <w:szCs w:val="20"/>
          <w:color w:val="auto"/>
        </w:rPr>
      </w:pPr>
    </w:p>
    <w:p>
      <w:pPr>
        <w:ind w:left="460" w:right="539" w:firstLine="432"/>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See the “Risk Factors” section beginning on page 4 of this prospectus, in any applicable prospectus supplement and in our Securities and Exchange Commission (“SEC”) filings that are incorporated by reference herein and in the documents incorporated by reference herein and therein.</w:t>
      </w:r>
    </w:p>
    <w:p>
      <w:pPr>
        <w:spacing w:after="0" w:line="176"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20"/>
          <w:szCs w:val="20"/>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Prospectus dated July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271145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ABLE OF CONTENTS</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Notice to Prospective Investors in Singapore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7</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Dividends and 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Expenses of 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Service of Process and Enforcement of Civil Liabilities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the selling shareholder is offering,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12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w:t>
      </w:r>
    </w:p>
    <w:p>
      <w:pPr>
        <w:spacing w:after="0" w:line="3" w:lineRule="exact"/>
        <w:rPr>
          <w:sz w:val="20"/>
          <w:szCs w:val="20"/>
          <w:color w:val="auto"/>
        </w:rPr>
      </w:pPr>
    </w:p>
    <w:p>
      <w:pPr>
        <w:ind w:left="460" w:right="519"/>
        <w:spacing w:after="0" w:line="260" w:lineRule="auto"/>
        <w:rPr>
          <w:sz w:val="20"/>
          <w:szCs w:val="20"/>
          <w:color w:val="auto"/>
        </w:rPr>
      </w:pPr>
      <w:r>
        <w:rPr>
          <w:rFonts w:ascii="Times New Roman" w:cs="Times New Roman" w:eastAsia="Times New Roman" w:hAnsi="Times New Roman"/>
          <w:sz w:val="18"/>
          <w:szCs w:val="18"/>
          <w:color w:val="auto"/>
        </w:rPr>
        <w:t>date — for example, a prospectus supplement or a document incorporated by reference in this prospectus — the statement in the document having the later date modifies or supersedes the earlier statement.</w:t>
      </w:r>
    </w:p>
    <w:p>
      <w:pPr>
        <w:spacing w:after="0" w:line="114"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10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herein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Neither we nor the selling shareholder, nor any agent, underwriter or dealer has authorized anyone to provide any information or to make any representations other than as contained or incorporated by reference in this prospectus, any amendment or supplement to this prospectus, or any free writing prospectus prepared by or on behalf of us or to which we may have referred you. We and the selling shareholder, and any agent, underwriter or dealer, take no responsibility for, and can provide no assurance as to the reliability of, any other information that others may give you. This prospectus does not constitute an offer to sell or the solicitation of an offer to buy any securities other than the ordinary shares described in this prospectus or an offer to sell or the solicitation of an offer to buy such ordinary shares in any circumstances in which such offer or solicitation is unlawful.</w:t>
      </w:r>
    </w:p>
    <w:p>
      <w:pPr>
        <w:spacing w:after="0" w:line="121"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shareholder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102"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“Karooooo,” the “Company,” the “Group,” “we,” “our,” “ours,” “us” or similar terms refer to Karooooo Ltd. and its subsidiaries.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Unless otherwise indicated, all financial information contained in this prospectus is prepared and presented in accordance with International Financial Reporting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spacing w:after="0" w:line="11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All references in this prospectus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prospectus are in rand. Our financial year ends on February 28 or February 29 of each year. References in this prospectus to a financial year, such as “financial year 2024,” relate to our financial year ended on February 28 or February 29, as applicable, of that calendar year.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48"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This prospectus has not been and will not be registered as a prospectus with the Monetary Authority of Singapore and the securities will be offered pursuant to exemptions under the Securities and Futures Act 2001 of Singapore, as modified or amended from time to time (the “SFA”).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w:t>
      </w:r>
    </w:p>
    <w:p>
      <w:pPr>
        <w:spacing w:after="0" w:line="5" w:lineRule="exact"/>
        <w:rPr>
          <w:sz w:val="20"/>
          <w:szCs w:val="20"/>
          <w:color w:val="auto"/>
        </w:rPr>
      </w:pPr>
    </w:p>
    <w:p>
      <w:pPr>
        <w:ind w:left="460" w:right="499" w:hanging="6"/>
        <w:spacing w:after="0" w:line="253" w:lineRule="auto"/>
        <w:tabs>
          <w:tab w:leader="none" w:pos="6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w:t>
      </w:r>
    </w:p>
    <w:p>
      <w:pPr>
        <w:spacing w:after="0" w:line="12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spacing w:after="0" w:line="108" w:lineRule="exact"/>
        <w:rPr>
          <w:sz w:val="20"/>
          <w:szCs w:val="20"/>
          <w:color w:val="auto"/>
        </w:rPr>
      </w:pPr>
    </w:p>
    <w:p>
      <w:pPr>
        <w:jc w:val="both"/>
        <w:ind w:left="460" w:right="49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Notification under Section 309B(1) of the SFA: </w:t>
      </w:r>
      <w:r>
        <w:rPr>
          <w:rFonts w:ascii="Times New Roman" w:cs="Times New Roman" w:eastAsia="Times New Roman" w:hAnsi="Times New Roman"/>
          <w:sz w:val="18"/>
          <w:szCs w:val="18"/>
          <w:color w:val="auto"/>
        </w:rPr>
        <w:t>The ordinary shares are “prescribed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27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147310" cy="742759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This summary may not contain all the information that may be important to you, and we urge you to read this entire prospectus and the documents incorporated by reference in this prospectus carefully before deciding to invest in our securities.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a global provider of leading real-time mobility data analytics solutions for smart transportation.</w:t>
      </w:r>
    </w:p>
    <w:p>
      <w:pPr>
        <w:spacing w:after="0" w:line="144" w:lineRule="exact"/>
        <w:rPr>
          <w:sz w:val="20"/>
          <w:szCs w:val="20"/>
          <w:color w:val="auto"/>
        </w:rPr>
      </w:pPr>
    </w:p>
    <w:p>
      <w:pPr>
        <w:ind w:left="540" w:right="659" w:firstLine="432"/>
        <w:spacing w:after="0" w:line="261" w:lineRule="auto"/>
        <w:rPr>
          <w:sz w:val="20"/>
          <w:szCs w:val="20"/>
          <w:color w:val="auto"/>
        </w:rPr>
      </w:pPr>
      <w:r>
        <w:rPr>
          <w:rFonts w:ascii="Times New Roman" w:cs="Times New Roman" w:eastAsia="Times New Roman" w:hAnsi="Times New Roman"/>
          <w:sz w:val="18"/>
          <w:szCs w:val="18"/>
          <w:color w:val="auto"/>
        </w:rPr>
        <w:t>We offer a full-stack smart mobility SaaS platform for connected vehicles and other assets and provide customers with differentiated insights and analytics to optimize their business operations and workforce, increase efficiency and decrease costs, improve safety, monitor environmental impact, assist with regulatory compliance and manage risk.</w:t>
      </w:r>
    </w:p>
    <w:p>
      <w:pPr>
        <w:spacing w:after="0" w:line="112" w:lineRule="exact"/>
        <w:rPr>
          <w:sz w:val="20"/>
          <w:szCs w:val="20"/>
          <w:color w:val="auto"/>
        </w:rPr>
      </w:pPr>
    </w:p>
    <w:p>
      <w:pPr>
        <w:ind w:left="540" w:right="839" w:firstLine="432"/>
        <w:spacing w:after="0" w:line="256" w:lineRule="auto"/>
        <w:rPr>
          <w:sz w:val="20"/>
          <w:szCs w:val="20"/>
          <w:color w:val="auto"/>
        </w:rPr>
      </w:pPr>
      <w:r>
        <w:rPr>
          <w:rFonts w:ascii="Times New Roman" w:cs="Times New Roman" w:eastAsia="Times New Roman" w:hAnsi="Times New Roman"/>
          <w:sz w:val="18"/>
          <w:szCs w:val="18"/>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20" w:lineRule="exact"/>
        <w:rPr>
          <w:sz w:val="20"/>
          <w:szCs w:val="20"/>
          <w:color w:val="auto"/>
        </w:rPr>
      </w:pPr>
    </w:p>
    <w:p>
      <w:pPr>
        <w:ind w:left="540" w:right="579" w:firstLine="432"/>
        <w:spacing w:after="0" w:line="254" w:lineRule="auto"/>
        <w:rPr>
          <w:sz w:val="20"/>
          <w:szCs w:val="20"/>
          <w:color w:val="auto"/>
        </w:rPr>
      </w:pPr>
      <w:r>
        <w:rPr>
          <w:rFonts w:ascii="Times New Roman" w:cs="Times New Roman" w:eastAsia="Times New Roman" w:hAnsi="Times New Roman"/>
          <w:sz w:val="18"/>
          <w:szCs w:val="18"/>
          <w:color w:val="auto"/>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11"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We provide customers with the flexibility to deploy our solutions across a range of vehicles, including electric vehicles, and other assets and to use our platform alone or in conjunction with the systems of original equipment manufacturers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and Corporate Information</w:t>
      </w:r>
    </w:p>
    <w:p>
      <w:pPr>
        <w:spacing w:after="0" w:line="162" w:lineRule="exact"/>
        <w:rPr>
          <w:sz w:val="20"/>
          <w:szCs w:val="20"/>
          <w:color w:val="auto"/>
        </w:rPr>
      </w:pPr>
    </w:p>
    <w:p>
      <w:pPr>
        <w:ind w:left="540" w:right="579" w:firstLine="432"/>
        <w:spacing w:after="0" w:line="260" w:lineRule="auto"/>
        <w:rPr>
          <w:sz w:val="20"/>
          <w:szCs w:val="20"/>
          <w:color w:val="auto"/>
        </w:rPr>
      </w:pPr>
      <w:r>
        <w:rPr>
          <w:rFonts w:ascii="Times New Roman" w:cs="Times New Roman" w:eastAsia="Times New Roman" w:hAnsi="Times New Roman"/>
          <w:sz w:val="18"/>
          <w:szCs w:val="18"/>
          <w:color w:val="auto"/>
        </w:rPr>
        <w:t>Karooooo Ltd. was incorporated in Singapore on May 19, 2018 as Karooooo Pte. Ltd., a private limited company (Company Registration No. 201817157Z) under the Companies Act 1967 of Singapore (the “Singapore Companies Act”). On February 22, 2021, we converted Karooooo Pte. Ltd. from a Singapore private limited company to Karooooo Ltd., a Singapore public limited company. Our principal executive office is our premises at 1 Harbourfront Avenue, Keppel Bay Tower #14-07, Singapore 098632. Our telephone number at this location is +65 6255 4151.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64" w:lineRule="exact"/>
        <w:rPr>
          <w:sz w:val="20"/>
          <w:szCs w:val="20"/>
          <w:color w:val="auto"/>
        </w:rPr>
      </w:pPr>
    </w:p>
    <w:p>
      <w:pPr>
        <w:ind w:left="540" w:right="6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Our principal website is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information on our website is not incorporated by reference into this prospectus, and you should not consider information contained on our website to be a part of this prospectus or in deciding whether to purchase our ordinary shares.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276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Foreign Private Issuer</w:t>
      </w:r>
    </w:p>
    <w:p>
      <w:pPr>
        <w:spacing w:after="0" w:line="162" w:lineRule="exact"/>
        <w:rPr>
          <w:sz w:val="20"/>
          <w:szCs w:val="20"/>
          <w:color w:val="auto"/>
        </w:rPr>
      </w:pPr>
    </w:p>
    <w:p>
      <w:pPr>
        <w:ind w:left="540" w:right="1039" w:firstLine="432"/>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spacing w:after="0" w:line="112" w:lineRule="exact"/>
        <w:rPr>
          <w:sz w:val="20"/>
          <w:szCs w:val="20"/>
          <w:color w:val="auto"/>
        </w:rPr>
      </w:pPr>
    </w:p>
    <w:p>
      <w:pPr>
        <w:ind w:left="1400" w:right="799" w:hanging="424"/>
        <w:spacing w:after="0" w:line="266" w:lineRule="auto"/>
        <w:tabs>
          <w:tab w:leader="none" w:pos="1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(the “Sarbanes-Oxley Act”); and</w:t>
      </w:r>
    </w:p>
    <w:p>
      <w:pPr>
        <w:spacing w:after="0" w:line="94" w:lineRule="exact"/>
        <w:rPr>
          <w:rFonts w:ascii="Times New Roman" w:cs="Times New Roman" w:eastAsia="Times New Roman" w:hAnsi="Times New Roman"/>
          <w:sz w:val="18"/>
          <w:szCs w:val="18"/>
          <w:color w:val="auto"/>
        </w:rPr>
      </w:pPr>
    </w:p>
    <w:p>
      <w:pPr>
        <w:ind w:left="1400" w:right="779" w:hanging="424"/>
        <w:spacing w:after="0" w:line="261" w:lineRule="auto"/>
        <w:tabs>
          <w:tab w:leader="none" w:pos="13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2" w:lineRule="exact"/>
        <w:rPr>
          <w:sz w:val="20"/>
          <w:szCs w:val="20"/>
          <w:color w:val="auto"/>
        </w:rPr>
      </w:pPr>
    </w:p>
    <w:p>
      <w:pPr>
        <w:ind w:left="540" w:right="599" w:firstLine="432"/>
        <w:spacing w:after="0" w:line="252" w:lineRule="auto"/>
        <w:rPr>
          <w:sz w:val="20"/>
          <w:szCs w:val="20"/>
          <w:color w:val="auto"/>
        </w:rPr>
      </w:pPr>
      <w:r>
        <w:rPr>
          <w:rFonts w:ascii="Times New Roman" w:cs="Times New Roman" w:eastAsia="Times New Roman" w:hAnsi="Times New Roman"/>
          <w:sz w:val="18"/>
          <w:szCs w:val="18"/>
          <w:color w:val="auto"/>
        </w:rPr>
        <w:t>We may take advantage of these provisions until we are no longer an emerging growth company. We will remain an emerging growth company until the earliest of (i) the last day of the fiscal year in which we have total annual gross revenues of $1.235 billion or more; (ii) February 28, 2027; (iii) the date on which we have issued more than $1.0 billion in non-convertible debt during the previous three years; and (iv) the date on which we are deemed to be a large accelerated filer under the rules of the SEC, which means the market value of our ordinary shares that are held by non-affiliates equals or exceeds $700.0 million as of the prior August 31.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International Accounting Standards Board.</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also considered a “foreign private issuer.” Accordingly, we report under the</w:t>
      </w:r>
    </w:p>
    <w:p>
      <w:pPr>
        <w:spacing w:after="0" w:line="27" w:lineRule="exact"/>
        <w:rPr>
          <w:sz w:val="20"/>
          <w:szCs w:val="20"/>
          <w:color w:val="auto"/>
        </w:rPr>
      </w:pPr>
    </w:p>
    <w:p>
      <w:pPr>
        <w:ind w:left="540" w:right="639"/>
        <w:spacing w:after="0" w:line="253" w:lineRule="auto"/>
        <w:rPr>
          <w:sz w:val="20"/>
          <w:szCs w:val="20"/>
          <w:color w:val="auto"/>
        </w:rPr>
      </w:pPr>
      <w:r>
        <w:rPr>
          <w:rFonts w:ascii="Times New Roman" w:cs="Times New Roman" w:eastAsia="Times New Roman" w:hAnsi="Times New Roman"/>
          <w:sz w:val="18"/>
          <w:szCs w:val="18"/>
          <w:color w:val="auto"/>
        </w:rPr>
        <w:t>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08" w:lineRule="exact"/>
        <w:rPr>
          <w:sz w:val="20"/>
          <w:szCs w:val="20"/>
          <w:color w:val="auto"/>
        </w:rPr>
      </w:pPr>
    </w:p>
    <w:p>
      <w:pPr>
        <w:ind w:left="1400" w:right="639" w:hanging="424"/>
        <w:spacing w:after="0" w:line="282"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rFonts w:ascii="Times New Roman" w:cs="Times New Roman" w:eastAsia="Times New Roman" w:hAnsi="Times New Roman"/>
          <w:sz w:val="18"/>
          <w:szCs w:val="18"/>
          <w:color w:val="auto"/>
        </w:rPr>
      </w:pPr>
    </w:p>
    <w:p>
      <w:pPr>
        <w:ind w:left="1400" w:right="659" w:hanging="424"/>
        <w:spacing w:after="0" w:line="266"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08" w:lineRule="exact"/>
        <w:rPr>
          <w:rFonts w:ascii="Times New Roman" w:cs="Times New Roman" w:eastAsia="Times New Roman" w:hAnsi="Times New Roman"/>
          <w:sz w:val="18"/>
          <w:szCs w:val="18"/>
          <w:color w:val="auto"/>
        </w:rPr>
      </w:pPr>
    </w:p>
    <w:p>
      <w:pPr>
        <w:ind w:left="1400" w:right="699" w:hanging="424"/>
        <w:spacing w:after="0" w:line="266" w:lineRule="auto"/>
        <w:tabs>
          <w:tab w:leader="none" w:pos="13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95" w:lineRule="exact"/>
        <w:rPr>
          <w:sz w:val="20"/>
          <w:szCs w:val="20"/>
          <w:color w:val="auto"/>
        </w:rPr>
      </w:pPr>
    </w:p>
    <w:p>
      <w:pPr>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6" w:lineRule="exact"/>
        <w:rPr>
          <w:sz w:val="20"/>
          <w:szCs w:val="20"/>
          <w:color w:val="auto"/>
        </w:rPr>
      </w:pPr>
    </w:p>
    <w:p>
      <w:pPr>
        <w:ind w:left="540" w:right="659" w:firstLine="432"/>
        <w:spacing w:after="0" w:line="258" w:lineRule="auto"/>
        <w:rPr>
          <w:sz w:val="20"/>
          <w:szCs w:val="20"/>
          <w:color w:val="auto"/>
        </w:rPr>
      </w:pPr>
      <w:r>
        <w:rPr>
          <w:rFonts w:ascii="Times New Roman" w:cs="Times New Roman" w:eastAsia="Times New Roman" w:hAnsi="Times New Roman"/>
          <w:sz w:val="18"/>
          <w:szCs w:val="18"/>
          <w:color w:val="auto"/>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458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147310" cy="3458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214" w:lineRule="exact"/>
        <w:rPr>
          <w:sz w:val="20"/>
          <w:szCs w:val="20"/>
          <w:color w:val="auto"/>
        </w:rPr>
      </w:pPr>
    </w:p>
    <w:p>
      <w:pPr>
        <w:ind w:left="720" w:hanging="179"/>
        <w:spacing w:after="0" w:line="312" w:lineRule="auto"/>
        <w:rPr>
          <w:sz w:val="20"/>
          <w:szCs w:val="20"/>
          <w:color w:val="auto"/>
        </w:rPr>
      </w:pPr>
      <w:r>
        <w:rPr>
          <w:rFonts w:ascii="Times New Roman" w:cs="Times New Roman" w:eastAsia="Times New Roman" w:hAnsi="Times New Roman"/>
          <w:sz w:val="17"/>
          <w:szCs w:val="17"/>
          <w:color w:val="auto"/>
        </w:rPr>
        <w:t>Ordinary shares that may be offered and sold from time to time by the selling shareholder</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6,000,000 ordinary shares.</w:t>
      </w:r>
    </w:p>
    <w:p>
      <w:pPr>
        <w:spacing w:after="0" w:line="185" w:lineRule="exact"/>
        <w:rPr>
          <w:sz w:val="20"/>
          <w:szCs w:val="20"/>
          <w:color w:val="auto"/>
        </w:rPr>
      </w:pPr>
    </w:p>
    <w:p>
      <w:pPr>
        <w:jc w:val="both"/>
        <w:ind w:right="1039"/>
        <w:spacing w:after="0" w:line="261" w:lineRule="auto"/>
        <w:rPr>
          <w:sz w:val="20"/>
          <w:szCs w:val="20"/>
          <w:color w:val="auto"/>
        </w:rPr>
      </w:pPr>
      <w:r>
        <w:rPr>
          <w:rFonts w:ascii="Times New Roman" w:cs="Times New Roman" w:eastAsia="Times New Roman" w:hAnsi="Times New Roman"/>
          <w:sz w:val="18"/>
          <w:szCs w:val="18"/>
          <w:color w:val="auto"/>
        </w:rPr>
        <w:t>The ordinary shares offered by this prospectus may be offered and sold at prevailing market prices, at prices different than prevailing market prices or at privately negotiated prices.</w:t>
      </w:r>
    </w:p>
    <w:p>
      <w:pPr>
        <w:spacing w:after="0" w:line="153" w:lineRule="exact"/>
        <w:rPr>
          <w:sz w:val="20"/>
          <w:szCs w:val="20"/>
          <w:color w:val="auto"/>
        </w:rPr>
      </w:pPr>
    </w:p>
    <w:p>
      <w:pPr>
        <w:sectPr>
          <w:pgSz w:w="11900" w:h="16838" w:orient="portrait"/>
          <w:cols w:equalWidth="0" w:num="2">
            <w:col w:w="3880" w:space="200"/>
            <w:col w:w="49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We will not receive any proceeds from the sale of ordinary</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shares by the selling shareholder from time to time pursuant</w:t>
            </w:r>
          </w:p>
        </w:tc>
      </w:tr>
      <w:tr>
        <w:trPr>
          <w:trHeight w:val="234"/>
        </w:trPr>
        <w:tc>
          <w:tcPr>
            <w:tcW w:w="2440" w:type="dxa"/>
            <w:vAlign w:val="bottom"/>
          </w:tcPr>
          <w:p>
            <w:pPr>
              <w:spacing w:after="0"/>
              <w:rPr>
                <w:sz w:val="20"/>
                <w:szCs w:val="20"/>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to this prospectus.</w:t>
            </w:r>
          </w:p>
        </w:tc>
      </w:tr>
      <w:tr>
        <w:trPr>
          <w:trHeight w:val="387"/>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See the “Risk Factors” section beginning on page 4 of this</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prospectus and in the documents incorporated by reference</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 this prospectus for a discussion of factors you should</w:t>
            </w:r>
          </w:p>
        </w:tc>
      </w:tr>
      <w:tr>
        <w:trPr>
          <w:trHeight w:val="234"/>
        </w:trPr>
        <w:tc>
          <w:tcPr>
            <w:tcW w:w="2440" w:type="dxa"/>
            <w:vAlign w:val="bottom"/>
          </w:tcPr>
          <w:p>
            <w:pPr>
              <w:spacing w:after="0"/>
              <w:rPr>
                <w:sz w:val="20"/>
                <w:szCs w:val="20"/>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consider before deciding to invest in our ordinary shares.</w:t>
            </w:r>
          </w:p>
        </w:tc>
      </w:tr>
      <w:tr>
        <w:trPr>
          <w:trHeight w:val="387"/>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Nasdaq symbol</w:t>
            </w: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w:t>
            </w:r>
          </w:p>
        </w:tc>
      </w:tr>
      <w:tr>
        <w:trPr>
          <w:trHeight w:val="234"/>
        </w:trPr>
        <w:tc>
          <w:tcPr>
            <w:tcW w:w="2440" w:type="dxa"/>
            <w:vAlign w:val="bottom"/>
          </w:tcPr>
          <w:p>
            <w:pPr>
              <w:spacing w:after="0"/>
              <w:rPr>
                <w:sz w:val="20"/>
                <w:szCs w:val="20"/>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under the symbol “KARO.”</w:t>
            </w:r>
          </w:p>
        </w:tc>
      </w:tr>
      <w:tr>
        <w:trPr>
          <w:trHeight w:val="415"/>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r>
        <w:trPr>
          <w:trHeight w:val="388"/>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Before making a decision to invest in our securities, you should carefully consider the risks described under “Item 3.D. Key Information — Risk Factors” in our then-most recent Annual Report on Form 20-F (our “Annual Report”),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contain statements that constitute forward-looking statements within the meaning of Section 21E of the Exchange Act and Section 27A of the Securities Act of 1933, as amended (the “Securities Act”).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27"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prospectus or the documents incorporated herein by reference. In addition, even if our results of operations, financial condition and liquidity, the development of the industry in which we operate and the effect of acquisitions on us are consistent with the forward-looking statements contained in this prospectus and the documents incorporated herein by reference, those results or developments may not be indicative of results or developments in subsequent periods.</w:t>
      </w:r>
    </w:p>
    <w:p>
      <w:pPr>
        <w:spacing w:after="0" w:line="127"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Factors that may cause our actual results to differ materially from those expressed or implied by the forward-looking statements in this prospectus and the documents incorporated herein by reference include, but are not limited to, the risks described under the heading titled “Risk Factors” in our Annual Report, subsequent quarterly reports on Form 6-K and other filings with the SEC. For example, factors that could cause actual results to vary from projected results include, but are not limited to:</w:t>
      </w:r>
    </w:p>
    <w:p>
      <w:pPr>
        <w:spacing w:after="0" w:line="102" w:lineRule="exact"/>
        <w:rPr>
          <w:sz w:val="20"/>
          <w:szCs w:val="20"/>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subscribers and retain existing subscribers;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58"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geopolitical tensions,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spacing w:after="0" w:line="102"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157" w:lineRule="exact"/>
        <w:rPr>
          <w:rFonts w:ascii="Times New Roman" w:cs="Times New Roman" w:eastAsia="Times New Roman" w:hAnsi="Times New Roman"/>
          <w:sz w:val="18"/>
          <w:szCs w:val="18"/>
          <w:color w:val="auto"/>
        </w:rPr>
      </w:pPr>
    </w:p>
    <w:p>
      <w:pPr>
        <w:ind w:left="1320" w:right="125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80"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144" w:lineRule="exact"/>
        <w:rPr>
          <w:rFonts w:ascii="Times New Roman" w:cs="Times New Roman" w:eastAsia="Times New Roman" w:hAnsi="Times New Roman"/>
          <w:sz w:val="18"/>
          <w:szCs w:val="18"/>
          <w:color w:val="auto"/>
        </w:rPr>
      </w:pPr>
    </w:p>
    <w:p>
      <w:pPr>
        <w:ind w:left="4460" w:right="499" w:hanging="3574"/>
        <w:spacing w:after="0" w:line="485" w:lineRule="auto"/>
        <w:tabs>
          <w:tab w:leader="none" w:pos="1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13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94" w:lineRule="exact"/>
        <w:rPr>
          <w:rFonts w:ascii="Times New Roman" w:cs="Times New Roman" w:eastAsia="Times New Roman" w:hAnsi="Times New Roman"/>
          <w:sz w:val="18"/>
          <w:szCs w:val="18"/>
          <w:color w:val="auto"/>
        </w:rPr>
      </w:pPr>
    </w:p>
    <w:p>
      <w:pPr>
        <w:ind w:left="1320" w:right="11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the heading “Risk Factors” in our filings with the SEC.</w:t>
      </w:r>
    </w:p>
    <w:p>
      <w:pPr>
        <w:spacing w:after="0" w:line="158"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sale of ordinary shares by the selling shareholder from time to time pursuant to this prospectus. If any ordinary shares are sold, the selling shareholder will pay any underwriting or brokerage commissions and/or similar charges incurred for the sale of such shares. We will bear all other costs, fees and expenses incurred in effecting the registration of ordinary shares covered by this prospectus, including all registration and filing fees and fees and expenses of our counsel and accountants.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148" w:lineRule="exact"/>
        <w:rPr>
          <w:sz w:val="20"/>
          <w:szCs w:val="20"/>
          <w:color w:val="auto"/>
        </w:rPr>
      </w:pPr>
    </w:p>
    <w:p>
      <w:pPr>
        <w:jc w:val="both"/>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we cannot assure you that we will pay any dividends to holders of our ordinary shares, or as to the amount of any such dividends if our board of directors determines to do so.</w:t>
      </w:r>
    </w:p>
    <w:p>
      <w:pPr>
        <w:spacing w:after="0" w:line="10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board recognizes the importance to the Group of investment in achieving growth at scale and endeavors to avoid swings in dividend profile.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Karooooo aims to reinvest retained earnings to the extent that it aligns with the Group’s required return on incrementally reinvested capital, return on equity, and short- to medium-term growth strategy. See “Item 3.D. Key Information — Risk Factors — Although Karooooo has paid dividends in the past, our ability to pay dividends in the future depends on many factors and we cannot guarantee you that we will continue to pay dividends in the future” in our Annual Report.</w:t>
      </w:r>
    </w:p>
    <w:p>
      <w:pPr>
        <w:spacing w:after="0" w:line="124"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0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Although Karooooo’s reporting currency is ZAR, its statutory filings in Singapore are reported in USD, as a result of which dividends, if declared, are declared in USD.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6" w:lineRule="exact"/>
        <w:rPr>
          <w:sz w:val="20"/>
          <w:szCs w:val="20"/>
          <w:color w:val="auto"/>
        </w:rPr>
      </w:pPr>
    </w:p>
    <w:p>
      <w:pPr>
        <w:ind w:left="460" w:right="499" w:firstLine="432"/>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description summarizes certain material terms of our constitution in effect as at the date of this prospectus and certain relevant provisions of Singapore law. Such summary does not purport to be complete and is subject to, and is qualified in its entirety by reference to, the applicable provisions of Singapore law and our constitution, a copy of which is incorporated by reference as Exhibit 1.1 to the Annual Report on Form 20-F for the year ended February 29, 2024, which is incorporated by reference herein. We encourage you to read our constitution and the applicable provisions of Singapore law for additional information.</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Our issued and outstanding share capital consists of ordinary shares. We have 30,893,300 ordinary shares issued and outstanding as of the date of this prospectus.</w:t>
      </w:r>
    </w:p>
    <w:p>
      <w:pPr>
        <w:spacing w:after="0" w:line="94"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We currently only have one class of issued ordinary shares, which have identical rights in all respects and rank equally with one another.</w:t>
      </w:r>
    </w:p>
    <w:p>
      <w:pPr>
        <w:spacing w:after="0" w:line="81"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section, references to “shareholders” mean those shareholders whose names and number of shares are entered in our register of members. Only persons who are registered in our register of members are recognized under Singapore law as our shareholders. As a result, only registered shareholders have legal standing under Singapore law to institute shareholder actions against us or otherwise seek to enforce their rights as shareholders.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ordinary shares have no par value as there is no concept of authorized share capital under Singapore law. All shares presently issued are fully paid and existing shareholders are not subject to any calls on shares. Although Singapore law does not recognize the concept of “non-assessability” with respect to newly-issued shares, we note that any subscriber of our ordinary shares who has fully paid up all amounts due with respect to such ordinary shares will not be subject under Singapore law to any personal liability to contribute to our assets or liabilities in such subscriber’s capacity solely as a holder of such ordinary shares. We believe this interpretation is substantively consistent with the concept of “non-assessability” under most, if not all, U.S. state corporation laws. All of our ordinary shares are in registered form. We cannot, except in the circumstances permitted by the Singapore Companies Act, grant any financial assistance for the acquisition or proposed acquisition of our own ordinary shares. Except as described in “— Singapore Code on Take-Overs and Mergers”, there are no limitations in our constitution or Singapore law on the rights of shareholders not resident in Singapore to hold or vote in respect of our ordinary shares.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Each ordinary share is entitled to one vote per share. Voting at any meeting of shareholders is by show of hands unless a poll has been demanded prior to or on the declaration of the result of the show of hands by, among others, at least one shareholder present in person or by proxy or by attorney or other duty authorized representative and representing not less than 5% of the total voting rights of all shareholders having the right to vote at the meeting. On a poll, each holder of ordinary shares who is present in person or by proxy or by attorney or other duly authorized representative, has one vote for each ordinary share which he holds or represents. Proxies need not be shareholders.</w:t>
      </w:r>
    </w:p>
    <w:p>
      <w:pPr>
        <w:spacing w:after="0" w:line="108"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Subject to the Singapore Companies Act and our constitution, only those shareholders who are registered in our register of members will be entitled to vote at any meeting of shareholders in person or by proxy or by attorney or other duly authorized representative. Therefore, since some of our ordinary shares are held through The Depository Trust Company (“DTC”) or its nominee, DTC or its nominee will grant an omnibus proxy to DTC participants holding our ordinary shares in book-entry form. Persons holding through a broker, bank, nominee or other institution that is a direct or indirect participant of DTC will have the right to instruct their broker, bank, nominee or other institution holding these ordinary shares on how to vote such ordinary shares by completing the voting instruction form provided by the applicable broker, bank, nominee, or other institution. Whether voting is by a show of hands or by a poll, the vote of DTC or its nominee will be voted by the chairman of the meeting according</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spacing w:after="0" w:line="266" w:lineRule="auto"/>
        <w:rPr>
          <w:sz w:val="20"/>
          <w:szCs w:val="20"/>
          <w:color w:val="auto"/>
        </w:rPr>
      </w:pPr>
      <w:r>
        <w:rPr>
          <w:rFonts w:ascii="Times New Roman" w:cs="Times New Roman" w:eastAsia="Times New Roman" w:hAnsi="Times New Roman"/>
          <w:sz w:val="18"/>
          <w:szCs w:val="18"/>
          <w:color w:val="auto"/>
        </w:rPr>
        <w:t>to the results of the votes of the DTC participants (which results will reflect the instructions received from persons that own our ordinary shares electronically in book-entry form through DTC). In the case of a tie vote, the chairman of the meeting shall be entitled to a casting vote.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may, by ordinary resolution, declare dividends at a general meeting of our shareholders, but no dividend shall be payable except out of our profits, and the amount of any such dividend shall not exceed the amount recommended by our board of directors. Subject to our constitution and in accordance with the Singapore Companies Act, our board of directors may, without the approval of our shareholders, declare and pay interim dividends, but any final dividends the board declares must be approved by an ordinary resolution at a general meeting of our shareholders.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Capitalization and Other Rights</w:t>
      </w:r>
    </w:p>
    <w:p>
      <w:pPr>
        <w:spacing w:after="0" w:line="16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may, with the approval of our shareholders at a general meeting, capitalize any reserves or profits and distribute them as shares, credited as paid-up, to our shareholders in proportion to their shareholdings in accordance with our constitution.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7"/>
          <w:szCs w:val="17"/>
          <w:color w:val="auto"/>
        </w:rPr>
        <w:t>Subject to the Singapore Companies Act and every other Singapore statute for the time being in force affecting us, under our constitution, whenever our share capital is divided into different classes of shares, the special rights attached to any class may be varied or abrogated either with the consent in writing of the holders of three-quarters of the issued shares of the class or with the sanction of a special resolution passed at a separate general meeting of the holders of the shares of the class (but not otherwise) and may be so varied or abrogated either while the Company is a going concern or during or in contemplation of a winding-up. To every such separate general meeting, the necessary quorum shall be two persons (unless all the shares of the class are held by one person whereupon the necessary quorum shall be one person) at least holding or representing by proxy or by attorney or other duly authorized representative at least one-third of issued shares of the class and that any holder of shares of the class present in person or by proxy or by attorney or other duly authorized representative may demand a poll, and on a poll, shall have one vote for every share of the class held by him, provided always that where the necessary majority for such a special resolution is not obtained at such general meeting, consent in writing if obtained from the holders of three-quarters of the issued shares of the class concerned within</w:t>
      </w:r>
    </w:p>
    <w:p>
      <w:pPr>
        <w:spacing w:after="0" w:line="10" w:lineRule="exact"/>
        <w:rPr>
          <w:sz w:val="20"/>
          <w:szCs w:val="20"/>
          <w:color w:val="auto"/>
        </w:rPr>
      </w:pPr>
    </w:p>
    <w:p>
      <w:pPr>
        <w:ind w:left="460" w:right="479"/>
        <w:spacing w:after="0" w:line="260" w:lineRule="auto"/>
        <w:rPr>
          <w:sz w:val="20"/>
          <w:szCs w:val="20"/>
          <w:color w:val="auto"/>
        </w:rPr>
      </w:pPr>
      <w:r>
        <w:rPr>
          <w:rFonts w:ascii="Times New Roman" w:cs="Times New Roman" w:eastAsia="Times New Roman" w:hAnsi="Times New Roman"/>
          <w:sz w:val="18"/>
          <w:szCs w:val="18"/>
          <w:color w:val="auto"/>
        </w:rPr>
        <w:t>two months of such general meeting shall be as valid and effectual as a special resolution carried at such general meeting.</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Issuance of New Shares</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Under the Singapore Companies Act, new shares may be issued only with the prior approval of our shareholders in a general meeting. General approval may be sought from our shareholders in a general meeting for the issuance of shares. Such approval, if granted, will lapse at the earlier of:</w:t>
      </w:r>
    </w:p>
    <w:p>
      <w:pPr>
        <w:spacing w:after="0" w:line="108"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or</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is required by law to be held (i.e., within six months after the end of each fiscal year);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any approval may be revoked or varied by the company in a general meeting.</w:t>
      </w:r>
    </w:p>
    <w:p>
      <w:pPr>
        <w:spacing w:after="0" w:line="15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shareholders have provided such general authority to issue new ordinary shares until the conclusion of our annual general meeting or the date by which the next annual general meeting of the Company is required by law to be held, whichever is earlier.</w:t>
      </w:r>
    </w:p>
    <w:p>
      <w:pPr>
        <w:spacing w:after="0" w:line="9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Subject to this and the provisions of the Singapore Companies Act and our constitution, our board of directors may allot, issue or grant options over or otherwise dispose of new ordinary shares to such persons on such terms and conditions and with the rights and restrictions as they may think fit to impose. Such rights are subject to any condition attached to such issue and the regulations of any stock exchange on which our ordinary shares are listed, as well as U.S. federal and blue sky securities laws applicable to such issue.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Our constitution provides that, subject to the Singapore Companies Act and our constitution, we may issue shares of a different class with preferential, deferred, qualified or special rights, privileges, conditions or such restrictions, whether with regard to dividend, voting, return of capital or otherwise, or which do not confer voting rights, as our board of directors may think fit. The Singapore Companies Act allows public companies such as us to issue shares with different voting rights (including special, limited or conditional voting rights, or no voting rights), subject to, among others, our shareholders having adopted a special resolution approving such issuance.</w:t>
      </w:r>
    </w:p>
    <w:p>
      <w:pPr>
        <w:spacing w:after="0" w:line="121"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may, subject to the Singapore Companies Act and the prior approval in a general meeting of our shareholders, issue preference shares that are, or at our option are to be, subject to redemption provided that such preference shares may not be redeemed out of the capital of the Company unless:</w:t>
      </w:r>
    </w:p>
    <w:p>
      <w:pPr>
        <w:spacing w:after="0" w:line="108" w:lineRule="exact"/>
        <w:rPr>
          <w:sz w:val="20"/>
          <w:szCs w:val="20"/>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directors have made a solvency statement in relation to such redemption; and</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lodged a copy of the statement with the Accounting and Corporate Regulatory Authority of Singapore. Further, the preference shares must be fully paid-up before they are redeemed.</w:t>
      </w:r>
    </w:p>
    <w:p>
      <w:pPr>
        <w:spacing w:after="0" w:line="94"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The issuance of preference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the Company.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Only persons who are registered in our register of members are recognized under Singapore law as our shareholders with legal standing under Singapore law to institute shareholder actions against us or otherwise seek to enforce their rights as shareholders. We will not, except as required by applicable law, recognize any equitable, contingent, future or partial interest in any ordinary share, or any interest in any fractional part of an ordinary share, or other rights for any ordinary share other than the absolute right thereto of the registered holder of that ordinary share. We may close our register of members for any time or times, provided that our register of members may not be closed for more than 30 days in the aggregate in any calendar year. We typically will close our register of members to determine shareholders’ entitlement to receive dividends and other distributions.</w:t>
      </w:r>
    </w:p>
    <w:p>
      <w:pPr>
        <w:spacing w:after="0" w:line="107"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Our ordinary shares are listed and traded on Nasdaq under the symbol “KARO.” Our ordinary shares are held through The Depository Trust Company (“DTC”). Accordingly, DTC or its nominee, Cede &amp; Co., is the shareholder on record registered in our register of members.</w:t>
      </w:r>
    </w:p>
    <w:p>
      <w:pPr>
        <w:spacing w:after="0" w:line="10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 holder of our ordinary shares held in book-entry interests through DTC or its nominee may become a registered shareholder by exchanging its interest in such shares for certificated ordinary shares and being registered in our register of members in respect of such shares. The procedures by which a holder of book-entry interests held through the facilities of the DTC may exchange such interests for certificated ordinary shares are determined by DTC (including the broker, bank, nominee or other institution that holds the shares within DTC) and Computershare Trust Company, N.A. (“Computershare”), which will act as our transfer agent, in accordance with their internal policies and guidelines regulating the withdrawal and exchange of book-entry interests for certificated ordinary shares.</w:t>
      </w:r>
    </w:p>
    <w:p>
      <w:pPr>
        <w:spacing w:after="0" w:line="12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Under the Singapore Companies Act, if (a) the name of any person is without sufficient cause entered in or omitted from the register of members; or (b) default is made or unnecessary delay takes place in entering in the register of members the fact of any person having ceased to be a member, the person aggrieved or any member or the public company itself, may apply to the Singapore courts for rectification of the register of members. The Singapore courts may refuse the application or may order rectification of the register of members and payment by the public company of any damages sustained by any party to the application. The Singapore courts will not entertain any application for the rectification of a register of members in respect of an entry which was made in the register of members more than 30 years before the date of the application.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 Code on Take-Overs and Mergers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Singapore Code on Take-Overs and Mergers, or “Singapore Take-over Code,” regulates, among other things, the acquisition of voting shares of Singapore-incorporated public companies. In this regard, the Singapore Take-over Code applies to, among others, corporations with a primary listing of their equity securities in Singapore.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While the Singapore Take-over Code is drafted with, among others, listed public companies in mind, unlisted public companies with more than 50 shareholders and net tangible assets of S$5.0 million or more, must also observe the letter and spirit of the general principles and rules of the Singapore Take-over Code, wherever this is possible and appropriate. Public companies with a primary listing overseas may apply to the Securities Industry Council (“</w:t>
      </w:r>
      <w:r>
        <w:rPr>
          <w:rFonts w:ascii="Times New Roman" w:cs="Times New Roman" w:eastAsia="Times New Roman" w:hAnsi="Times New Roman"/>
          <w:sz w:val="18"/>
          <w:szCs w:val="18"/>
          <w:b w:val="1"/>
          <w:bCs w:val="1"/>
          <w:color w:val="auto"/>
        </w:rPr>
        <w:t>SIC</w:t>
      </w:r>
      <w:r>
        <w:rPr>
          <w:rFonts w:ascii="Times New Roman" w:cs="Times New Roman" w:eastAsia="Times New Roman" w:hAnsi="Times New Roman"/>
          <w:sz w:val="18"/>
          <w:szCs w:val="18"/>
          <w:color w:val="auto"/>
        </w:rPr>
        <w:t>”) to waive the application of the Singapore Take-over Code. As at the date of this prospectus, no application has been made to SIC to waive the application of the Singapore Take-over Code in relation to us. We may submit an application to SIC for a waiver from the Singapore Take-over Code so that the Singapore Take-over Code will not apply to us for so long as we are not listed on a securities exchange in Singapore. We will make an appropriate announcement if we submit the application and when the result of the application is known.</w:t>
      </w:r>
    </w:p>
    <w:p>
      <w:pPr>
        <w:spacing w:after="0" w:line="12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Any person acquiring an interest, whether by a series of transactions over a period of time or not, shares which (taken together with shares held or acquired by parties acting in concert with such person) carry 30% or more of the voting rights in the Company or any person holding, either on his or her own or together with parties acting in concert with such person, between 30% and 50% (both amounts inclusive) of the voting rights in the Company, and if such person (or any party acting in concert with such person) acquires additional voting shares representing more than 1% of the voting rights in the Company in any six-month period, must, except with the consent of SIC, extend a mandatory take-over offer for all the remaining voting shares in accordance with the provisions of the Singapore Take-over Code. Responsibility for ensuring compliance with the Singapore Take-over Code rests with parties (including company directors) to a take-over or merger and their advisors.</w:t>
      </w:r>
    </w:p>
    <w:p>
      <w:pPr>
        <w:spacing w:after="0" w:line="127" w:lineRule="exact"/>
        <w:rPr>
          <w:sz w:val="20"/>
          <w:szCs w:val="20"/>
          <w:color w:val="auto"/>
        </w:rPr>
      </w:pPr>
    </w:p>
    <w:p>
      <w:pPr>
        <w:jc w:val="both"/>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Under the Singapore Take-over Code, “parties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83" w:lineRule="exact"/>
        <w:rPr>
          <w:sz w:val="20"/>
          <w:szCs w:val="20"/>
          <w:color w:val="auto"/>
        </w:rPr>
      </w:pPr>
    </w:p>
    <w:p>
      <w:pPr>
        <w:ind w:left="1320" w:right="579" w:hanging="434"/>
        <w:spacing w:after="0" w:line="258"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its parent company, subsidiaries and fellow subsidiaries (together, the related companies), the associated companies of any of the company and its related companies, companies whose associated companies include any of these foregoing companies and any person who has provided financial assistance (other than a bank in the ordinary course of business) to any of the foregoing for the purchase of voting rights;</w:t>
      </w:r>
    </w:p>
    <w:p>
      <w:pPr>
        <w:spacing w:after="0" w:line="115"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directors (together with their close relatives, related trusts and companies controlled by any of the directors, their close relatives and related trusts);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pension funds and employee share schemes;</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any investment company, unit trust or other fund whose investment such person manages on a discretionary basis but only in respect of the investment account which such person manages;</w:t>
      </w:r>
    </w:p>
    <w:p>
      <w:pPr>
        <w:spacing w:after="0" w:line="108"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or other professional adviser, including a stockbroker, with its client in respect of the shareholdings of the adviser and persons controlling, controlled by or under the same control as the adviser;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a company (together with their close relatives, related trusts and companies controlled by any of such directors, their close relatives and related trusts) which is subject to an offer or where the directors have reason to believe a bona fide offer for the company may be imminent;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and</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56"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and (i) such person’s close relatives, (ii) such person’s related trusts, (iii) any person who is accustomed to act in accordance with such person’s instructions, (iv) companies controlled by the individual, such person’s close relatives, such person’s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120"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Subject to certain exceptions, a mandatory take-over offer must be in cash or be accompanied by a cash alternative at not less than the highest price paid by the offeror or parties acting in concert with the offeror for voting rights in the offeree company during the offer period and within the six months prior to its commencement.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Under the Singapore Take-over Code,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enable them to reach an informed decision on the offer. These legal requirements may impede or delay a takeover of our company by a third-party.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Election and Reelection of Directors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may, by ordinary resolution, remove any director before the expiration of his or her period of office, notwithstanding anything in our constitution or in any agreement between us and such director but where any director so removed was appointed to represent the interests of any particular class of shareholders or debenture holders the resolution to remove him shall not take effect until his successor has been appointed. We may also, by an ordinary resolution, appoint another person in place of a director removed from office pursuant to the foregoing.</w:t>
      </w:r>
    </w:p>
    <w:p>
      <w:pPr>
        <w:spacing w:after="0" w:line="120"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Under our constitution, our directors shall be divided into three (3) classes as nearly equal in size as is practicable, hereby designated Class I, Class II and Class III.</w:t>
      </w:r>
    </w:p>
    <w:p>
      <w:pPr>
        <w:spacing w:after="0" w:line="8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may assign members of the board of directors already in office to such classes at the time such classification becomes effective. The term of office of the initial Class I directors shall expire at the first annual general meeting following the adoption of our constitution, the term of office of the initial Class II directors shall expire at the second annual general meeting following the adoption of this constitution and the term of office of the initial Class III directors shall expire at the third annual general meeting following the adoption of our constitution. At each annual general meeting, commencing with the first annual general meeting following the adoption of our constitution,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duly elected and qualified. A retiring director shall be eligible for re-election.</w:t>
      </w:r>
    </w:p>
    <w:p>
      <w:pPr>
        <w:spacing w:after="0" w:line="127"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Subject to the Singapore Companies Act, we are required to hold an annual general meeting of shareholders within six months from the end of our fiscal year. The directors may convene an extraordinary general meeting whenever they think fit and they must do so upon the requisition of shareholders holding not less than 10% of the total number of paid-up shares as of the date of deposit of the requisition carrying the right to vote at a general meeting (disregarding paid-up shares held as treasury shares). In addition, two or more shareholders holding not less than 10% of our total number of issued shares (excluding treasury shares) may call a meeting of our shareholders.</w:t>
      </w:r>
    </w:p>
    <w:p>
      <w:pPr>
        <w:spacing w:after="0" w:line="108"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Singapore Companies Act provides that a shareholder is entitled to attend any general meeting and speak on any resolution put before the general meeting. Unless otherwise required by law or by our constitution, voting on resolutions put forth at general meetings is by ordinary resolution, requiring the affirmative vote of a simple majority of the voting rights of the shareholders present in person or represented by proxy at the meeting and entitled to vote on the resolution. An ordinary resolution suffices, for example, for the appointment of directors. A special resolution, requiring the affirmative vote of not less than three-fourths of the voting rights of the shareholders present in person or represented by proxy at the meeting and entitled to vote on the resolution, is necessary for certain matters under Singapore law, including voluntary winding-up, amendments to our constitution, a change of our corporate name and a reduction in the share capital.</w:t>
      </w:r>
    </w:p>
    <w:p>
      <w:pPr>
        <w:spacing w:after="0" w:line="121"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We must give at least 21 days’ notice in writing for every general meeting convened for the purpose of passing a special resolution. General meetings convened for the purpose of passing ordinary resolutions generally require at least 14 days’ notice in writing.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Minority Rights</w:t>
      </w:r>
    </w:p>
    <w:p>
      <w:pPr>
        <w:spacing w:after="0" w:line="148" w:lineRule="exact"/>
        <w:rPr>
          <w:sz w:val="20"/>
          <w:szCs w:val="20"/>
          <w:color w:val="auto"/>
        </w:rPr>
      </w:pPr>
    </w:p>
    <w:p>
      <w:pPr>
        <w:ind w:left="460" w:right="999" w:firstLine="432"/>
        <w:spacing w:after="0" w:line="289" w:lineRule="auto"/>
        <w:rPr>
          <w:sz w:val="20"/>
          <w:szCs w:val="20"/>
          <w:color w:val="auto"/>
        </w:rPr>
      </w:pPr>
      <w:r>
        <w:rPr>
          <w:rFonts w:ascii="Times New Roman" w:cs="Times New Roman" w:eastAsia="Times New Roman" w:hAnsi="Times New Roman"/>
          <w:sz w:val="17"/>
          <w:szCs w:val="17"/>
          <w:color w:val="auto"/>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spacing w:after="0" w:line="90" w:lineRule="exact"/>
        <w:rPr>
          <w:sz w:val="20"/>
          <w:szCs w:val="20"/>
          <w:color w:val="auto"/>
        </w:rPr>
      </w:pPr>
    </w:p>
    <w:p>
      <w:pPr>
        <w:ind w:left="1320" w:right="959" w:hanging="434"/>
        <w:spacing w:after="0" w:line="26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Singapore courts have a wide discretion as to the remedies they may grant and the remedies listed in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Companies Act itself are not exclusive. In general, the Singapore courts may:</w:t>
      </w:r>
    </w:p>
    <w:p>
      <w:pPr>
        <w:spacing w:after="0" w:line="139" w:lineRule="exact"/>
        <w:rPr>
          <w:sz w:val="20"/>
          <w:szCs w:val="20"/>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prohibit any act or cancel or modify any transaction or resolution;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conduct of the affairs of the company in the future;</w:t>
      </w:r>
    </w:p>
    <w:p>
      <w:pPr>
        <w:spacing w:after="0" w:line="144"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civil proceedings to be brought in the name of, or on behalf of, the company by a person or persons and on such terms as the court may direct;</w:t>
      </w:r>
    </w:p>
    <w:p>
      <w:pPr>
        <w:spacing w:after="0" w:line="94" w:lineRule="exact"/>
        <w:rPr>
          <w:rFonts w:ascii="Times New Roman" w:cs="Times New Roman" w:eastAsia="Times New Roman" w:hAnsi="Times New Roman"/>
          <w:sz w:val="18"/>
          <w:szCs w:val="18"/>
          <w:color w:val="auto"/>
        </w:rPr>
      </w:pPr>
    </w:p>
    <w:p>
      <w:pPr>
        <w:ind w:left="1320" w:right="639" w:hanging="434"/>
        <w:spacing w:after="0" w:line="266"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purchase of a minority shareholder’s shares by the other shareholders or by the company and, in the case of a purchase of shares by the company, a corresponding reduction of its share capital; or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company be wound up.</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Section 216A of the Singapore Companies Act allows a complainant (including a minority shareholder) to apply to the Singapore courts for leave to bring an action in a court proceeding or arbitration to which a company is a party or intervene in an action in a court proceeding or arbitration to which a company is a party for the purpose of prosecuting, defending or discontinuing the action or arbitration on behalf of a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Liquidation or Other Return of Capital</w:t>
      </w:r>
    </w:p>
    <w:p>
      <w:pPr>
        <w:spacing w:after="0" w:line="162"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On a winding-up or other return of capital, subject to any special rights attaching to any other class of shares, holders of ordinary shares will be entitled to participate in any surplus assets in proportion to their shareholdings.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162"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Under Section 172 of the Singapore Companies Act, any provision exempting or indemnifying the officers of a company (including directors) against any liability that would otherwise attach to them in connection with any negligence, default, breach of duty or breach of trust in relation to the company is void. However, a company is not prohibited from: (a) as provided in Section 172A of the Singapore Companies Act, purchasing and maintaining for any such individual insurance against liability incurred by him or her in connection with any negligence, default, breach of duty or breach of trust in relation to the company; or (b) as provided in Section 172B of the Singapore Companies Act, indemnifying the individual against liability incurred by him or her to a person other than the company except when the indemnity is against any liability</w:t>
      </w:r>
    </w:p>
    <w:p>
      <w:pPr>
        <w:spacing w:after="0" w:line="1" w:lineRule="exact"/>
        <w:rPr>
          <w:sz w:val="20"/>
          <w:szCs w:val="20"/>
          <w:color w:val="auto"/>
        </w:rPr>
      </w:pPr>
    </w:p>
    <w:p>
      <w:pPr>
        <w:ind w:left="460" w:right="659" w:hanging="6"/>
        <w:spacing w:after="0" w:line="265" w:lineRule="auto"/>
        <w:tabs>
          <w:tab w:leader="none" w:pos="67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individual to pay a fine in criminal proceedings, (ii) of the individual to pay a penalty to a regulatory authority in respect of non-compliance with any requirements of a regulatory nature (howsoever arising),</w:t>
      </w:r>
    </w:p>
    <w:p>
      <w:pPr>
        <w:ind w:left="460" w:right="499" w:hanging="6"/>
        <w:spacing w:after="0" w:line="253" w:lineRule="auto"/>
        <w:tabs>
          <w:tab w:leader="none" w:pos="7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by the individual in defending criminal proceedings in which he or she is convicted, (iv) incurred by the individual in defending civil proceedings brought by the company or a related company in which judgment is given against him or her, or (v) incurred by the individual in connection with an application for relief under Section 76A(13) or Section 391 of the Singapore Companies Act in which the court refuses to grant him or her relief.</w:t>
      </w:r>
    </w:p>
    <w:p>
      <w:pPr>
        <w:spacing w:after="0" w:line="106"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our company, every director, secretary or other officer of the Company shall be entitled to be indemnified by us against all costs, charges, losses, expenses and liabilities incurred or to be incurred by them in the execution and discharge of their duties or in relation thereto.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addition,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us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duties of his or her office or in relation thereto unless the same shall happen through his or her own negligence, willful default, breach of duty or breach of trust.</w:t>
      </w:r>
    </w:p>
    <w:p>
      <w:pPr>
        <w:spacing w:after="0" w:line="121"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(on terms that the full amount of such advances is to be repaid if the individual is convicted in the relevant proceeding (with such conviction being final), final judgment is given against the individual in the relevant proceeding or, as the case may be, the court refuses to grant the individual relief on the application (with such refusal of relief being final)), save that the Company shall not provide any indemnity (to any extent) to a director or an officer against any liability attaching to him in connection with any negligence, default, breach of duty or breach of trust in relation to the Company save for the circumstances as permitted pursuant to Section 172A and Section 172B of the Singapore Companies Act. These indemnification rights shall not be exclusive of any other right which an indemnified person may have or hereafter acquire under any statute, provision of our constitution, agreement, vote of shareholders or disinterested directors or otherwise.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The transfer agent and branch registrar for our ordinary shares, which maintains our branch register located in the United States, is Computershare. Its address is 150 Royall Street, Canton, Massachusetts 02021. In South Africa, Computershare Investor Services Proprietary Limited maintains an administrative depositary share register to facilitate trading on the JSE.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148"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11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This discussion does not purport to be a complete or comprehensive statement of the rights of holders of our ordinary shares under applicable law in Singapore and our constitution or the rights of holders of the common stock of a typical corporation under applicable Delaware law and a typical certificate of incorporation and bylaws.</w:t>
      </w:r>
    </w:p>
    <w:p>
      <w:pPr>
        <w:spacing w:after="0" w:line="162" w:lineRule="exact"/>
        <w:rPr>
          <w:sz w:val="20"/>
          <w:szCs w:val="20"/>
          <w:color w:val="auto"/>
        </w:rPr>
      </w:pPr>
    </w:p>
    <w:p>
      <w:pPr>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7"/>
          <w:szCs w:val="17"/>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19"/>
        <w:spacing w:after="0" w:line="270" w:lineRule="auto"/>
        <w:rPr>
          <w:sz w:val="20"/>
          <w:szCs w:val="20"/>
          <w:color w:val="auto"/>
        </w:rPr>
      </w:pPr>
      <w:r>
        <w:rPr>
          <w:rFonts w:ascii="Times New Roman" w:cs="Times New Roman" w:eastAsia="Times New Roman" w:hAnsi="Times New Roman"/>
          <w:sz w:val="17"/>
          <w:szCs w:val="17"/>
          <w:color w:val="auto"/>
        </w:rPr>
        <w:t>The constitution of companies will typically state the minimum number of directors as well as provide that directors may be appointed or removed by shareholders via ordinary resolution passed at a general meeting, provided that the number of directors following such appointment or removal is within the minimum (and maximum, if any) number of directors provided in the constitution. Our constitution provides that subject to the Singapore Companies Act, there shall be at least one director who is ordinarily resident in Singapore.</w:t>
      </w:r>
    </w:p>
    <w:p>
      <w:pPr>
        <w:spacing w:after="0" w:line="190" w:lineRule="exact"/>
        <w:rPr>
          <w:sz w:val="20"/>
          <w:szCs w:val="20"/>
          <w:color w:val="auto"/>
        </w:rPr>
      </w:pPr>
    </w:p>
    <w:p>
      <w:pPr>
        <w:sectPr>
          <w:pgSz w:w="11900" w:h="16838" w:orient="portrait"/>
          <w:cols w:equalWidth="0" w:num="2">
            <w:col w:w="4360" w:space="14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Limitation on Personal Liability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provides for the elimination of personal monetary liability of directors for breach of fiduciary duties as directors to the fullest extent permissible under the laws of Delaware, except for liability (i) for any breach of a director’s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left="460" w:hanging="6"/>
        <w:spacing w:after="0" w:line="251" w:lineRule="auto"/>
        <w:tabs>
          <w:tab w:leader="none" w:pos="7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would also provide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67" w:lineRule="auto"/>
        <w:rPr>
          <w:sz w:val="20"/>
          <w:szCs w:val="20"/>
          <w:color w:val="auto"/>
        </w:rPr>
      </w:pPr>
      <w:r>
        <w:rPr>
          <w:rFonts w:ascii="Times New Roman" w:cs="Times New Roman" w:eastAsia="Times New Roman" w:hAnsi="Times New Roman"/>
          <w:sz w:val="17"/>
          <w:szCs w:val="17"/>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w:t>
      </w:r>
    </w:p>
    <w:p>
      <w:pPr>
        <w:spacing w:after="0" w:line="4" w:lineRule="exact"/>
        <w:rPr>
          <w:sz w:val="20"/>
          <w:szCs w:val="20"/>
          <w:color w:val="auto"/>
        </w:rPr>
      </w:pPr>
    </w:p>
    <w:p>
      <w:pPr>
        <w:ind w:right="579" w:firstLine="4"/>
        <w:spacing w:after="0" w:line="251" w:lineRule="auto"/>
        <w:tabs>
          <w:tab w:leader="none" w:pos="2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163" w:lineRule="exact"/>
        <w:rPr>
          <w:sz w:val="20"/>
          <w:szCs w:val="20"/>
          <w:color w:val="auto"/>
        </w:rPr>
      </w:pPr>
    </w:p>
    <w:p>
      <w:pPr>
        <w:ind w:right="479"/>
        <w:spacing w:after="0" w:line="251"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0" w:lineRule="exact"/>
        <w:rPr>
          <w:sz w:val="20"/>
          <w:szCs w:val="20"/>
          <w:color w:val="auto"/>
        </w:rPr>
      </w:pPr>
    </w:p>
    <w:p>
      <w:pPr>
        <w:sectPr>
          <w:pgSz w:w="11900" w:h="16838" w:orient="portrait"/>
          <w:cols w:equalWidth="0" w:num="2">
            <w:col w:w="4360" w:space="140"/>
            <w:col w:w="4519"/>
          </w:cols>
          <w:pgMar w:left="1440" w:top="270" w:right="1440"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p>
      <w:pPr>
        <w:spacing w:after="0" w:line="112"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There are no comparable provisions in Singapore with respect to public companies which are not listed on the Singapore Exchange Securities Trading Limited.</w:t>
      </w:r>
    </w:p>
    <w:p>
      <w:pPr>
        <w:spacing w:after="0" w:line="4816"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ectPr>
          <w:pgSz w:w="11900" w:h="16838" w:orient="portrait"/>
          <w:cols w:equalWidth="0" w:num="1">
            <w:col w:w="9019"/>
          </w:cols>
          <w:pgMar w:left="1440" w:top="270" w:right="1440" w:bottom="1440" w:gutter="0" w:footer="0" w:header="0"/>
          <w:type w:val="continuous"/>
        </w:sectPr>
      </w:pPr>
    </w:p>
    <w:p>
      <w:pPr>
        <w:spacing w:after="0" w:line="202"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52" w:lineRule="auto"/>
        <w:rPr>
          <w:sz w:val="20"/>
          <w:szCs w:val="20"/>
          <w:color w:val="auto"/>
        </w:rPr>
      </w:pPr>
      <w:r>
        <w:rPr>
          <w:rFonts w:ascii="Times New Roman" w:cs="Times New Roman" w:eastAsia="Times New Roman" w:hAnsi="Times New Roman"/>
          <w:sz w:val="18"/>
          <w:szCs w:val="18"/>
          <w:color w:val="auto"/>
        </w:rPr>
        <w:t>According to the Singapore Companies Act, directors of a public company may be removed before expiration of their term of office with or without cause by ordinary resolution (i.e., a resolution requiring the affirmative vote of a simple majority of those shareholders present and voting in person or by proxy). Notice of the intention to move such a resolution has to be given to the company not less than 28 days before the meeting at which it is moved. The company shall then give notice of such resolution to its shareholders not less than</w:t>
      </w:r>
    </w:p>
    <w:p>
      <w:pPr>
        <w:spacing w:after="0" w:line="5" w:lineRule="exact"/>
        <w:rPr>
          <w:sz w:val="20"/>
          <w:szCs w:val="20"/>
          <w:color w:val="auto"/>
        </w:rPr>
      </w:pPr>
    </w:p>
    <w:p>
      <w:pPr>
        <w:ind w:right="579"/>
        <w:spacing w:after="0" w:line="252" w:lineRule="auto"/>
        <w:rPr>
          <w:sz w:val="20"/>
          <w:szCs w:val="20"/>
          <w:color w:val="auto"/>
        </w:rPr>
      </w:pPr>
      <w:r>
        <w:rPr>
          <w:rFonts w:ascii="Times New Roman" w:cs="Times New Roman" w:eastAsia="Times New Roman" w:hAnsi="Times New Roman"/>
          <w:sz w:val="18"/>
          <w:szCs w:val="18"/>
          <w:color w:val="auto"/>
        </w:rPr>
        <w:t>14 days before the meeting. Where any director removed in this manner was appointed to represent the interests of any particular class of shareholders or debenture holders, the resolution to remove such director will not take effect until such director’s successor has been appointed.</w:t>
      </w:r>
    </w:p>
    <w:p>
      <w:pPr>
        <w:spacing w:after="0" w:line="159" w:lineRule="exact"/>
        <w:rPr>
          <w:sz w:val="20"/>
          <w:szCs w:val="20"/>
          <w:color w:val="auto"/>
        </w:rPr>
      </w:pPr>
    </w:p>
    <w:p>
      <w:pPr>
        <w:sectPr>
          <w:pgSz w:w="11900" w:h="16838" w:orient="portrait"/>
          <w:cols w:equalWidth="0" w:num="2">
            <w:col w:w="4340" w:space="16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Filling Vacancies on the Board of Directors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99"/>
        <w:spacing w:after="0" w:line="255" w:lineRule="auto"/>
        <w:rPr>
          <w:sz w:val="20"/>
          <w:szCs w:val="20"/>
          <w:color w:val="auto"/>
        </w:rPr>
      </w:pPr>
      <w:r>
        <w:rPr>
          <w:rFonts w:ascii="Times New Roman" w:cs="Times New Roman" w:eastAsia="Times New Roman" w:hAnsi="Times New Roman"/>
          <w:sz w:val="18"/>
          <w:szCs w:val="18"/>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1484"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tbl>
      <w:tblPr>
        <w:tblLayout w:type="fixed"/>
        <w:tblInd w:w="460" w:type="dxa"/>
        <w:tblCellMar>
          <w:top w:w="0" w:type="dxa"/>
          <w:left w:w="0" w:type="dxa"/>
          <w:bottom w:w="0" w:type="dxa"/>
          <w:right w:w="0" w:type="dxa"/>
        </w:tblCellMar>
      </w:tblPr>
      <w:tr>
        <w:trPr>
          <w:trHeight w:val="207"/>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240" w:type="dxa"/>
            <w:vAlign w:val="bottom"/>
          </w:tcPr>
          <w:p>
            <w:pPr>
              <w:spacing w:after="0"/>
              <w:rPr>
                <w:sz w:val="17"/>
                <w:szCs w:val="17"/>
                <w:color w:val="auto"/>
              </w:rPr>
            </w:pPr>
          </w:p>
        </w:tc>
      </w:tr>
      <w:tr>
        <w:trPr>
          <w:trHeight w:val="439"/>
        </w:trPr>
        <w:tc>
          <w:tcPr>
            <w:tcW w:w="1280" w:type="dxa"/>
            <w:vAlign w:val="bottom"/>
            <w:tcBorders>
              <w:top w:val="single" w:sz="8" w:color="0000EE"/>
            </w:tcBorders>
          </w:tcPr>
          <w:p>
            <w:pPr>
              <w:spacing w:after="0"/>
              <w:rPr>
                <w:sz w:val="24"/>
                <w:szCs w:val="24"/>
                <w:color w:val="auto"/>
              </w:rPr>
            </w:pPr>
          </w:p>
        </w:tc>
        <w:tc>
          <w:tcPr>
            <w:tcW w:w="2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4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Singapore</w:t>
            </w:r>
          </w:p>
        </w:tc>
      </w:tr>
      <w:tr>
        <w:trPr>
          <w:trHeight w:val="41"/>
        </w:trPr>
        <w:tc>
          <w:tcPr>
            <w:tcW w:w="1280" w:type="dxa"/>
            <w:vAlign w:val="bottom"/>
            <w:tcBorders>
              <w:bottom w:val="single" w:sz="8" w:color="auto"/>
            </w:tcBorders>
          </w:tcPr>
          <w:p>
            <w:pPr>
              <w:spacing w:after="0"/>
              <w:rPr>
                <w:sz w:val="3"/>
                <w:szCs w:val="3"/>
                <w:color w:val="auto"/>
              </w:rPr>
            </w:pPr>
          </w:p>
        </w:tc>
        <w:tc>
          <w:tcPr>
            <w:tcW w:w="6820" w:type="dxa"/>
            <w:vAlign w:val="bottom"/>
            <w:tcBorders>
              <w:bottom w:val="single" w:sz="8" w:color="auto"/>
            </w:tcBorders>
            <w:gridSpan w:val="2"/>
          </w:tcPr>
          <w:p>
            <w:pPr>
              <w:spacing w:after="0"/>
              <w:rPr>
                <w:sz w:val="3"/>
                <w:szCs w:val="3"/>
                <w:color w:val="auto"/>
              </w:rPr>
            </w:pPr>
          </w:p>
        </w:tc>
      </w:tr>
      <w:tr>
        <w:trPr>
          <w:trHeight w:val="232"/>
        </w:trPr>
        <w:tc>
          <w:tcPr>
            <w:tcW w:w="1280" w:type="dxa"/>
            <w:vAlign w:val="bottom"/>
          </w:tcPr>
          <w:p>
            <w:pPr>
              <w:spacing w:after="0"/>
              <w:rPr>
                <w:sz w:val="20"/>
                <w:szCs w:val="20"/>
                <w:color w:val="auto"/>
              </w:rPr>
            </w:pPr>
          </w:p>
        </w:tc>
        <w:tc>
          <w:tcPr>
            <w:tcW w:w="68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tc>
      </w:tr>
      <w:tr>
        <w:trPr>
          <w:trHeight w:val="360"/>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Certification of Incorporation and</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Alteration to Constitution</w:t>
            </w:r>
          </w:p>
        </w:tc>
      </w:t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Bylaws</w:t>
            </w:r>
          </w:p>
        </w:tc>
        <w:tc>
          <w:tcPr>
            <w:tcW w:w="4240" w:type="dxa"/>
            <w:vAlign w:val="bottom"/>
          </w:tcPr>
          <w:p>
            <w:pPr>
              <w:spacing w:after="0"/>
              <w:rPr>
                <w:sz w:val="20"/>
                <w:szCs w:val="20"/>
                <w:color w:val="auto"/>
              </w:rPr>
            </w:pPr>
          </w:p>
        </w:tc>
      </w:tr>
    </w:tbl>
    <w:p>
      <w:pPr>
        <w:spacing w:after="0" w:line="171" w:lineRule="exact"/>
        <w:rPr>
          <w:sz w:val="20"/>
          <w:szCs w:val="20"/>
          <w:color w:val="auto"/>
        </w:rPr>
      </w:pPr>
    </w:p>
    <w:p>
      <w:pPr>
        <w:sectPr>
          <w:pgSz w:w="11900" w:h="16838" w:orient="portrait"/>
          <w:cols w:equalWidth="0" w:num="1">
            <w:col w:w="9019"/>
          </w:cols>
          <w:pgMar w:left="1440" w:top="257" w:right="1440" w:bottom="1440" w:gutter="0" w:footer="0" w:header="0"/>
        </w:sectPr>
      </w:pPr>
    </w:p>
    <w:p>
      <w:pPr>
        <w:ind w:left="46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amendments to a corporation’s certificate of incorporation require the approval of stockholders holding a majority of the outstanding shares entitled to vote on the amendment.</w:t>
      </w:r>
    </w:p>
    <w:p>
      <w:pPr>
        <w:spacing w:after="0" w:line="102" w:lineRule="exact"/>
        <w:rPr>
          <w:sz w:val="20"/>
          <w:szCs w:val="20"/>
          <w:color w:val="auto"/>
        </w:rPr>
      </w:pPr>
    </w:p>
    <w:p>
      <w:pPr>
        <w:ind w:left="460" w:right="100"/>
        <w:spacing w:after="0" w:line="253" w:lineRule="auto"/>
        <w:rPr>
          <w:sz w:val="20"/>
          <w:szCs w:val="20"/>
          <w:color w:val="auto"/>
        </w:rPr>
      </w:pPr>
      <w:r>
        <w:rPr>
          <w:rFonts w:ascii="Times New Roman" w:cs="Times New Roman" w:eastAsia="Times New Roman" w:hAnsi="Times New Roman"/>
          <w:sz w:val="18"/>
          <w:szCs w:val="18"/>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p>
      <w:pPr>
        <w:spacing w:after="0" w:line="20" w:lineRule="exact"/>
        <w:rPr>
          <w:sz w:val="20"/>
          <w:szCs w:val="20"/>
          <w:color w:val="auto"/>
        </w:rPr>
      </w:pPr>
      <w:r>
        <w:rPr>
          <w:sz w:val="20"/>
          <w:szCs w:val="20"/>
          <w:color w:val="auto"/>
        </w:rPr>
        <w:br w:type="column"/>
      </w:r>
    </w:p>
    <w:p>
      <w:pPr>
        <w:ind w:right="479"/>
        <w:spacing w:after="0" w:line="255" w:lineRule="auto"/>
        <w:rPr>
          <w:sz w:val="20"/>
          <w:szCs w:val="20"/>
          <w:color w:val="auto"/>
        </w:rPr>
      </w:pPr>
      <w:r>
        <w:rPr>
          <w:rFonts w:ascii="Times New Roman" w:cs="Times New Roman" w:eastAsia="Times New Roman" w:hAnsi="Times New Roman"/>
          <w:sz w:val="18"/>
          <w:szCs w:val="18"/>
          <w:color w:val="auto"/>
        </w:rPr>
        <w:t>Our constitution may be altered by special resolution (i.e., a resolution requiring the affirmative vote of not less than three-fourths majority of the shareholders present in person or represented by proxy at the meeting and entitled to vote on the resolution for which not less than 21 days written notice is given). Our board of directors has no power to amend our constitution.</w:t>
      </w:r>
    </w:p>
    <w:p>
      <w:pPr>
        <w:spacing w:after="0" w:line="2020" w:lineRule="exact"/>
        <w:rPr>
          <w:sz w:val="20"/>
          <w:szCs w:val="20"/>
          <w:color w:val="auto"/>
        </w:rPr>
      </w:pPr>
    </w:p>
    <w:p>
      <w:pPr>
        <w:sectPr>
          <w:pgSz w:w="11900" w:h="16838" w:orient="portrait"/>
          <w:cols w:equalWidth="0" w:num="2">
            <w:col w:w="4400" w:space="100"/>
            <w:col w:w="4519"/>
          </w:cols>
          <w:pgMar w:left="1440" w:top="25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198"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b w:val="1"/>
          <w:bCs w:val="1"/>
          <w:i w:val="1"/>
          <w:iCs w:val="1"/>
          <w:color w:val="auto"/>
        </w:rPr>
        <w:t>Annual and Special Meetings</w:t>
      </w:r>
      <w:r>
        <w:rPr>
          <w:sz w:val="20"/>
          <w:szCs w:val="20"/>
          <w:color w:val="auto"/>
        </w:rPr>
        <w:tab/>
      </w:r>
      <w:r>
        <w:rPr>
          <w:rFonts w:ascii="Times New Roman" w:cs="Times New Roman" w:eastAsia="Times New Roman" w:hAnsi="Times New Roman"/>
          <w:sz w:val="18"/>
          <w:szCs w:val="18"/>
          <w:b w:val="1"/>
          <w:bCs w:val="1"/>
          <w:i w:val="1"/>
          <w:iCs w:val="1"/>
          <w:color w:val="auto"/>
        </w:rPr>
        <w:t>Annual General Meetings</w:t>
      </w:r>
    </w:p>
    <w:p>
      <w:pPr>
        <w:sectPr>
          <w:pgSz w:w="11900" w:h="16838" w:orient="portrait"/>
          <w:cols w:equalWidth="0" w:num="1">
            <w:col w:w="9019"/>
          </w:cols>
          <w:pgMar w:left="1440" w:top="257" w:right="1440" w:bottom="1440" w:gutter="0" w:footer="0" w:header="0"/>
          <w:type w:val="continuous"/>
        </w:sectPr>
      </w:pPr>
    </w:p>
    <w:p>
      <w:pPr>
        <w:spacing w:after="0" w:line="202" w:lineRule="exact"/>
        <w:rPr>
          <w:sz w:val="20"/>
          <w:szCs w:val="20"/>
          <w:color w:val="auto"/>
        </w:rPr>
      </w:pPr>
    </w:p>
    <w:p>
      <w:pPr>
        <w:ind w:left="460" w:right="340"/>
        <w:spacing w:after="0" w:line="266" w:lineRule="auto"/>
        <w:rPr>
          <w:sz w:val="20"/>
          <w:szCs w:val="20"/>
          <w:color w:val="auto"/>
        </w:rPr>
      </w:pPr>
      <w:r>
        <w:rPr>
          <w:rFonts w:ascii="Times New Roman" w:cs="Times New Roman" w:eastAsia="Times New Roman" w:hAnsi="Times New Roman"/>
          <w:sz w:val="18"/>
          <w:szCs w:val="18"/>
          <w:color w:val="auto"/>
        </w:rPr>
        <w:t>Typical bylaws provide that annual meetings of stockholders are to be held on a date and at a time fixed by the board of directors.</w:t>
      </w:r>
    </w:p>
    <w:p>
      <w:pPr>
        <w:spacing w:after="0" w:line="95" w:lineRule="exact"/>
        <w:rPr>
          <w:sz w:val="20"/>
          <w:szCs w:val="20"/>
          <w:color w:val="auto"/>
        </w:rPr>
      </w:pPr>
    </w:p>
    <w:p>
      <w:pPr>
        <w:ind w:left="460"/>
        <w:spacing w:after="0" w:line="281" w:lineRule="auto"/>
        <w:rPr>
          <w:sz w:val="20"/>
          <w:szCs w:val="20"/>
          <w:color w:val="auto"/>
        </w:rPr>
      </w:pPr>
      <w:r>
        <w:rPr>
          <w:rFonts w:ascii="Times New Roman" w:cs="Times New Roman" w:eastAsia="Times New Roman" w:hAnsi="Times New Roman"/>
          <w:sz w:val="17"/>
          <w:szCs w:val="17"/>
          <w:color w:val="auto"/>
        </w:rPr>
        <w:t>Under the Delaware General Corporation Law, a special meeting of stockholders may be called by the board of directors or by any other person authorized to do so in the certificate of incorporation or the bylaws.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19"/>
        <w:spacing w:after="0" w:line="261" w:lineRule="auto"/>
        <w:rPr>
          <w:sz w:val="20"/>
          <w:szCs w:val="20"/>
          <w:color w:val="auto"/>
        </w:rPr>
      </w:pPr>
      <w:r>
        <w:rPr>
          <w:rFonts w:ascii="Times New Roman" w:cs="Times New Roman" w:eastAsia="Times New Roman" w:hAnsi="Times New Roman"/>
          <w:sz w:val="18"/>
          <w:szCs w:val="18"/>
          <w:color w:val="auto"/>
        </w:rPr>
        <w:t>Subject to the Singapore Companies Act, we are required to hold an annual general meeting of shareholders within six months from the end of our fiscal year.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Extraordinary General Meetings</w:t>
      </w:r>
    </w:p>
    <w:p>
      <w:pPr>
        <w:spacing w:after="0" w:line="162" w:lineRule="exact"/>
        <w:rPr>
          <w:sz w:val="20"/>
          <w:szCs w:val="20"/>
          <w:color w:val="auto"/>
        </w:rPr>
      </w:pPr>
    </w:p>
    <w:p>
      <w:pPr>
        <w:ind w:right="519"/>
        <w:spacing w:after="0" w:line="254" w:lineRule="auto"/>
        <w:rPr>
          <w:sz w:val="20"/>
          <w:szCs w:val="20"/>
          <w:color w:val="auto"/>
        </w:rPr>
      </w:pPr>
      <w:r>
        <w:rPr>
          <w:rFonts w:ascii="Times New Roman" w:cs="Times New Roman" w:eastAsia="Times New Roman" w:hAnsi="Times New Roman"/>
          <w:sz w:val="18"/>
          <w:szCs w:val="18"/>
          <w:color w:val="auto"/>
        </w:rPr>
        <w:t>Any general meeting other than the annual general meeting is called an “extraordinary general meeting.” Two or more shareholders holding not less than 10% of the total number of issued shares (excluding treasury shares) may call an extraordinary general meeting. In addition, the constitution usually also provides that general meetings may be convened in accordance with the Singapore Companies Act by the directors.</w:t>
      </w:r>
    </w:p>
    <w:p>
      <w:pPr>
        <w:spacing w:after="0" w:line="124" w:lineRule="exact"/>
        <w:rPr>
          <w:sz w:val="20"/>
          <w:szCs w:val="20"/>
          <w:color w:val="auto"/>
        </w:rPr>
      </w:pPr>
    </w:p>
    <w:p>
      <w:pPr>
        <w:ind w:right="479"/>
        <w:spacing w:after="0" w:line="253" w:lineRule="auto"/>
        <w:rPr>
          <w:sz w:val="20"/>
          <w:szCs w:val="20"/>
          <w:color w:val="auto"/>
        </w:rPr>
      </w:pPr>
      <w:r>
        <w:rPr>
          <w:rFonts w:ascii="Times New Roman" w:cs="Times New Roman" w:eastAsia="Times New Roman" w:hAnsi="Times New Roman"/>
          <w:sz w:val="18"/>
          <w:szCs w:val="18"/>
          <w:color w:val="auto"/>
        </w:rPr>
        <w:t>Notwithstanding anything in the constitution, the directors are required to convene a general meeting if required to do so by requisition (i.e., written notice to directors requiring that a meeting be called) by shareholders holding not less than 10% of the total number of paid-up shares as at the date of the deposit of the requisition carrying the right of voting at general meetings of the company. In addition, our constitution provides that the directors may, whenever they think fit, convene an extraordinary general meeting.</w:t>
      </w:r>
    </w:p>
    <w:p>
      <w:pPr>
        <w:spacing w:after="0" w:line="194" w:lineRule="exact"/>
        <w:rPr>
          <w:sz w:val="20"/>
          <w:szCs w:val="20"/>
          <w:color w:val="auto"/>
        </w:rPr>
      </w:pPr>
    </w:p>
    <w:p>
      <w:pPr>
        <w:sectPr>
          <w:pgSz w:w="11900" w:h="16838" w:orient="portrait"/>
          <w:cols w:equalWidth="0" w:num="2">
            <w:col w:w="4380" w:space="120"/>
            <w:col w:w="4519"/>
          </w:cols>
          <w:pgMar w:left="1440" w:top="25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type w:val="continuous"/>
        </w:sectPr>
      </w:pPr>
    </w:p>
    <w:bookmarkStart w:id="56" w:name="page57"/>
    <w:bookmarkEnd w:id="56"/>
    <w:tbl>
      <w:tblPr>
        <w:tblLayout w:type="fixed"/>
        <w:tblInd w:w="460" w:type="dxa"/>
        <w:tblCellMar>
          <w:top w:w="0" w:type="dxa"/>
          <w:left w:w="0" w:type="dxa"/>
          <w:bottom w:w="0" w:type="dxa"/>
          <w:right w:w="0" w:type="dxa"/>
        </w:tblCellMar>
      </w:tblPr>
      <w:tr>
        <w:trPr>
          <w:trHeight w:val="207"/>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280" w:type="dxa"/>
            <w:vAlign w:val="bottom"/>
            <w:tcBorders>
              <w:top w:val="single" w:sz="8" w:color="0000EE"/>
            </w:tcBorders>
          </w:tcPr>
          <w:p>
            <w:pPr>
              <w:spacing w:after="0"/>
              <w:rPr>
                <w:sz w:val="24"/>
                <w:szCs w:val="24"/>
                <w:color w:val="auto"/>
              </w:rPr>
            </w:pPr>
          </w:p>
        </w:tc>
        <w:tc>
          <w:tcPr>
            <w:tcW w:w="27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6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Singapore</w:t>
            </w:r>
          </w:p>
        </w:tc>
        <w:tc>
          <w:tcPr>
            <w:tcW w:w="0" w:type="dxa"/>
            <w:vAlign w:val="bottom"/>
          </w:tcPr>
          <w:p>
            <w:pPr>
              <w:spacing w:after="0"/>
              <w:rPr>
                <w:sz w:val="1"/>
                <w:szCs w:val="1"/>
                <w:color w:val="auto"/>
              </w:rPr>
            </w:pPr>
          </w:p>
        </w:tc>
      </w:tr>
      <w:tr>
        <w:trPr>
          <w:trHeight w:val="41"/>
        </w:trPr>
        <w:tc>
          <w:tcPr>
            <w:tcW w:w="1280" w:type="dxa"/>
            <w:vAlign w:val="bottom"/>
            <w:tcBorders>
              <w:bottom w:val="single" w:sz="8" w:color="auto"/>
            </w:tcBorders>
          </w:tcPr>
          <w:p>
            <w:pPr>
              <w:spacing w:after="0"/>
              <w:rPr>
                <w:sz w:val="3"/>
                <w:szCs w:val="3"/>
                <w:color w:val="auto"/>
              </w:rPr>
            </w:pPr>
          </w:p>
        </w:tc>
        <w:tc>
          <w:tcPr>
            <w:tcW w:w="26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tc>
        <w:tc>
          <w:tcPr>
            <w:tcW w:w="100" w:type="dxa"/>
            <w:vAlign w:val="bottom"/>
            <w:vMerge w:val="continue"/>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tc>
        <w:tc>
          <w:tcPr>
            <w:tcW w:w="0" w:type="dxa"/>
            <w:vAlign w:val="bottom"/>
          </w:tcPr>
          <w:p>
            <w:pPr>
              <w:spacing w:after="0"/>
              <w:rPr>
                <w:sz w:val="1"/>
                <w:szCs w:val="1"/>
                <w:color w:val="auto"/>
              </w:rPr>
            </w:pPr>
          </w:p>
        </w:tc>
      </w:tr>
    </w:tbl>
    <w:p>
      <w:pPr>
        <w:spacing w:after="0" w:line="162" w:lineRule="exact"/>
        <w:rPr>
          <w:sz w:val="20"/>
          <w:szCs w:val="20"/>
          <w:color w:val="auto"/>
        </w:rPr>
      </w:pPr>
    </w:p>
    <w:p>
      <w:pPr>
        <w:sectPr>
          <w:pgSz w:w="11900" w:h="16838" w:orient="portrait"/>
          <w:cols w:equalWidth="0" w:num="1">
            <w:col w:w="9019"/>
          </w:cols>
          <w:pgMar w:left="1440" w:top="257" w:right="1440" w:bottom="1440" w:gutter="0" w:footer="0" w:header="0"/>
        </w:sectPr>
      </w:pPr>
    </w:p>
    <w:p>
      <w:pPr>
        <w:ind w:left="46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 w:lineRule="exact"/>
        <w:rPr>
          <w:sz w:val="20"/>
          <w:szCs w:val="20"/>
          <w:color w:val="auto"/>
        </w:rPr>
      </w:pPr>
      <w:r>
        <w:rPr>
          <w:sz w:val="20"/>
          <w:szCs w:val="20"/>
          <w:color w:val="auto"/>
        </w:rPr>
        <w:br w:type="column"/>
      </w:r>
    </w:p>
    <w:p>
      <w:pPr>
        <w:ind w:right="499"/>
        <w:spacing w:after="0" w:line="261" w:lineRule="auto"/>
        <w:rPr>
          <w:sz w:val="20"/>
          <w:szCs w:val="20"/>
          <w:color w:val="auto"/>
        </w:rPr>
      </w:pPr>
      <w:r>
        <w:rPr>
          <w:rFonts w:ascii="Times New Roman" w:cs="Times New Roman" w:eastAsia="Times New Roman" w:hAnsi="Times New Roman"/>
          <w:sz w:val="18"/>
          <w:szCs w:val="18"/>
          <w:color w:val="auto"/>
        </w:rPr>
        <w:t>Our constitution provides that the quorum at any general meeting shall be two or more members present in person or by proxy or by attorney or other duly authorized representative save in certain circumstances.</w:t>
      </w:r>
    </w:p>
    <w:p>
      <w:pPr>
        <w:spacing w:after="0" w:line="797" w:lineRule="exact"/>
        <w:rPr>
          <w:sz w:val="20"/>
          <w:szCs w:val="20"/>
          <w:color w:val="auto"/>
        </w:rPr>
      </w:pPr>
    </w:p>
    <w:p>
      <w:pPr>
        <w:sectPr>
          <w:pgSz w:w="11900" w:h="16838" w:orient="portrait"/>
          <w:cols w:equalWidth="0" w:num="2">
            <w:col w:w="4320" w:space="180"/>
            <w:col w:w="4519"/>
          </w:cols>
          <w:pgMar w:left="1440" w:top="25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Indemnification of Officers, Directors and Employees</w:t>
      </w:r>
    </w:p>
    <w:p>
      <w:pPr>
        <w:sectPr>
          <w:pgSz w:w="11900" w:h="16838" w:orient="portrait"/>
          <w:cols w:equalWidth="0" w:num="1">
            <w:col w:w="9019"/>
          </w:cols>
          <w:pgMar w:left="1440" w:top="257" w:right="1440" w:bottom="1440" w:gutter="0" w:footer="0" w:header="0"/>
          <w:type w:val="continuous"/>
        </w:sectPr>
      </w:pPr>
    </w:p>
    <w:p>
      <w:pPr>
        <w:spacing w:after="0" w:line="214"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7"/>
          <w:szCs w:val="17"/>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317" w:lineRule="exact"/>
        <w:rPr>
          <w:sz w:val="20"/>
          <w:szCs w:val="20"/>
          <w:color w:val="auto"/>
        </w:rPr>
      </w:pPr>
    </w:p>
    <w:p>
      <w:pPr>
        <w:ind w:left="880" w:right="140" w:hanging="210"/>
        <w:spacing w:after="0" w:line="258" w:lineRule="auto"/>
        <w:tabs>
          <w:tab w:leader="none" w:pos="8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in good faith and in a manner he or she reasonably believed to be in or not opposed to the best interests of the corporation or, in some circumstances, at least not opposed to its best interests; and</w:t>
      </w:r>
    </w:p>
    <w:p>
      <w:pPr>
        <w:spacing w:after="0" w:line="115" w:lineRule="exact"/>
        <w:rPr>
          <w:rFonts w:ascii="Times New Roman" w:cs="Times New Roman" w:eastAsia="Times New Roman" w:hAnsi="Times New Roman"/>
          <w:sz w:val="18"/>
          <w:szCs w:val="18"/>
          <w:color w:val="auto"/>
        </w:rPr>
      </w:pPr>
    </w:p>
    <w:p>
      <w:pPr>
        <w:ind w:left="880" w:right="380" w:hanging="210"/>
        <w:spacing w:after="0" w:line="266" w:lineRule="auto"/>
        <w:tabs>
          <w:tab w:leader="none" w:pos="86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criminal proceeding, had no reasonable cause to believe his or her conduct was unlawful.</w:t>
      </w:r>
    </w:p>
    <w:p>
      <w:pPr>
        <w:spacing w:after="0" w:line="108"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79"/>
        <w:spacing w:after="0" w:line="267" w:lineRule="auto"/>
        <w:rPr>
          <w:sz w:val="20"/>
          <w:szCs w:val="20"/>
          <w:color w:val="auto"/>
        </w:rPr>
      </w:pPr>
      <w:r>
        <w:rPr>
          <w:rFonts w:ascii="Times New Roman" w:cs="Times New Roman" w:eastAsia="Times New Roman" w:hAnsi="Times New Roman"/>
          <w:sz w:val="17"/>
          <w:szCs w:val="17"/>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w:t>
      </w:r>
    </w:p>
    <w:p>
      <w:pPr>
        <w:spacing w:after="0" w:line="4" w:lineRule="exact"/>
        <w:rPr>
          <w:sz w:val="20"/>
          <w:szCs w:val="20"/>
          <w:color w:val="auto"/>
        </w:rPr>
      </w:pPr>
    </w:p>
    <w:p>
      <w:pPr>
        <w:ind w:right="499" w:firstLine="4"/>
        <w:spacing w:after="0" w:line="251"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109" w:lineRule="exact"/>
        <w:rPr>
          <w:sz w:val="20"/>
          <w:szCs w:val="20"/>
          <w:color w:val="auto"/>
        </w:rPr>
      </w:pPr>
    </w:p>
    <w:p>
      <w:pPr>
        <w:ind w:right="479"/>
        <w:spacing w:after="0" w:line="253" w:lineRule="auto"/>
        <w:rPr>
          <w:sz w:val="20"/>
          <w:szCs w:val="20"/>
          <w:color w:val="auto"/>
        </w:rPr>
      </w:pPr>
      <w:r>
        <w:rPr>
          <w:rFonts w:ascii="Times New Roman" w:cs="Times New Roman" w:eastAsia="Times New Roman" w:hAnsi="Times New Roman"/>
          <w:sz w:val="18"/>
          <w:szCs w:val="18"/>
          <w:color w:val="auto"/>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w:t>
      </w:r>
    </w:p>
    <w:p>
      <w:pPr>
        <w:spacing w:after="0" w:line="127" w:lineRule="exact"/>
        <w:rPr>
          <w:sz w:val="20"/>
          <w:szCs w:val="20"/>
          <w:color w:val="auto"/>
        </w:rPr>
      </w:pPr>
    </w:p>
    <w:p>
      <w:pPr>
        <w:ind w:right="459"/>
        <w:spacing w:after="0" w:line="266" w:lineRule="auto"/>
        <w:rPr>
          <w:sz w:val="20"/>
          <w:szCs w:val="20"/>
          <w:color w:val="auto"/>
        </w:rPr>
      </w:pPr>
      <w:r>
        <w:rPr>
          <w:rFonts w:ascii="Times New Roman" w:cs="Times New Roman" w:eastAsia="Times New Roman" w:hAnsi="Times New Roman"/>
          <w:sz w:val="18"/>
          <w:szCs w:val="18"/>
          <w:color w:val="auto"/>
        </w:rPr>
        <w:t>However, Singapore case law has indicated that such relief will not be granted to a director who has benefited as a result of his or her breach of trust.</w:t>
      </w:r>
    </w:p>
    <w:p>
      <w:pPr>
        <w:spacing w:after="0" w:line="176" w:lineRule="exact"/>
        <w:rPr>
          <w:sz w:val="20"/>
          <w:szCs w:val="20"/>
          <w:color w:val="auto"/>
        </w:rPr>
      </w:pPr>
    </w:p>
    <w:p>
      <w:pPr>
        <w:sectPr>
          <w:pgSz w:w="11900" w:h="16838" w:orient="portrait"/>
          <w:cols w:equalWidth="0" w:num="2">
            <w:col w:w="4400" w:space="100"/>
            <w:col w:w="4519"/>
          </w:cols>
          <w:pgMar w:left="1440" w:top="25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57"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ectPr>
          <w:pgSz w:w="11900" w:h="16838" w:orient="portrait"/>
          <w:cols w:equalWidth="0" w:num="1">
            <w:col w:w="9019"/>
          </w:cols>
          <w:pgMar w:left="1440" w:top="270" w:right="1440" w:bottom="1440" w:gutter="0" w:footer="0" w:header="0"/>
        </w:sectPr>
      </w:pPr>
    </w:p>
    <w:p>
      <w:pPr>
        <w:spacing w:after="0" w:line="67"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person is not entitled to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-1659255</wp:posOffset>
            </wp:positionV>
            <wp:extent cx="25114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79"/>
        <w:spacing w:after="0" w:line="251"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-3844925</wp:posOffset>
            </wp:positionV>
            <wp:extent cx="25717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 Approval of Issuance of Shares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Under Delaware law, the board of directors has the authority to issue, from time to time, capital stock in its sole discretion, as long as the number of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for</w:t>
      </w:r>
    </w:p>
    <w:p>
      <w:pPr>
        <w:spacing w:after="0" w:line="2" w:lineRule="exact"/>
        <w:rPr>
          <w:sz w:val="20"/>
          <w:szCs w:val="20"/>
          <w:color w:val="auto"/>
        </w:rPr>
      </w:pPr>
    </w:p>
    <w:p>
      <w:pPr>
        <w:ind w:left="460" w:right="160" w:hanging="6"/>
        <w:spacing w:after="0" w:line="265" w:lineRule="auto"/>
        <w:tabs>
          <w:tab w:leader="none" w:pos="67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to the corporation’s certificate of incorporation to increase the authorized capital and</w:t>
      </w:r>
    </w:p>
    <w:p>
      <w:pPr>
        <w:ind w:left="460" w:right="20" w:hanging="6"/>
        <w:spacing w:after="0" w:line="253" w:lineRule="auto"/>
        <w:tabs>
          <w:tab w:leader="none" w:pos="72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stock in a direct merger transaction where the number of shares exceeds 20% of the corporation’s shares outstanding prior to the transaction, regardless of whether there is sufficient authorized capital.</w:t>
      </w:r>
    </w:p>
    <w:p>
      <w:pPr>
        <w:spacing w:after="0" w:line="106" w:lineRule="exact"/>
        <w:rPr>
          <w:sz w:val="20"/>
          <w:szCs w:val="20"/>
          <w:color w:val="auto"/>
        </w:rPr>
      </w:pPr>
    </w:p>
    <w:p>
      <w:pPr>
        <w:ind w:left="460" w:right="120"/>
        <w:spacing w:after="0" w:line="254" w:lineRule="auto"/>
        <w:rPr>
          <w:sz w:val="20"/>
          <w:szCs w:val="20"/>
          <w:color w:val="auto"/>
        </w:rPr>
      </w:pPr>
      <w:r>
        <w:rPr>
          <w:rFonts w:ascii="Times New Roman" w:cs="Times New Roman" w:eastAsia="Times New Roman" w:hAnsi="Times New Roman"/>
          <w:sz w:val="18"/>
          <w:szCs w:val="18"/>
          <w:color w:val="auto"/>
        </w:rPr>
        <w:t>In addition, a corporation may issue one or more classes of stock or one or more series of stock within any class as shall be stated and expressed in the certificate of incorporation or of any amendment thereto, or in the resolution or resolutions providing for the issue of such stock adopted by the board of directors pursuant to authority expressly vested in it by the provisions of its certificate of incorporation.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99"/>
        <w:spacing w:after="0" w:line="252" w:lineRule="auto"/>
        <w:rPr>
          <w:sz w:val="20"/>
          <w:szCs w:val="20"/>
          <w:color w:val="auto"/>
        </w:rPr>
      </w:pPr>
      <w:r>
        <w:rPr>
          <w:rFonts w:ascii="Times New Roman" w:cs="Times New Roman" w:eastAsia="Times New Roman" w:hAnsi="Times New Roman"/>
          <w:sz w:val="18"/>
          <w:szCs w:val="18"/>
          <w:color w:val="auto"/>
        </w:rPr>
        <w:t>Section 161 of the Singapore Companies Act provides that notwithstanding anything in the company’s constitution, the directors shall not exercise any power to issue shares without prior approval of the shareholders in a general meeting. Such authorization may be obtained by ordinary resolution (i.e., a resolution requiring the affirmative vote of a simple majority of the voting rights of those shareholders present and voting in person or by proxy). Once this shareholders’ approval is obtained, unless previously revoked or varied by the company in a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a general meeting.</w:t>
      </w:r>
    </w:p>
    <w:p>
      <w:pPr>
        <w:spacing w:after="0" w:line="2488"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stock of any class or of any series thereof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made convertible into, or exchangeable for, at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 of either the holder or the corporation or upon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happening of a specified event, shares of any other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or classes or any other series of the same 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class or classes of stock of the corporation, 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price or prices or at such rate or rates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exchange and with such adjustments as shall be stated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certificate of incorporation or in the resolution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resolutions providing for the issue of such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adopted by the board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Approval of Business Combinations</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111"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also requires a special vote of stockholders in connection with a business combination with an “interested stockholder” as defined in section 203 of the Delaware General Corporation Law. See “— Interested Shareholders” above.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The Singapore Companies Act mandates that specified corporate actions require approval by the shareholders in a general meeting, notably:</w:t>
      </w:r>
    </w:p>
    <w:p>
      <w:pPr>
        <w:spacing w:after="0" w:line="95" w:lineRule="exact"/>
        <w:rPr>
          <w:sz w:val="20"/>
          <w:szCs w:val="20"/>
          <w:color w:val="auto"/>
        </w:rPr>
      </w:pPr>
    </w:p>
    <w:p>
      <w:pPr>
        <w:ind w:left="440" w:right="539" w:hanging="220"/>
        <w:spacing w:after="0" w:line="255" w:lineRule="auto"/>
        <w:tabs>
          <w:tab w:leader="none" w:pos="4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company’s constitution, directors are not permitted to carry into effect any proposals for disposing of the whole or substantially the whole of the company’s undertaking or property unless those proposals have been approved by shareholders in a general meeting;</w:t>
      </w:r>
    </w:p>
    <w:p>
      <w:pPr>
        <w:spacing w:after="0" w:line="121" w:lineRule="exact"/>
        <w:rPr>
          <w:rFonts w:ascii="Times New Roman" w:cs="Times New Roman" w:eastAsia="Times New Roman" w:hAnsi="Times New Roman"/>
          <w:sz w:val="18"/>
          <w:szCs w:val="18"/>
          <w:color w:val="auto"/>
        </w:rPr>
      </w:pPr>
    </w:p>
    <w:p>
      <w:pPr>
        <w:ind w:left="440" w:right="479" w:hanging="220"/>
        <w:spacing w:after="0" w:line="254" w:lineRule="auto"/>
        <w:tabs>
          <w:tab w:leader="none" w:pos="4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constitution of each amalgamating company, an amalgamation proposal in accordance with the full amalgamation procedures under the Singapore Companies Act that do not require a court order must be approved by the shareholders of each amalgamating company via special resolution at a general meeting; and</w:t>
      </w:r>
    </w:p>
    <w:p>
      <w:pPr>
        <w:spacing w:after="0" w:line="124" w:lineRule="exact"/>
        <w:rPr>
          <w:rFonts w:ascii="Times New Roman" w:cs="Times New Roman" w:eastAsia="Times New Roman" w:hAnsi="Times New Roman"/>
          <w:sz w:val="18"/>
          <w:szCs w:val="18"/>
          <w:color w:val="auto"/>
        </w:rPr>
      </w:pPr>
    </w:p>
    <w:p>
      <w:pPr>
        <w:ind w:left="440" w:right="579" w:hanging="220"/>
        <w:spacing w:after="0" w:line="258" w:lineRule="auto"/>
        <w:tabs>
          <w:tab w:leader="none" w:pos="42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company’s constitution, the directors may not, without the prior approval of shareholders, issue shares, including shares being issued in connection with corporate actions.</w:t>
      </w:r>
    </w:p>
    <w:p>
      <w:pPr>
        <w:spacing w:after="0" w:line="15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 Action Without A Meeting</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619"/>
        <w:spacing w:after="0" w:line="282" w:lineRule="auto"/>
        <w:rPr>
          <w:sz w:val="20"/>
          <w:szCs w:val="20"/>
          <w:color w:val="auto"/>
        </w:rPr>
      </w:pPr>
      <w:r>
        <w:rPr>
          <w:rFonts w:ascii="Times New Roman" w:cs="Times New Roman" w:eastAsia="Times New Roman" w:hAnsi="Times New Roman"/>
          <w:sz w:val="18"/>
          <w:szCs w:val="18"/>
          <w:color w:val="auto"/>
        </w:rPr>
        <w:t>Shareholder action by written consent is not permitted for a listed public company.</w:t>
      </w:r>
    </w:p>
    <w:p>
      <w:pPr>
        <w:spacing w:after="0" w:line="1889" w:lineRule="exact"/>
        <w:rPr>
          <w:sz w:val="20"/>
          <w:szCs w:val="20"/>
          <w:color w:val="auto"/>
        </w:rPr>
      </w:pPr>
    </w:p>
    <w:p>
      <w:pPr>
        <w:sectPr>
          <w:pgSz w:w="11900" w:h="16838" w:orient="portrait"/>
          <w:cols w:equalWidth="0" w:num="2">
            <w:col w:w="4360" w:space="14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8"/>
          <w:szCs w:val="18"/>
          <w:color w:val="auto"/>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Actions</w:t>
      </w:r>
    </w:p>
    <w:p>
      <w:pPr>
        <w:spacing w:after="0" w:line="148" w:lineRule="exact"/>
        <w:rPr>
          <w:sz w:val="20"/>
          <w:szCs w:val="20"/>
          <w:color w:val="auto"/>
        </w:rPr>
      </w:pPr>
    </w:p>
    <w:p>
      <w:pPr>
        <w:ind w:right="479"/>
        <w:spacing w:after="0" w:line="261" w:lineRule="auto"/>
        <w:rPr>
          <w:sz w:val="20"/>
          <w:szCs w:val="20"/>
          <w:color w:val="auto"/>
        </w:rPr>
      </w:pPr>
      <w:r>
        <w:rPr>
          <w:rFonts w:ascii="Times New Roman" w:cs="Times New Roman" w:eastAsia="Times New Roman" w:hAnsi="Times New Roman"/>
          <w:sz w:val="18"/>
          <w:szCs w:val="18"/>
          <w:color w:val="auto"/>
        </w:rPr>
        <w:t>The Singapore Companies Act has a provision which provides a mechanism enabling shareholders to apply to the court for leave to bring a derivative action or commence an arbitration on behalf of the company.</w:t>
      </w:r>
    </w:p>
    <w:p>
      <w:pPr>
        <w:spacing w:after="0" w:line="112" w:lineRule="exact"/>
        <w:rPr>
          <w:sz w:val="20"/>
          <w:szCs w:val="20"/>
          <w:color w:val="auto"/>
        </w:rPr>
      </w:pPr>
    </w:p>
    <w:p>
      <w:pPr>
        <w:ind w:right="539"/>
        <w:spacing w:after="0" w:line="261" w:lineRule="auto"/>
        <w:rPr>
          <w:sz w:val="20"/>
          <w:szCs w:val="20"/>
          <w:color w:val="auto"/>
        </w:rPr>
      </w:pPr>
      <w:r>
        <w:rPr>
          <w:rFonts w:ascii="Times New Roman" w:cs="Times New Roman" w:eastAsia="Times New Roman" w:hAnsi="Times New Roman"/>
          <w:sz w:val="18"/>
          <w:szCs w:val="18"/>
          <w:color w:val="auto"/>
        </w:rPr>
        <w:t>Applications are generally made by shareholders of the company, but courts are given the discretion to allow such persons as they deem proper to apply (e.g., beneficial owner of shares).</w:t>
      </w:r>
    </w:p>
    <w:p>
      <w:pPr>
        <w:spacing w:after="0" w:line="112" w:lineRule="exact"/>
        <w:rPr>
          <w:sz w:val="20"/>
          <w:szCs w:val="20"/>
          <w:color w:val="auto"/>
        </w:rPr>
      </w:pPr>
    </w:p>
    <w:p>
      <w:pPr>
        <w:ind w:right="479"/>
        <w:spacing w:after="0" w:line="255" w:lineRule="auto"/>
        <w:rPr>
          <w:sz w:val="20"/>
          <w:szCs w:val="20"/>
          <w:color w:val="auto"/>
        </w:rPr>
      </w:pPr>
      <w:r>
        <w:rPr>
          <w:rFonts w:ascii="Times New Roman" w:cs="Times New Roman" w:eastAsia="Times New Roman" w:hAnsi="Times New Roman"/>
          <w:sz w:val="18"/>
          <w:szCs w:val="18"/>
          <w:color w:val="auto"/>
        </w:rPr>
        <w:t>It should be noted that this provision of the Singapore Companies Act is primarily used by minority shareholders to bring an action or arbitration in the name and on behalf of the company or intervene in an action or arbitration to which the company is a party for the purpose of prosecuting, defending or discontinuing the action on behalf of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Actions</w:t>
      </w:r>
    </w:p>
    <w:p>
      <w:pPr>
        <w:spacing w:after="0" w:line="162"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The concept of class action suits, which allows individual shareholders to bring an action seeking to represent a class or classes of shareholders, does not exist in Singapore. However, it is possible as a matter of procedure for a number of shareholders to lead an action and establish liability on behalf of themselves and other shareholders who join in or who are made parties to the action. These shareholders are commonly known as “lead plaintiffs.”</w:t>
      </w:r>
    </w:p>
    <w:p>
      <w:pPr>
        <w:spacing w:after="0" w:line="157"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 and Dividends; Repurchases and Redemptions</w:t>
      </w:r>
    </w:p>
    <w:p>
      <w:pPr>
        <w:sectPr>
          <w:pgSz w:w="11900" w:h="16838" w:orient="portrait"/>
          <w:cols w:equalWidth="0" w:num="1">
            <w:col w:w="9019"/>
          </w:cols>
          <w:pgMar w:left="1440" w:top="270" w:right="1440" w:bottom="1440" w:gutter="0" w:footer="0" w:header="0"/>
          <w:type w:val="continuous"/>
        </w:sectPr>
      </w:pPr>
    </w:p>
    <w:p>
      <w:pPr>
        <w:spacing w:after="0" w:line="202" w:lineRule="exact"/>
        <w:rPr>
          <w:sz w:val="20"/>
          <w:szCs w:val="20"/>
          <w:color w:val="auto"/>
        </w:rPr>
      </w:pPr>
    </w:p>
    <w:p>
      <w:pPr>
        <w:ind w:left="460"/>
        <w:spacing w:after="0" w:line="270" w:lineRule="auto"/>
        <w:rPr>
          <w:sz w:val="20"/>
          <w:szCs w:val="20"/>
          <w:color w:val="auto"/>
        </w:rPr>
      </w:pPr>
      <w:r>
        <w:rPr>
          <w:rFonts w:ascii="Times New Roman" w:cs="Times New Roman" w:eastAsia="Times New Roman" w:hAnsi="Times New Roman"/>
          <w:sz w:val="17"/>
          <w:szCs w:val="17"/>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19"/>
        <w:spacing w:after="0" w:line="266" w:lineRule="auto"/>
        <w:rPr>
          <w:sz w:val="20"/>
          <w:szCs w:val="20"/>
          <w:color w:val="auto"/>
        </w:rPr>
      </w:pPr>
      <w:r>
        <w:rPr>
          <w:rFonts w:ascii="Times New Roman" w:cs="Times New Roman" w:eastAsia="Times New Roman" w:hAnsi="Times New Roman"/>
          <w:sz w:val="18"/>
          <w:szCs w:val="18"/>
          <w:color w:val="auto"/>
        </w:rPr>
        <w:t>The Singapore Companies Act provides that no dividends can be paid to shareholders except out of profits.</w:t>
      </w:r>
    </w:p>
    <w:p>
      <w:pPr>
        <w:spacing w:after="0" w:line="95" w:lineRule="exact"/>
        <w:rPr>
          <w:sz w:val="20"/>
          <w:szCs w:val="20"/>
          <w:color w:val="auto"/>
        </w:rPr>
      </w:pPr>
    </w:p>
    <w:p>
      <w:pPr>
        <w:ind w:right="679"/>
        <w:spacing w:after="0" w:line="261" w:lineRule="auto"/>
        <w:rPr>
          <w:sz w:val="20"/>
          <w:szCs w:val="20"/>
          <w:color w:val="auto"/>
        </w:rPr>
      </w:pPr>
      <w:r>
        <w:rPr>
          <w:rFonts w:ascii="Times New Roman" w:cs="Times New Roman" w:eastAsia="Times New Roman" w:hAnsi="Times New Roman"/>
          <w:sz w:val="18"/>
          <w:szCs w:val="18"/>
          <w:color w:val="auto"/>
        </w:rPr>
        <w:t>The Singapore Companies Act does not provide a definition on when profits are deemed to be available for the purpose of paying dividends and this is accordingly governed by case law.</w:t>
      </w:r>
    </w:p>
    <w:p>
      <w:pPr>
        <w:spacing w:after="0" w:line="112" w:lineRule="exact"/>
        <w:rPr>
          <w:sz w:val="20"/>
          <w:szCs w:val="20"/>
          <w:color w:val="auto"/>
        </w:rPr>
      </w:pPr>
    </w:p>
    <w:p>
      <w:pPr>
        <w:ind w:right="599"/>
        <w:spacing w:after="0" w:line="282" w:lineRule="auto"/>
        <w:rPr>
          <w:sz w:val="20"/>
          <w:szCs w:val="20"/>
          <w:color w:val="auto"/>
        </w:rPr>
      </w:pPr>
      <w:r>
        <w:rPr>
          <w:rFonts w:ascii="Times New Roman" w:cs="Times New Roman" w:eastAsia="Times New Roman" w:hAnsi="Times New Roman"/>
          <w:sz w:val="18"/>
          <w:szCs w:val="18"/>
          <w:color w:val="auto"/>
        </w:rPr>
        <w:t>Our constitution provides that no dividend can be paid otherwise than out of profits.</w:t>
      </w:r>
    </w:p>
    <w:p>
      <w:pPr>
        <w:spacing w:after="0" w:line="16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67"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-1381760</wp:posOffset>
            </wp:positionV>
            <wp:extent cx="25114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 Company’s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25717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42" w:lineRule="exact"/>
        <w:rPr>
          <w:sz w:val="20"/>
          <w:szCs w:val="20"/>
          <w:color w:val="auto"/>
        </w:rPr>
      </w:pPr>
    </w:p>
    <w:p>
      <w:pPr>
        <w:ind w:right="459"/>
        <w:spacing w:after="0" w:line="253" w:lineRule="auto"/>
        <w:rPr>
          <w:sz w:val="20"/>
          <w:szCs w:val="20"/>
          <w:color w:val="auto"/>
        </w:rPr>
      </w:pPr>
      <w:r>
        <w:rPr>
          <w:rFonts w:ascii="Times New Roman" w:cs="Times New Roman" w:eastAsia="Times New Roman" w:hAnsi="Times New Roman"/>
          <w:sz w:val="18"/>
          <w:szCs w:val="18"/>
          <w:color w:val="auto"/>
        </w:rPr>
        <w:t>The Singapore Companies Act generally prohibits a company from acquiring its own shares subject to certain exceptions. Any contract or transaction made or entered into in contravention of the aforementioned prohibition by which a company acquires its own shares is void. However, provided that it is expressly permitted to do so by its constitution, as the case may be, and subject to the special conditions of each permitted acquisition contained in the Singapore Companies Act, a company may:</w:t>
      </w:r>
    </w:p>
    <w:p>
      <w:pPr>
        <w:spacing w:after="0" w:line="113" w:lineRule="exact"/>
        <w:rPr>
          <w:sz w:val="20"/>
          <w:szCs w:val="20"/>
          <w:color w:val="auto"/>
        </w:rPr>
      </w:pPr>
    </w:p>
    <w:p>
      <w:pPr>
        <w:ind w:left="440" w:right="519" w:hanging="220"/>
        <w:spacing w:after="0" w:line="254" w:lineRule="auto"/>
        <w:tabs>
          <w:tab w:leader="none" w:pos="4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redeemable preference shares. Preference shares may be redeemed out of capital if all the directors make a solvency statement in relation to such redemption in accordance with the Singapore Companies Act, and the company lodges a copy of the statement with the Accounting and Corporate Regulatory Authority of Singapore;</w:t>
      </w:r>
    </w:p>
    <w:p>
      <w:pPr>
        <w:spacing w:after="0" w:line="124" w:lineRule="exact"/>
        <w:rPr>
          <w:rFonts w:ascii="Times New Roman" w:cs="Times New Roman" w:eastAsia="Times New Roman" w:hAnsi="Times New Roman"/>
          <w:sz w:val="18"/>
          <w:szCs w:val="18"/>
          <w:color w:val="auto"/>
        </w:rPr>
      </w:pPr>
    </w:p>
    <w:p>
      <w:pPr>
        <w:ind w:left="440" w:right="499" w:hanging="220"/>
        <w:spacing w:after="0" w:line="256" w:lineRule="auto"/>
        <w:tabs>
          <w:tab w:leader="none" w:pos="4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it is listed on an approved exchange in Singapore or any securities exchange outside Singapore, make an off-market purchase of its own shares in accordance with an equal access scheme authorized in advance at a general meeting;</w:t>
      </w:r>
    </w:p>
    <w:p>
      <w:pPr>
        <w:spacing w:after="0" w:line="119" w:lineRule="exact"/>
        <w:rPr>
          <w:rFonts w:ascii="Times New Roman" w:cs="Times New Roman" w:eastAsia="Times New Roman" w:hAnsi="Times New Roman"/>
          <w:sz w:val="18"/>
          <w:szCs w:val="18"/>
          <w:color w:val="auto"/>
        </w:rPr>
      </w:pPr>
    </w:p>
    <w:p>
      <w:pPr>
        <w:ind w:left="440" w:right="479" w:hanging="220"/>
        <w:spacing w:after="0" w:line="256" w:lineRule="auto"/>
        <w:tabs>
          <w:tab w:leader="none" w:pos="4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selective off-market purchase of its own shares in accordance with an agreement authorized in advance at a general meeting by a special resolution where persons whose shares are to be acquired and their associated persons have abstained from voting;</w:t>
      </w:r>
    </w:p>
    <w:p>
      <w:pPr>
        <w:spacing w:after="0" w:line="106" w:lineRule="exact"/>
        <w:rPr>
          <w:rFonts w:ascii="Times New Roman" w:cs="Times New Roman" w:eastAsia="Times New Roman" w:hAnsi="Times New Roman"/>
          <w:sz w:val="18"/>
          <w:szCs w:val="18"/>
          <w:color w:val="auto"/>
        </w:rPr>
      </w:pPr>
    </w:p>
    <w:p>
      <w:pPr>
        <w:ind w:left="440" w:right="479" w:hanging="220"/>
        <w:spacing w:after="0" w:line="256" w:lineRule="auto"/>
        <w:tabs>
          <w:tab w:leader="none" w:pos="4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it is listed on an approved exchange in Singapore or any securities exchange outside Singapore, make an acquisition of its own shares under a contingent purchase contract which has been authorized in advance at a general meeting by a special resolution; and</w:t>
      </w:r>
    </w:p>
    <w:p>
      <w:pPr>
        <w:spacing w:after="0" w:line="119" w:lineRule="exact"/>
        <w:rPr>
          <w:rFonts w:ascii="Times New Roman" w:cs="Times New Roman" w:eastAsia="Times New Roman" w:hAnsi="Times New Roman"/>
          <w:sz w:val="18"/>
          <w:szCs w:val="18"/>
          <w:color w:val="auto"/>
        </w:rPr>
      </w:pPr>
    </w:p>
    <w:p>
      <w:pPr>
        <w:ind w:left="440" w:right="599" w:hanging="220"/>
        <w:spacing w:after="0" w:line="281" w:lineRule="auto"/>
        <w:tabs>
          <w:tab w:leader="none" w:pos="42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it is listed on a securities exchange, make an acquisition of its own shares on the securities exchange, in accordance with terms and limits authorized in advance at a general meeting.</w:t>
      </w:r>
    </w:p>
    <w:p>
      <w:pPr>
        <w:spacing w:after="0" w:line="137" w:lineRule="exact"/>
        <w:rPr>
          <w:sz w:val="20"/>
          <w:szCs w:val="20"/>
          <w:color w:val="auto"/>
        </w:rPr>
      </w:pPr>
    </w:p>
    <w:p>
      <w:pPr>
        <w:ind w:right="799"/>
        <w:spacing w:after="0" w:line="282" w:lineRule="auto"/>
        <w:rPr>
          <w:sz w:val="20"/>
          <w:szCs w:val="20"/>
          <w:color w:val="auto"/>
        </w:rPr>
      </w:pPr>
      <w:r>
        <w:rPr>
          <w:rFonts w:ascii="Times New Roman" w:cs="Times New Roman" w:eastAsia="Times New Roman" w:hAnsi="Times New Roman"/>
          <w:sz w:val="18"/>
          <w:szCs w:val="18"/>
          <w:color w:val="auto"/>
        </w:rPr>
        <w:t>A company may also purchase its own shares by an order of a Singapore court.</w:t>
      </w:r>
    </w:p>
    <w:p>
      <w:pPr>
        <w:spacing w:after="0" w:line="162" w:lineRule="exact"/>
        <w:rPr>
          <w:sz w:val="20"/>
          <w:szCs w:val="20"/>
          <w:color w:val="auto"/>
        </w:rPr>
      </w:pPr>
    </w:p>
    <w:p>
      <w:pPr>
        <w:sectPr>
          <w:pgSz w:w="11900" w:h="16838" w:orient="portrait"/>
          <w:cols w:equalWidth="0" w:num="2">
            <w:col w:w="4360" w:space="140"/>
            <w:col w:w="45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total number of ordinary shares that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acquired by a company during a relevant period may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 exceed 20% (or such other prescribed percentage)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 the total number of ordinary shares as of the date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resolution passed to authorize the acquisition of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Where, however, a company has reduced its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 capital by a special resolution or a Singapore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 has made an order confirming the reduction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 capital of the company, the total number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ordinary shares shall be taken to be the total number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ordinary shares as altered by the special resolution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order of the court. Payment, including any expenses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(including brokerage or commission) incurred directly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 the acquisition by the company of its own shares,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may be made out of the company’s distributable profits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capital, provided that the company is solvent.</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Our constitution provides that subject to the provisions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 the Singapore Companies Act, we may purchase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otherwise acquire our issued shares on such terms and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 such manner as we may think fit. These shares may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be held as treasury shares or cancelled as provided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Singapore Companies Act or dealt with in such</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manner as may be permitted by the Singapore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Companies Act. On cancellation of the shares,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rights and privileges attached to those shares will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expire.</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i w:val="1"/>
          <w:iCs w:val="1"/>
          <w:color w:val="auto"/>
        </w:rPr>
        <w:t>Financial Assistance for the Acquisition of Shares</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 public company or a company whose holding</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company or ultimate holding company is a public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company shall not give financial assistance to any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person whether directly or indirectly for the purpose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in connection with:</w:t>
      </w:r>
    </w:p>
    <w:p>
      <w:pPr>
        <w:spacing w:after="0" w:line="1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the acquisition or proposed acquisition of shares</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in the company or units of such shares; or</w:t>
      </w:r>
    </w:p>
    <w:p>
      <w:pPr>
        <w:spacing w:after="0" w:line="13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the acquisition or proposed acquisition of shares</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in its holding company or ultimate holding</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company, or units of such shares.</w:t>
      </w:r>
    </w:p>
    <w:p>
      <w:pPr>
        <w:spacing w:after="0" w:line="1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Financial assistance may take the form of a loan, the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giving of a guarantee, the provision of security,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release of an obligation, the release of a debt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otherwise.</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However, it should be noted that a company may</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provide financial assistance for the acquisition of its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or shares in its holding company if it complies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with the requirements (including approval by special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resolution) set out in the Singapore Companies Act.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52" w:lineRule="auto"/>
        <w:rPr>
          <w:sz w:val="20"/>
          <w:szCs w:val="20"/>
          <w:color w:val="auto"/>
        </w:rPr>
      </w:pPr>
      <w:r>
        <w:rPr>
          <w:rFonts w:ascii="Times New Roman" w:cs="Times New Roman" w:eastAsia="Times New Roman" w:hAnsi="Times New Roman"/>
          <w:sz w:val="18"/>
          <w:szCs w:val="18"/>
          <w:color w:val="auto"/>
        </w:rPr>
        <w:t>Under the Singapore Companies Act, directors and chief executive officers are not prohibited from dealing with the company, but where they have an interest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chief executive officer’s knowledge, declare the nature of such director’s or chief executive officer’s interest at a board of directors’ meeting or send a written notice to the company containing details on the nature, character and extent of his or her interest in the transaction or proposed transaction with the company.</w:t>
      </w:r>
    </w:p>
    <w:p>
      <w:pPr>
        <w:spacing w:after="0" w:line="114" w:lineRule="exact"/>
        <w:rPr>
          <w:sz w:val="20"/>
          <w:szCs w:val="20"/>
          <w:color w:val="auto"/>
        </w:rPr>
      </w:pPr>
    </w:p>
    <w:p>
      <w:pPr>
        <w:ind w:right="479"/>
        <w:spacing w:after="0" w:line="252" w:lineRule="auto"/>
        <w:rPr>
          <w:sz w:val="20"/>
          <w:szCs w:val="20"/>
          <w:color w:val="auto"/>
        </w:rPr>
      </w:pPr>
      <w:r>
        <w:rPr>
          <w:rFonts w:ascii="Times New Roman" w:cs="Times New Roman" w:eastAsia="Times New Roman" w:hAnsi="Times New Roman"/>
          <w:sz w:val="18"/>
          <w:szCs w:val="18"/>
          <w:color w:val="auto"/>
        </w:rPr>
        <w:t>There is, however, no requirement for disclosure where the interest of the director or chief executive officer (as the case may be) consists only of being a member or creditor of a corporation which is interested in the transaction or proposed transaction with the company if the interest may properly be regarded as immaterial. Where the transaction or the proposed transaction relates to any loan to the company, a director or chief executive officer shall not be deemed to be interested or to have been at any time interested in the transaction or proposed transaction where the director or chief executive officer has only guaranteed or joined in guaranteeing the repayment of such loan, unless the constitution provides otherwise.</w:t>
      </w:r>
    </w:p>
    <w:p>
      <w:pPr>
        <w:spacing w:after="0" w:line="130" w:lineRule="exact"/>
        <w:rPr>
          <w:sz w:val="20"/>
          <w:szCs w:val="20"/>
          <w:color w:val="auto"/>
        </w:rPr>
      </w:pPr>
    </w:p>
    <w:p>
      <w:pPr>
        <w:ind w:right="459"/>
        <w:spacing w:after="0" w:line="253" w:lineRule="auto"/>
        <w:rPr>
          <w:sz w:val="20"/>
          <w:szCs w:val="20"/>
          <w:color w:val="auto"/>
        </w:rPr>
      </w:pPr>
      <w:r>
        <w:rPr>
          <w:rFonts w:ascii="Times New Roman" w:cs="Times New Roman" w:eastAsia="Times New Roman" w:hAnsi="Times New Roman"/>
          <w:sz w:val="18"/>
          <w:szCs w:val="18"/>
          <w:color w:val="auto"/>
        </w:rPr>
        <w:t>Further, where the transaction or the proposed transaction has been or will be made with or for the benefit of a related corporation (i.e. the holding company, subsidiary or subsidiary of a common holding company), a director or chief executive officer shall not be deemed to be interested or to have been at any time interested in the transaction or proposed transaction where he is a director or chief executive officer (as the case may be) of that corporation, unless the constitution provides otherwise.</w:t>
      </w:r>
    </w:p>
    <w:p>
      <w:pPr>
        <w:spacing w:after="0" w:line="127" w:lineRule="exact"/>
        <w:rPr>
          <w:sz w:val="20"/>
          <w:szCs w:val="20"/>
          <w:color w:val="auto"/>
        </w:rPr>
      </w:pPr>
    </w:p>
    <w:p>
      <w:pPr>
        <w:ind w:right="519"/>
        <w:spacing w:after="0" w:line="253" w:lineRule="auto"/>
        <w:rPr>
          <w:sz w:val="20"/>
          <w:szCs w:val="20"/>
          <w:color w:val="auto"/>
        </w:rPr>
      </w:pPr>
      <w:r>
        <w:rPr>
          <w:rFonts w:ascii="Times New Roman" w:cs="Times New Roman" w:eastAsia="Times New Roman" w:hAnsi="Times New Roman"/>
          <w:sz w:val="18"/>
          <w:szCs w:val="18"/>
          <w:color w:val="auto"/>
        </w:rPr>
        <w:t>In addition, a director or chief executive officer who holds any office or possesses any property which directly or indirectly might create duties or interests in conflict with such director’s or chief executive officer’s duties or interests as director or chief executive officer (as the case may be) is required to declare the fact and the nature, character and extent of the conflict at a meeting of directors or send a written notice to the company setting out the fact and the nature, character and extent of the conflict.</w:t>
      </w:r>
    </w:p>
    <w:p>
      <w:pPr>
        <w:spacing w:after="0" w:line="194"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pacing w:after="0" w:line="6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Singapore Companies Act extends the scope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statutory duty of a director and 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 disclose any interests by pronouncing that an interest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 a member of a director’s or chief executive officer’s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the case may be) family (including spouse, son,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adopted son, step-son, daughter, adopted daughter and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step-daughter) will be treated as an interest of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 or chief executive officer (as the case may be).</w:t>
      </w:r>
    </w:p>
    <w:p>
      <w:pPr>
        <w:spacing w:after="0" w:line="1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Subject to specified exceptions, the Singapore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Companies Act prohibits a company from making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loan or quasi-loan to its directors or to directors of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related corporation, or giving a guarantee or security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connection with such a loan or quasi-loan.</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Companies are also prohibited from making loans or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quasi-loans to its directors’ spouse or children (whether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adopted or natural or step-children), or giving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guarantee or security in connection with such a loan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quasi-loan.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99"/>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Singapore Companies Act.</w:t>
      </w:r>
    </w:p>
    <w:p>
      <w:pPr>
        <w:spacing w:after="0" w:line="1427"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Cumulative Voting</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519"/>
        <w:spacing w:after="0" w:line="266" w:lineRule="auto"/>
        <w:rPr>
          <w:sz w:val="20"/>
          <w:szCs w:val="20"/>
          <w:color w:val="auto"/>
        </w:rPr>
      </w:pPr>
      <w:r>
        <w:rPr>
          <w:rFonts w:ascii="Times New Roman" w:cs="Times New Roman" w:eastAsia="Times New Roman" w:hAnsi="Times New Roman"/>
          <w:sz w:val="18"/>
          <w:szCs w:val="18"/>
          <w:color w:val="auto"/>
        </w:rPr>
        <w:t>There is no equivalent provision under the Singapore Companies Act in respect of companies incorporated in Singapore.</w:t>
      </w:r>
    </w:p>
    <w:p>
      <w:pPr>
        <w:spacing w:after="0" w:line="1440"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Anti-Takeover Measures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the certificate of incorporation of a corporation may give the board the right to issue new classes of preferred stock with voting, conversion, dividend distribution, and other rights to be determined by the board at the time of issuance, which could prevent a takeover attempt and thereby preclude shareholders from realizing a potential premium over the market value of their shares.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539"/>
        <w:spacing w:after="0" w:line="256" w:lineRule="auto"/>
        <w:rPr>
          <w:sz w:val="20"/>
          <w:szCs w:val="20"/>
          <w:color w:val="auto"/>
        </w:rPr>
      </w:pPr>
      <w:r>
        <w:rPr>
          <w:rFonts w:ascii="Times New Roman" w:cs="Times New Roman" w:eastAsia="Times New Roman" w:hAnsi="Times New Roman"/>
          <w:sz w:val="18"/>
          <w:szCs w:val="18"/>
          <w:color w:val="auto"/>
        </w:rPr>
        <w:t>The constitution of a Singapore company typically provides that the company may allot and issue new shares of a different class with preferential, deferred, qualified or other special rights as its board of directors may determine with the prior approval of the company’s shareholders in a general meeting.</w:t>
      </w:r>
    </w:p>
    <w:p>
      <w:pPr>
        <w:spacing w:after="0" w:line="834"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jc w:val="both"/>
        <w:ind w:left="2040"/>
        <w:spacing w:after="0"/>
        <w:tabs>
          <w:tab w:leader="none" w:pos="612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Singapore</w:t>
      </w:r>
    </w:p>
    <w:p>
      <w:pPr>
        <w:sectPr>
          <w:pgSz w:w="11900" w:h="16838" w:orient="portrait"/>
          <w:cols w:equalWidth="0" w:num="1">
            <w:col w:w="9019"/>
          </w:cols>
          <w:pgMar w:left="1440" w:top="270" w:right="1440" w:bottom="1440" w:gutter="0" w:footer="0" w:header="0"/>
        </w:sectPr>
      </w:pPr>
    </w:p>
    <w:p>
      <w:pPr>
        <w:spacing w:after="0" w:line="67"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In addition, Delaware law does not prohibit a corporation from adopting a stockholder rights plan, or “poison pill,” which could prevent a takeover attempt and also preclude shareholders from realizing a potential premium over the market value of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-837565</wp:posOffset>
            </wp:positionV>
            <wp:extent cx="25114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479"/>
        <w:spacing w:after="0" w:line="270" w:lineRule="auto"/>
        <w:rPr>
          <w:sz w:val="20"/>
          <w:szCs w:val="20"/>
          <w:color w:val="auto"/>
        </w:rPr>
      </w:pPr>
      <w:r>
        <w:rPr>
          <w:rFonts w:ascii="Times New Roman" w:cs="Times New Roman" w:eastAsia="Times New Roman" w:hAnsi="Times New Roman"/>
          <w:sz w:val="17"/>
          <w:szCs w:val="17"/>
          <w:color w:val="auto"/>
        </w:rPr>
        <w:t>Under the Singapore Take-over Code, if, in the course of an offer, or even before the date of the announcement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-1392555</wp:posOffset>
            </wp:positionV>
            <wp:extent cx="25717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4320" w:space="18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8"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Material income tax considerations relating to the purchase, ownership and disposition of any of the securities offered by this prospectus will be set forth in the applicable prospectus supplement relating to the offering of those securities.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4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We are registering the ordinary shares previously issued to the selling shareholder identified below in order to permit the selling shareholder to offer the shares for resale from time to time. The shares being offered by the selling shareholder are 6,000,000 ordinary shares.</w:t>
      </w:r>
    </w:p>
    <w:p>
      <w:pPr>
        <w:spacing w:after="0" w:line="10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shareholder and other information regarding the beneficial ownership of ordinary shares by the selling shareholder. The second column lists the number of ordinary shares owned by the selling shareholder, based on its ownership of ordinary shares. The third column lists the number of ordinary shares offered by this prospectus by the selling shareholder. The fourth column lists the number of ordinary shares beneficially owned by the selling shareholder after the offering contemplated by this prospectus, assuming the sale of all ordinary shares being offered by this prospectus by the selling shareholder.</w:t>
      </w:r>
    </w:p>
    <w:p>
      <w:pPr>
        <w:spacing w:after="0" w:line="120"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The selling shareholder may sell some, all or none of its ordinary shares. We do not know how long the selling shareholder will hold the ordinary shares before selling them, and we currently have no agreements, arrangements or understandings with the selling shareholder regarding its resale of any of the ordinary shares. See “Plan of Distribution.”</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Ordinary Shares</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Ordinary</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Ordinary</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Assuming Sale of</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Offered by</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Shares Offered by</w:t>
            </w:r>
          </w:p>
        </w:tc>
      </w:tr>
      <w:tr>
        <w:trPr>
          <w:trHeight w:val="212"/>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Selling Shareholder</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Prior to Any Sale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This Prospectus</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This Prospectus</w:t>
            </w:r>
          </w:p>
        </w:tc>
      </w:tr>
      <w:tr>
        <w:trPr>
          <w:trHeight w:val="47"/>
        </w:trPr>
        <w:tc>
          <w:tcPr>
            <w:tcW w:w="2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26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Isaias (Zak) Jose Calisto</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20,028,811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14,028,811</w:t>
            </w:r>
          </w:p>
        </w:tc>
      </w:tr>
      <w:tr>
        <w:trPr>
          <w:trHeight w:val="251"/>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bl>
    <w:p>
      <w:pPr>
        <w:spacing w:after="0" w:line="87" w:lineRule="exact"/>
        <w:rPr>
          <w:sz w:val="20"/>
          <w:szCs w:val="20"/>
          <w:color w:val="auto"/>
        </w:rPr>
      </w:pPr>
    </w:p>
    <w:p>
      <w:pPr>
        <w:ind w:left="880" w:right="479" w:hanging="426"/>
        <w:spacing w:after="0" w:line="267" w:lineRule="auto"/>
        <w:tabs>
          <w:tab w:leader="none" w:pos="8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Calisto beneficially owns 20,028,811 shares, or 64.83% of the 30,893,300 ordinary shares issued and outstanding as of the date of this prospectus. In addition, Juan Marais, the Chief Sales Officer of the Company, is the beneficial owner of 3,140,000 shares, or 10.16% of the issued and outstanding shares of the Company, through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One Spire (Pty) Ltd.’s 3,140,000 shares may be deemed to be beneficially owned by Mr. Calisto. Therefore, Mr. Calisto may be deemed to beneficially own 23,168,811 shares or 75.00% of the issued and outstanding shares of the Company. Mr. Calisto disclaims beneficial ownership of One Spire (Pty) Ltd.’s 3,140,000 ordinary shares.</w:t>
      </w:r>
    </w:p>
    <w:p>
      <w:pPr>
        <w:spacing w:after="0" w:line="109"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table above is prepared based on information supplied to us by the selling shareholder as of the date of this prospectus. The selling shareholder may have sold, transferred or otherwise disposed of all or a portion of its ordinary shares since the date on which the selling shareholder provided information for this table. We have not made independent inquiries about such transfers or dispositions. Information about the selling shareholder may change from time to time. Any changed information with respect to which we are given notice will be included in a supplement to this prospectus, if required.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Shareholder</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selling shareholder is the founder, Chief Executive Officer and the ultimate controlling shareholder of Karooooo, and has been a member of our board of directors since May 2018. The description of our relationships, and certain agreements and transactions, with the selling shareholder and its affiliates set forth in “Item 7. Major Shareholders and Related Party Transactions” of our Annual Report is incorporated herein by reference.</w:t>
      </w:r>
    </w:p>
    <w:p>
      <w:pPr>
        <w:spacing w:after="0" w:line="11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depend on the continued service and performance of the selling shareholder. See “Item 3.D. Key Information — Risk Factors — The loss of one or more of our key management team members or personnel, or our failure to attract, train and retain other highly qualified personnel, could harm our business” in our Annual Report, which is incorporated herein by reference.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our initial public offering in April 2021, we entered into a registration rights agreement (the “Registration Rights Agreement”), dated April 6, 2021, with the selling shareholder, pursuant to which we granted demand and piggyback registration rights to the selling shareholder and its designees. As a result, the selling shareholder may require us to use reasonable best efforts to effect the registration under the Securities Act of our ordinary shares that the selling shareholder or its affiliates own, in each case at our own expense. The Registration Rights Agreement also provides that we will indemnify the selling shareholder in connection with the registration of our ordinary shares. The foregoing description of the Registration Rights Agreement is not a complete description thereof and is qualified in its entirety by reference to the full text of the Registration Rights Agreement, which is filed as Exhibit 4.5 to our Annual Report, which is incorporated by reference herein. See also “Item 7.B. Major Shareholders and Related Party Transactions — Related Party Transactions — Registration Rights Agreement” in our Annual Report.</w:t>
      </w:r>
    </w:p>
    <w:p>
      <w:pPr>
        <w:spacing w:after="0" w:line="124" w:lineRule="exact"/>
        <w:rPr>
          <w:sz w:val="20"/>
          <w:szCs w:val="20"/>
          <w:color w:val="auto"/>
        </w:rPr>
      </w:pPr>
    </w:p>
    <w:p>
      <w:pPr>
        <w:ind w:left="460" w:right="599" w:firstLine="432"/>
        <w:spacing w:after="0" w:line="289" w:lineRule="auto"/>
        <w:rPr>
          <w:sz w:val="20"/>
          <w:szCs w:val="20"/>
          <w:color w:val="auto"/>
        </w:rPr>
      </w:pPr>
      <w:r>
        <w:rPr>
          <w:rFonts w:ascii="Times New Roman" w:cs="Times New Roman" w:eastAsia="Times New Roman" w:hAnsi="Times New Roman"/>
          <w:sz w:val="17"/>
          <w:szCs w:val="17"/>
          <w:color w:val="auto"/>
        </w:rPr>
        <w:t>The registration statement of which this prospectus forms a part has been filed to provide for registration of 6,000,000 ordinary shares held by the selling shareholder to satisfy the selling shareholder’s exercise of its demand registration rights pursuant to Sections 2.01(a) and 2.01(f) of the Registration Rights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selling shareholder and its pledgees, donees, assignees, transferees, and successors-in-interest may, from time to time, sell, transfer or otherwise dispose of any or all of their securities or interests in any securities covered hereby on the Nasdaq or any other stock exchange, market or trading facility on which the securities are traded, or in private transactions, or using a combination of these methods. These sales or dispositions may be at fixed prices, at prevailing market prices or at negotiated prices. The selling shareholder may use any one or more of the following methods when selling, transferring or otherwise disposing of its securities or interests therein:</w:t>
      </w:r>
    </w:p>
    <w:p>
      <w:pPr>
        <w:spacing w:after="0" w:line="121" w:lineRule="exact"/>
        <w:rPr>
          <w:sz w:val="20"/>
          <w:szCs w:val="20"/>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57" w:lineRule="exact"/>
        <w:rPr>
          <w:rFonts w:ascii="Times New Roman" w:cs="Times New Roman" w:eastAsia="Times New Roman" w:hAnsi="Times New Roman"/>
          <w:sz w:val="18"/>
          <w:szCs w:val="18"/>
          <w:color w:val="auto"/>
        </w:rPr>
      </w:pPr>
    </w:p>
    <w:p>
      <w:pPr>
        <w:ind w:left="1320" w:right="61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that may act solely as agents;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made after the effectiveness of the registration statement of which this prospectus forms a part;</w:t>
      </w:r>
    </w:p>
    <w:p>
      <w:pPr>
        <w:spacing w:after="0" w:line="94"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shareholder to sell a specified number of such securities at a stipulated price per security;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460" w:right="559" w:firstLine="432"/>
        <w:spacing w:after="0" w:line="274" w:lineRule="auto"/>
        <w:rPr>
          <w:sz w:val="20"/>
          <w:szCs w:val="20"/>
          <w:color w:val="auto"/>
        </w:rPr>
      </w:pPr>
      <w:r>
        <w:rPr>
          <w:rFonts w:ascii="Times New Roman" w:cs="Times New Roman" w:eastAsia="Times New Roman" w:hAnsi="Times New Roman"/>
          <w:sz w:val="17"/>
          <w:szCs w:val="17"/>
          <w:color w:val="auto"/>
        </w:rPr>
        <w:t>Broker-dealers engaged by the selling shareholder may arrange for other broker-dealers to participate in sales. Broker-dealers may receive commissions or discounts from the selling shareholder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(“FINRA”) Rule 2121, and in the case of a principal transaction a markup or markdown in compliance with FINRA Rule 2121.</w:t>
      </w:r>
    </w:p>
    <w:p>
      <w:pPr>
        <w:spacing w:after="0" w:line="105"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selling shareholder,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The selling shareholder may be deemed to be an “underwriter.”</w:t>
      </w:r>
    </w:p>
    <w:p>
      <w:pPr>
        <w:spacing w:after="0" w:line="111"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At the time a particular offering of the ordinary shares is made, a prospectus supplement, if required, will be distributed, which will set forth the aggregate amount of</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79"/>
        <w:spacing w:after="0" w:line="289" w:lineRule="auto"/>
        <w:rPr>
          <w:sz w:val="20"/>
          <w:szCs w:val="20"/>
          <w:color w:val="auto"/>
        </w:rPr>
      </w:pPr>
      <w:r>
        <w:rPr>
          <w:rFonts w:ascii="Times New Roman" w:cs="Times New Roman" w:eastAsia="Times New Roman" w:hAnsi="Times New Roman"/>
          <w:sz w:val="17"/>
          <w:szCs w:val="17"/>
          <w:color w:val="auto"/>
        </w:rPr>
        <w:t>the ordinary shares being offered and the terms of the offering, including the name or names of any broker-dealers or agents, any discounts, commissions and other terms constituting compensation from the selling shareholder and any discounts, commissions or concessions allowed or re-allowed or paid to broker-dealers.</w:t>
      </w:r>
    </w:p>
    <w:p>
      <w:pPr>
        <w:spacing w:after="0" w:line="90"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shareholder may enter into hedging transactions with broker-dealers or other financial institutions, which may in turn engage in short sales of the securities in the course of hedging the positions they assume. The selling shareholder may also sell securities short after the effectiveness of the registration statement of which this prospectus forms a part and deliver these securities to close out its short positions, or loan or pledge the securities to broker-dealers that in turn may sell these securities. The selling shareholder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selling shareholder may pledge or grant a security interest in some or all of the ordinary shares owned by it and, if the selling shareholder defaults in the performance of its secured obligations, the pledgees or secured parties may offer and sell the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 also may transfer and donate the ordinary shares in other circumstances in which case the transferees, donees, pledgees or other successors in interest will be the selling beneficial owners for purposes of this prospectus.</w:t>
      </w:r>
    </w:p>
    <w:p>
      <w:pPr>
        <w:spacing w:after="0" w:line="111" w:lineRule="exact"/>
        <w:rPr>
          <w:sz w:val="20"/>
          <w:szCs w:val="20"/>
          <w:color w:val="auto"/>
        </w:rPr>
      </w:pPr>
    </w:p>
    <w:p>
      <w:pPr>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shareholder against certain losses, claims, damages and liabilities, including liabilities under the Securities Act.</w:t>
      </w:r>
    </w:p>
    <w:p>
      <w:pPr>
        <w:spacing w:after="0" w:line="108"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Any securities covered by this prospectus that qualify for sale pursuant to Rule 144 under the Securities Act may be sold under Rule 144 rather than under this prospectus.</w:t>
      </w:r>
    </w:p>
    <w:p>
      <w:pPr>
        <w:spacing w:after="0" w:line="9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agreed, pursuant to the Registration Rights Agreement under which the selling shareholder is making a “demand registration” in respect of the securities covered by this prospectus, to keep the registration statement of which this prospectus is a part effective until the earlier of (i) the date when all securities covered by this prospectus have been sold and (ii) 40 days from the effective date of the registration statement of which this prospectus is a part. See “Selling Shareholder — Material Relationships with the Selling Shareholder — Registration Rights Agreement.”</w:t>
      </w:r>
    </w:p>
    <w:p>
      <w:pPr>
        <w:spacing w:after="0" w:line="106"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and during the distribution. In addition, the selling shareholder will be subject to applicable provisions of the Exchange Act and the rules and regulations thereunder, including Regulation M.</w:t>
      </w:r>
    </w:p>
    <w:p>
      <w:pPr>
        <w:spacing w:after="0" w:line="116"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94"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perform services for us, in the ordinary course of business for which they receive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expect that our expenses in connection with this offering will be as follows:</w:t>
      </w:r>
    </w:p>
    <w:p>
      <w:pPr>
        <w:spacing w:after="0" w:line="241" w:lineRule="exact"/>
        <w:rPr>
          <w:sz w:val="20"/>
          <w:szCs w:val="20"/>
          <w:color w:val="auto"/>
        </w:rPr>
      </w:pPr>
    </w:p>
    <w:p>
      <w:pPr>
        <w:ind w:left="460"/>
        <w:spacing w:after="0"/>
        <w:tabs>
          <w:tab w:leader="none" w:pos="7620" w:val="left"/>
        </w:tabs>
        <w:rPr>
          <w:sz w:val="20"/>
          <w:szCs w:val="20"/>
          <w:color w:val="auto"/>
        </w:rPr>
      </w:pPr>
      <w:r>
        <w:rPr>
          <w:rFonts w:ascii="Times New Roman" w:cs="Times New Roman" w:eastAsia="Times New Roman" w:hAnsi="Times New Roman"/>
          <w:sz w:val="16"/>
          <w:szCs w:val="16"/>
          <w:b w:val="1"/>
          <w:bCs w:val="1"/>
          <w:color w:val="auto"/>
        </w:rPr>
        <w:t>Expenses</w:t>
      </w:r>
      <w:r>
        <w:rPr>
          <w:sz w:val="20"/>
          <w:szCs w:val="20"/>
          <w:color w:val="auto"/>
        </w:rPr>
        <w:tab/>
      </w:r>
      <w:r>
        <w:rPr>
          <w:rFonts w:ascii="Times New Roman" w:cs="Times New Roman" w:eastAsia="Times New Roman" w:hAnsi="Times New Roman"/>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U.S. Securities and Exchange Commission registration fee</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Miscellaneous costs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388" w:hanging="388"/>
        <w:spacing w:after="0"/>
        <w:tabs>
          <w:tab w:leader="none" w:pos="38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28,445.48</w:t>
      </w:r>
    </w:p>
    <w:p>
      <w:pPr>
        <w:spacing w:after="0" w:line="138"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5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5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38"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029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left="1028" w:hanging="1028"/>
        <w:spacing w:after="0" w:line="189" w:lineRule="auto"/>
        <w:tabs>
          <w:tab w:leader="none" w:pos="1028" w:val="left"/>
        </w:tabs>
        <w:numPr>
          <w:ilvl w:val="0"/>
          <w:numId w:val="42"/>
        </w:numPr>
        <w:rPr>
          <w:rFonts w:ascii="Times New Roman" w:cs="Times New Roman" w:eastAsia="Times New Roman" w:hAnsi="Times New Roman"/>
          <w:sz w:val="15"/>
          <w:szCs w:val="15"/>
          <w:b w:val="1"/>
          <w:bCs w:val="1"/>
          <w:color w:val="auto"/>
          <w:vertAlign w:val="subscript"/>
        </w:rPr>
      </w:pP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029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101600</wp:posOffset>
            </wp:positionV>
            <wp:extent cx="7029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919" w:hanging="426"/>
        <w:spacing w:after="0" w:line="298" w:lineRule="auto"/>
        <w:tabs>
          <w:tab w:leader="none" w:pos="88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fees are calculated based on the securities offered and the number of offerings and accordingly cannot be estimated at this time.</w:t>
      </w:r>
    </w:p>
    <w:p>
      <w:pPr>
        <w:spacing w:after="0" w:line="9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will pay fees and expenses incurred by us incident to the registration of the securities and offerings of particular securities. Each prospectus supplement describing an offering of securities will reflect the estimated expenses related to the offering of securities under that prospectus supplement. If any shares are sold, the selling shareholder will pay any underwriting or brokerage commissions and/or similar charges incurred for the sale of such shares.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The validity of the ordinary shares and certain other matters of Singapore law will be passed upon for us by Allen &amp; Gledhill LLP. Certain matters with respect to U.S. federal and New York State law will be passed upon for us by Davis Polk &amp; Wardwell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consolidated financial statements of Karooooo Ltd. at February 29, 2024, and for each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two years in the period ended February 29, 2024, appearing in this prospectus and registration statement have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been audited by Ernst &amp; Young LLP, independent registered public accounting firm, as set forth in their report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thereon appearing elsewhere herein, and are included in reliance upon such report given on the authority of such</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firm as experts in accounting and auditing.</w:t>
      </w:r>
    </w:p>
    <w:p>
      <w:pPr>
        <w:spacing w:after="0" w:line="139"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Karooooo Ltd. for the year ended February 28, 2022, have been incorporated by reference herein in reliance upon the report of KPMG LLP, independent registered public accounting firm, incorporated by reference herein, and upon the authority of said firm as experts in accounting and auditing.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CIVIL LIABILITIES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Republic of Singapore, and certain of our officers and directors are residents outside the United States. In addition, a significant portion of our operations and business is conducted, and a substantial portion of our assets are located, outside the United States.</w:t>
      </w:r>
    </w:p>
    <w:p>
      <w:pPr>
        <w:spacing w:after="0" w:line="108" w:lineRule="exact"/>
        <w:rPr>
          <w:sz w:val="20"/>
          <w:szCs w:val="20"/>
          <w:color w:val="auto"/>
        </w:rPr>
      </w:pPr>
    </w:p>
    <w:p>
      <w:pPr>
        <w:jc w:val="both"/>
        <w:ind w:left="460" w:right="579" w:firstLine="432"/>
        <w:spacing w:after="0" w:line="244" w:lineRule="auto"/>
        <w:rPr>
          <w:sz w:val="20"/>
          <w:szCs w:val="20"/>
          <w:color w:val="auto"/>
        </w:rPr>
      </w:pPr>
      <w:r>
        <w:rPr>
          <w:rFonts w:ascii="Times New Roman" w:cs="Times New Roman" w:eastAsia="Times New Roman" w:hAnsi="Times New Roman"/>
          <w:sz w:val="18"/>
          <w:szCs w:val="18"/>
          <w:color w:val="auto"/>
        </w:rPr>
        <w:t>Although we are incorporated outside the United States, we have agreed to accept service of process in the United States through Cogency Global Inc., our agent designated for that purpose,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 Nevertheless, since a substantial portion of the assets owned by us are located outside the United States, any judgment obtained in the United States against us may not be collectible within the United States.</w:t>
      </w:r>
    </w:p>
    <w:p>
      <w:pPr>
        <w:spacing w:after="0" w:line="130"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An investor may or may not be able to commence an original action against us or our directors or officers, or any person, before the courts outside the United States to enforce liabilities under United States federal securities laws, depending on the nature of the action.</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is uncertainty as to whether judgments of courts in the United States, based upon the civil liability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provisions of the securities laws of the United States or any state or territory of the United States, will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recognized or enforced by the Singapore courts, and there is doubt as to whether the Singapore courts will enter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judgments in original actions brought in the Singapore courts based solely on the civil liability provisions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these securities laws. An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xml:space="preserve"> final and conclusive judgment in the federal or state courts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United States under which a fixed or ascertainable sum of money is payable may generally be enforced as a debt</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Singapore courts under the common law as long as it is established by the Singapore courts applying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conflicts of law rules that each of the United States courts and the Singapore courts has the requisite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jurisdiction over the judgment debtor. However, the Singapore courts are unlikely to enforce a foreign judgment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 the foreign judgment is inconsistent with a prior local judgment that is binding on the same parties; (b)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enforcement of the foreign judgment would contravene the public policy of Singapore; (c) the proceedings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which the foreign judgment was obtained were contrary to principles of natural justice; (d) the foreign judgment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 obtained by fraud; or (e) the enforcement of the foreign judgment amounts to the direct or indirect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enforcement of a foreign penal, revenue or other public law.</w:t>
      </w:r>
    </w:p>
    <w:p>
      <w:pPr>
        <w:spacing w:after="0" w:line="13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 which permit punitive damages against us and our directors or executive officers, we are unaware of any decision by the Singapore courts which has considered the specific issue of whether a judgment of a United States court based on such civil liability provisions of the securities laws of the United States or any state or territory of the United States is enforceable in Singapore.</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 addition, holders of book-entry interests in our ordinary shares may be required to be registered as shareholders in our register of members in order to have standing to bring a shareholder suit and, if successful, to enforce a foreign judgment against us, our directors or our executive officers in the Singapore courts, subject to applicable Singapore laws. A holder of book-entry interests in our ordinary shares may become our registered shareholder by exchanging its interest in our ordinary shares for certificated ordinary shares and being registered in our register of members. The administrative process of becoming a registered shareholder could result in delays prejudicial to any legal proceeding or enforcement action.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2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more detail about us and the securities that may be offered by this prospectus, you may examine the registration statement on Form F-3 and the exhibits filed with it at the website provided in the previous paragraph.</w:t>
      </w:r>
    </w:p>
    <w:p>
      <w:pPr>
        <w:spacing w:after="0" w:line="118" w:lineRule="exact"/>
        <w:rPr>
          <w:sz w:val="20"/>
          <w:szCs w:val="20"/>
          <w:color w:val="auto"/>
        </w:rPr>
      </w:pPr>
    </w:p>
    <w:p>
      <w:pPr>
        <w:jc w:val="both"/>
        <w:ind w:left="460" w:right="93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reference to our website is an inactive textual reference only, and information contained therein or connected thereto is not incorporated into this prospectus or the registration statement of which it forms a part.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 listed below:</w:t>
      </w:r>
    </w:p>
    <w:p>
      <w:pPr>
        <w:spacing w:after="0" w:line="121" w:lineRule="exact"/>
        <w:rPr>
          <w:sz w:val="20"/>
          <w:szCs w:val="20"/>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6">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February 29, 2024.</w:t>
      </w:r>
    </w:p>
    <w:p>
      <w:pPr>
        <w:spacing w:after="0" w:line="15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that we file with the SEC pursuant to the Exchange Act (excluding any information or documents deemed to be furnished and not filed with the SEC), after the date hereof and prior to the completion or termination of this offering, shall be incorporated by reference. We may incorporate by reference any reports on Form 6-K that we furnish to the SEC (i) after the filing of the registration statement of which this prospectus forms a part and prior to the effectiveness of such registration statement and (ii) after the date of this prospectus and prior to the completion or termination of this offering, in each case, that we specifically identify in such form as being incorporated by reference into this prospectus. In all cases, you should rely on the later information over different information included in this prospectus or any accompanying prospectus supplement.</w:t>
      </w:r>
    </w:p>
    <w:p>
      <w:pPr>
        <w:spacing w:after="0" w:line="107"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 xml:space="preserve">You can obtain any of the filings incorporated by reference in this prospectus through us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filings with the SEC, including our Annual Reports on</w:t>
      </w:r>
    </w:p>
    <w:p>
      <w:pPr>
        <w:ind w:left="460" w:right="759"/>
        <w:spacing w:after="0" w:line="252" w:lineRule="auto"/>
        <w:rPr>
          <w:sz w:val="20"/>
          <w:szCs w:val="20"/>
          <w:color w:val="auto"/>
        </w:rPr>
      </w:pPr>
      <w:r>
        <w:rPr>
          <w:rFonts w:ascii="Times New Roman" w:cs="Times New Roman" w:eastAsia="Times New Roman" w:hAnsi="Times New Roman"/>
          <w:sz w:val="18"/>
          <w:szCs w:val="18"/>
          <w:color w:val="auto"/>
        </w:rPr>
        <w:t>Form 20-F and Reports on Form 6-K and exhibits incorporated in and amendments to those reports, are also available free of charge on our website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Karooooo Ltd.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 Kallang Junction #06-05/06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Singapore 339274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IR@karooooo.com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281940</wp:posOffset>
            </wp:positionV>
            <wp:extent cx="514350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324485</wp:posOffset>
            </wp:positionV>
            <wp:extent cx="514350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762000</wp:posOffset>
            </wp:positionV>
            <wp:extent cx="2417445" cy="5918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417445" cy="59182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KAROOOOO LTD.</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0" w:lineRule="exact"/>
        <w:rPr>
          <w:sz w:val="20"/>
          <w:szCs w:val="20"/>
          <w:color w:val="auto"/>
        </w:rPr>
      </w:pPr>
    </w:p>
    <w:p>
      <w:pPr>
        <w:spacing w:after="0" w:line="21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22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tc>
        <w:tc>
          <w:tcPr>
            <w:tcW w:w="2820" w:type="dxa"/>
            <w:vAlign w:val="bottom"/>
          </w:tcPr>
          <w:p>
            <w:pPr>
              <w:spacing w:after="0"/>
              <w:rPr>
                <w:sz w:val="20"/>
                <w:szCs w:val="20"/>
                <w:color w:val="auto"/>
              </w:rPr>
            </w:pPr>
          </w:p>
        </w:tc>
      </w:tr>
      <w:tr>
        <w:trPr>
          <w:trHeight w:val="481"/>
        </w:trPr>
        <w:tc>
          <w:tcPr>
            <w:tcW w:w="5280" w:type="dxa"/>
            <w:vAlign w:val="bottom"/>
          </w:tcPr>
          <w:p>
            <w:pPr>
              <w:jc w:val="center"/>
              <w:ind w:right="1237"/>
              <w:spacing w:after="0"/>
              <w:rPr>
                <w:sz w:val="20"/>
                <w:szCs w:val="20"/>
                <w:color w:val="auto"/>
              </w:rPr>
            </w:pPr>
            <w:r>
              <w:rPr>
                <w:rFonts w:ascii="Times New Roman" w:cs="Times New Roman" w:eastAsia="Times New Roman" w:hAnsi="Times New Roman"/>
                <w:sz w:val="25"/>
                <w:szCs w:val="25"/>
                <w:b w:val="1"/>
                <w:bCs w:val="1"/>
                <w:color w:val="auto"/>
              </w:rPr>
              <w:t>UBS Investment Bank</w:t>
            </w:r>
          </w:p>
        </w:tc>
        <w:tc>
          <w:tcPr>
            <w:tcW w:w="2820" w:type="dxa"/>
            <w:vAlign w:val="bottom"/>
          </w:tcPr>
          <w:p>
            <w:pPr>
              <w:ind w:left="60"/>
              <w:spacing w:after="0"/>
              <w:rPr>
                <w:sz w:val="20"/>
                <w:szCs w:val="20"/>
                <w:color w:val="auto"/>
              </w:rPr>
            </w:pPr>
            <w:r>
              <w:rPr>
                <w:rFonts w:ascii="Times New Roman" w:cs="Times New Roman" w:eastAsia="Times New Roman" w:hAnsi="Times New Roman"/>
                <w:sz w:val="25"/>
                <w:szCs w:val="25"/>
                <w:b w:val="1"/>
                <w:bCs w:val="1"/>
                <w:color w:val="auto"/>
              </w:rPr>
              <w:t>William Blair</w:t>
            </w:r>
          </w:p>
        </w:tc>
      </w:tr>
      <w:tr>
        <w:trPr>
          <w:trHeight w:val="570"/>
        </w:trPr>
        <w:tc>
          <w:tcPr>
            <w:tcW w:w="5280" w:type="dxa"/>
            <w:vAlign w:val="bottom"/>
          </w:tcPr>
          <w:p>
            <w:pPr>
              <w:jc w:val="center"/>
              <w:ind w:right="1237"/>
              <w:spacing w:after="0"/>
              <w:rPr>
                <w:sz w:val="20"/>
                <w:szCs w:val="20"/>
                <w:color w:val="auto"/>
              </w:rPr>
            </w:pPr>
            <w:r>
              <w:rPr>
                <w:rFonts w:ascii="Times New Roman" w:cs="Times New Roman" w:eastAsia="Times New Roman" w:hAnsi="Times New Roman"/>
                <w:sz w:val="22"/>
                <w:szCs w:val="22"/>
                <w:b w:val="1"/>
                <w:bCs w:val="1"/>
                <w:color w:val="auto"/>
                <w:w w:val="98"/>
              </w:rPr>
              <w:t>Raymond James</w:t>
            </w:r>
          </w:p>
        </w:tc>
        <w:tc>
          <w:tcPr>
            <w:tcW w:w="28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Standard Bank</w:t>
            </w:r>
          </w:p>
        </w:tc>
      </w:tr>
      <w:tr>
        <w:trPr>
          <w:trHeight w:val="461"/>
        </w:trPr>
        <w:tc>
          <w:tcPr>
            <w:tcW w:w="5280" w:type="dxa"/>
            <w:vAlign w:val="bottom"/>
          </w:tcPr>
          <w:p>
            <w:pPr>
              <w:jc w:val="right"/>
              <w:ind w:right="637"/>
              <w:spacing w:after="0"/>
              <w:rPr>
                <w:sz w:val="20"/>
                <w:szCs w:val="20"/>
                <w:color w:val="auto"/>
              </w:rPr>
            </w:pPr>
            <w:r>
              <w:rPr>
                <w:rFonts w:ascii="Times New Roman" w:cs="Times New Roman" w:eastAsia="Times New Roman" w:hAnsi="Times New Roman"/>
                <w:sz w:val="18"/>
                <w:szCs w:val="18"/>
                <w:b w:val="1"/>
                <w:bCs w:val="1"/>
                <w:color w:val="auto"/>
              </w:rPr>
              <w:t>, 2024</w:t>
            </w:r>
          </w:p>
        </w:tc>
        <w:tc>
          <w:tcPr>
            <w:tcW w:w="2820" w:type="dxa"/>
            <w:vAlign w:val="bottom"/>
          </w:tcPr>
          <w:p>
            <w:pPr>
              <w:spacing w:after="0"/>
              <w:rPr>
                <w:sz w:val="24"/>
                <w:szCs w:val="24"/>
                <w:color w:val="auto"/>
              </w:rPr>
            </w:pPr>
          </w:p>
        </w:tc>
      </w:tr>
      <w:tr>
        <w:trPr>
          <w:trHeight w:val="1100"/>
        </w:trPr>
        <w:tc>
          <w:tcPr>
            <w:tcW w:w="5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r>
        <w:trPr>
          <w:trHeight w:val="48"/>
        </w:trPr>
        <w:tc>
          <w:tcPr>
            <w:tcW w:w="5280" w:type="dxa"/>
            <w:vAlign w:val="bottom"/>
            <w:tcBorders>
              <w:bottom w:val="single" w:sz="8" w:color="auto"/>
            </w:tcBorders>
          </w:tcPr>
          <w:p>
            <w:pPr>
              <w:spacing w:after="0"/>
              <w:rPr>
                <w:sz w:val="4"/>
                <w:szCs w:val="4"/>
                <w:color w:val="auto"/>
              </w:rPr>
            </w:pPr>
          </w:p>
        </w:tc>
        <w:tc>
          <w:tcPr>
            <w:tcW w:w="2820" w:type="dxa"/>
            <w:vAlign w:val="bottom"/>
            <w:tcBorders>
              <w:bottom w:val="single" w:sz="8" w:color="auto"/>
            </w:tcBorders>
          </w:tcPr>
          <w:p>
            <w:pPr>
              <w:spacing w:after="0"/>
              <w:rPr>
                <w:sz w:val="4"/>
                <w:szCs w:val="4"/>
                <w:color w:val="auto"/>
              </w:rPr>
            </w:pPr>
          </w:p>
        </w:tc>
      </w:tr>
      <w:tr>
        <w:trPr>
          <w:trHeight w:val="391"/>
        </w:trPr>
        <w:tc>
          <w:tcPr>
            <w:tcW w:w="5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lowerRoman"/>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lowerRoman"/>
      <w:start w:val="2"/>
    </w:lvl>
  </w:abstractNum>
  <w:abstractNum w:abstractNumId="10">
    <w:nsid w:val="71F32454"/>
    <w:multiLevelType w:val="hybridMultilevel"/>
    <w:lvl w:ilvl="0">
      <w:lvlJc w:val="left"/>
      <w:lvlText w:val="(%1)"/>
      <w:numFmt w:val="lowerRoman"/>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lowerLetter"/>
      <w:start w:val="1"/>
    </w:lvl>
  </w:abstractNum>
  <w:abstractNum w:abstractNumId="14">
    <w:nsid w:val="3A95F874"/>
    <w:multiLevelType w:val="hybridMultilevel"/>
    <w:lvl w:ilvl="0">
      <w:lvlJc w:val="left"/>
      <w:lvlText w:val="%1."/>
      <w:numFmt w:val="lowerLetter"/>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lowerLetter"/>
      <w:start w:val="2"/>
    </w:lvl>
  </w:abstractNum>
  <w:abstractNum w:abstractNumId="17">
    <w:nsid w:val="7C3DBD3D"/>
    <w:multiLevelType w:val="hybridMultilevel"/>
    <w:lvl w:ilvl="0">
      <w:lvlJc w:val="left"/>
      <w:lvlText w:val="(%1)"/>
      <w:numFmt w:val="lowerRoman"/>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lowerRoman"/>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lowerRoman"/>
      <w:start w:val="1"/>
    </w:lvl>
  </w:abstractNum>
  <w:abstractNum w:abstractNumId="30">
    <w:nsid w:val="7724C67E"/>
    <w:multiLevelType w:val="hybridMultilevel"/>
    <w:lvl w:ilvl="0">
      <w:lvlJc w:val="left"/>
      <w:lvlText w:val="(%1)"/>
      <w:numFmt w:val="lowerRoman"/>
      <w:start w:val="3"/>
    </w:lvl>
  </w:abstractNum>
  <w:abstractNum w:abstractNumId="31">
    <w:nsid w:val="5C482A97"/>
    <w:multiLevelType w:val="hybridMultilevel"/>
    <w:lvl w:ilvl="0">
      <w:lvlJc w:val="left"/>
      <w:lvlText w:val="(%1)"/>
      <w:numFmt w:val="lowerRoman"/>
      <w:start w:val="3"/>
    </w:lvl>
  </w:abstractNum>
  <w:abstractNum w:abstractNumId="32">
    <w:nsid w:val="2463B9EA"/>
    <w:multiLevelType w:val="hybridMultilevel"/>
    <w:lvl w:ilvl="0">
      <w:lvlJc w:val="left"/>
      <w:lvlText w:val="(%1)"/>
      <w:numFmt w:val="lowerLetter"/>
      <w:start w:val="2"/>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1)"/>
      <w:numFmt w:val="lowerLetter"/>
      <w:start w:val="2"/>
    </w:lvl>
  </w:abstractNum>
  <w:abstractNum w:abstractNumId="35">
    <w:nsid w:val="2D517796"/>
    <w:multiLevelType w:val="hybridMultilevel"/>
    <w:lvl w:ilvl="0">
      <w:lvlJc w:val="left"/>
      <w:lvlText w:val="(%1)"/>
      <w:numFmt w:val="lowerRoman"/>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jpe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jpeg"/><Relationship Id="rId46" Type="http://schemas.openxmlformats.org/officeDocument/2006/relationships/hyperlink" Target="http://www.sec.gov/Archives/edgar/data/1828102/000121390024052510/ea0207672-20f_karooooo.htm" TargetMode="External"/><Relationship Id="rId47" Type="http://schemas.openxmlformats.org/officeDocument/2006/relationships/hyperlink" Target="http://www.sec.gov/Archives/edgar/data/1828102/000121390024063601/ea0209769-6k_karoooo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2024-07-24T05:43:43Z</dcterms:created>
  <dcterms:modified xsi:type="dcterms:W3CDTF">2024-07-24T05:43:43Z</dcterms:modified>
</cp:coreProperties>
</file>