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06,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Results of the Annual General Meeting of Karooooo Ltd. held on July 06, 2022</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740" w:type="dxa"/>
            <w:vAlign w:val="bottom"/>
            <w:tcBorders>
              <w:top w:val="single" w:sz="8" w:color="0000EE"/>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2</w:t>
            </w:r>
          </w:p>
        </w:tc>
        <w:tc>
          <w:tcPr>
            <w:tcW w:w="4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ANNUAL GENERAL MEETING OF KAROOOOO LTD. HELD ON JULY 6, 2022 (the “AGM”)</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30,951,106 ordinary shares in issue as at the date of the AGM. In accordance with the constitution of the Company, two members present or represented at the AGM, constitutes a quorum. We confirm that a quorum was present.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Shareholders voted on all the resolutions relating to the ordinary business and all the resolutions relating to the special business as set out in the notice of the AGM, dated June 14, 2022. All resolutions were duly passed.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ordinary share carries one vote. Details of all votes validly cast at the AGM are set out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540" w:type="dxa"/>
            <w:vAlign w:val="bottom"/>
            <w:tcBorders>
              <w:top w:val="single" w:sz="8" w:color="auto"/>
              <w:left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26"/>
                <w:szCs w:val="26"/>
                <w:b w:val="1"/>
                <w:bCs w:val="1"/>
                <w:color w:val="auto"/>
                <w:vertAlign w:val="superscript"/>
              </w:rPr>
              <w:t>(1)</w:t>
            </w:r>
          </w:p>
        </w:tc>
        <w:tc>
          <w:tcPr>
            <w:tcW w:w="1680" w:type="dxa"/>
            <w:vAlign w:val="bottom"/>
            <w:tcBorders>
              <w:top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26"/>
                <w:szCs w:val="26"/>
                <w:b w:val="1"/>
                <w:bCs w:val="1"/>
                <w:color w:val="auto"/>
                <w:vertAlign w:val="superscript"/>
              </w:rPr>
              <w:t>(1)</w:t>
            </w:r>
          </w:p>
        </w:tc>
        <w:tc>
          <w:tcPr>
            <w:tcW w:w="1660" w:type="dxa"/>
            <w:vAlign w:val="bottom"/>
            <w:tcBorders>
              <w:top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Abstentions</w:t>
            </w:r>
            <w:r>
              <w:rPr>
                <w:rFonts w:ascii="Times New Roman" w:cs="Times New Roman" w:eastAsia="Times New Roman" w:hAnsi="Times New Roman"/>
                <w:sz w:val="26"/>
                <w:szCs w:val="26"/>
                <w:b w:val="1"/>
                <w:bCs w:val="1"/>
                <w:color w:val="auto"/>
                <w:vertAlign w:val="superscript"/>
              </w:rPr>
              <w:t>(1)</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63"/>
        </w:trPr>
        <w:tc>
          <w:tcPr>
            <w:tcW w:w="45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Resolution number and details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Voted</w:t>
            </w:r>
          </w:p>
        </w:tc>
        <w:tc>
          <w:tcPr>
            <w:tcW w:w="0" w:type="dxa"/>
            <w:vAlign w:val="bottom"/>
          </w:tcPr>
          <w:p>
            <w:pPr>
              <w:spacing w:after="0"/>
              <w:rPr>
                <w:sz w:val="1"/>
                <w:szCs w:val="1"/>
                <w:color w:val="auto"/>
              </w:rPr>
            </w:pPr>
          </w:p>
        </w:tc>
      </w:tr>
      <w:tr>
        <w:trPr>
          <w:trHeight w:val="250"/>
        </w:trPr>
        <w:tc>
          <w:tcPr>
            <w:tcW w:w="45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Routine Business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41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   To receive and adopt the Directors’ Statement, the</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27,685,989</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52,625</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6,225</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Auditors’ Report and the Audited Financial Statements of</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for the financial year ended February 28,</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99.79</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0.19</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68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3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   To re-appoint Mrs. Kim White, who retires pursuant to</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27,737,668</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948</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6,223</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Regulation 89 of the Constitution of the Company, as a</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of the Company.</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99.98</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68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   To approve the remuneration of Non-executive</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27,684,534</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54,082</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6,223</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of the Company from time to time during the year</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ending February 28, 2023 in accordance with the following</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99.79</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0.19</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68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annual fee rates as may be relevant to each Non-executive</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(i) Chairman’s/Lead Independent Directors’ fee of</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SGD61,353; (ii) Director’s fee of SGD40,902; (iii) Audit</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Chairman’s fee of SGD30,600; (iv)</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Committee Chairman’s fee of SGD16,830;</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 Audit Committee member’s fee of SGD20,400; and (vi)</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Committee member’s fee of SGD11,220.</w:t>
            </w: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   To appoint Ernst &amp; Young LLP as the auditors of the</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27,738,389</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237</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6,213</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for the financial year ending February 28, 2023</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to empower the Directors to fix the auditors’</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99.98</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68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3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remuneration in their absolute discretion.</w:t>
            </w: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Special business</w:t>
            </w:r>
          </w:p>
        </w:tc>
        <w:tc>
          <w:tcPr>
            <w:tcW w:w="16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  To authorize the Directors to purchase or otherwise</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27,235,616</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503,301</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5,922</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acquire issued ordinary shares in the capital of the Company.</w:t>
            </w:r>
          </w:p>
        </w:tc>
        <w:tc>
          <w:tcPr>
            <w:tcW w:w="1680" w:type="dxa"/>
            <w:vAlign w:val="bottom"/>
            <w:tcBorders>
              <w:right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98.17</w:t>
            </w:r>
          </w:p>
        </w:tc>
        <w:tc>
          <w:tcPr>
            <w:tcW w:w="168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1.81</w:t>
            </w:r>
          </w:p>
        </w:tc>
        <w:tc>
          <w:tcPr>
            <w:tcW w:w="1660" w:type="dxa"/>
            <w:vAlign w:val="bottom"/>
            <w:tcBorders>
              <w:right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680" w:type="dxa"/>
            <w:vAlign w:val="bottom"/>
            <w:tcBorders>
              <w:right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vMerge w:val="continue"/>
          </w:tcPr>
          <w:p>
            <w:pPr>
              <w:spacing w:after="0"/>
              <w:rPr>
                <w:sz w:val="19"/>
                <w:szCs w:val="19"/>
                <w:color w:val="auto"/>
              </w:rPr>
            </w:pPr>
          </w:p>
        </w:tc>
        <w:tc>
          <w:tcPr>
            <w:tcW w:w="1680" w:type="dxa"/>
            <w:vAlign w:val="bottom"/>
            <w:tcBorders>
              <w:bottom w:val="single" w:sz="8" w:color="auto"/>
              <w:right w:val="single" w:sz="8" w:color="auto"/>
            </w:tcBorders>
            <w:vMerge w:val="continue"/>
          </w:tcPr>
          <w:p>
            <w:pPr>
              <w:spacing w:after="0"/>
              <w:rPr>
                <w:sz w:val="19"/>
                <w:szCs w:val="19"/>
                <w:color w:val="auto"/>
              </w:rPr>
            </w:pPr>
          </w:p>
        </w:tc>
        <w:tc>
          <w:tcPr>
            <w:tcW w:w="1660" w:type="dxa"/>
            <w:vAlign w:val="bottom"/>
            <w:tcBorders>
              <w:bottom w:val="single" w:sz="8" w:color="auto"/>
              <w:right w:val="single" w:sz="8" w:color="auto"/>
            </w:tcBorders>
            <w:vMerge w:val="continue"/>
          </w:tcPr>
          <w:p>
            <w:pPr>
              <w:spacing w:after="0"/>
              <w:rPr>
                <w:sz w:val="19"/>
                <w:szCs w:val="19"/>
                <w:color w:val="auto"/>
              </w:rPr>
            </w:pPr>
          </w:p>
        </w:tc>
        <w:tc>
          <w:tcPr>
            <w:tcW w:w="16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  To authorize the Directors to issue and allot shares.</w:t>
            </w: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27,281,393</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457,077</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6,369</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tcBorders>
              <w:left w:val="single" w:sz="8" w:color="auto"/>
              <w:right w:val="single" w:sz="8" w:color="auto"/>
            </w:tcBorders>
          </w:tcPr>
          <w:p>
            <w:pPr>
              <w:spacing w:after="0"/>
              <w:rPr>
                <w:sz w:val="24"/>
                <w:szCs w:val="24"/>
                <w:color w:val="auto"/>
              </w:rPr>
            </w:pPr>
          </w:p>
        </w:tc>
        <w:tc>
          <w:tcPr>
            <w:tcW w:w="16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98.33</w:t>
            </w:r>
          </w:p>
        </w:tc>
        <w:tc>
          <w:tcPr>
            <w:tcW w:w="16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1.65</w:t>
            </w:r>
          </w:p>
        </w:tc>
        <w:tc>
          <w:tcPr>
            <w:tcW w:w="16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68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88.14</w:t>
            </w:r>
          </w:p>
        </w:tc>
        <w:tc>
          <w:tcPr>
            <w:tcW w:w="0" w:type="dxa"/>
            <w:vAlign w:val="bottom"/>
          </w:tcPr>
          <w:p>
            <w:pPr>
              <w:spacing w:after="0"/>
              <w:rPr>
                <w:sz w:val="1"/>
                <w:szCs w:val="1"/>
                <w:color w:val="auto"/>
              </w:rPr>
            </w:pPr>
          </w:p>
        </w:tc>
      </w:tr>
      <w:tr>
        <w:trPr>
          <w:trHeight w:val="223"/>
        </w:trPr>
        <w:tc>
          <w:tcPr>
            <w:tcW w:w="454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percentage of votes cast in favour of, or against, the resolution includes abstained votes.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Voted is calculated as all the votes cast for, against, or abstained as applicable, divided by the total eligible votes.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2022-07-06T10:45:01Z</dcterms:created>
  <dcterms:modified xsi:type="dcterms:W3CDTF">2022-07-06T10:45:01Z</dcterms:modified>
</cp:coreProperties>
</file>