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6255-6k_karooooo.htm"/>
      <w:bookmarkStart w:id="1" w:name="ksea02062556k_karoooo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b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20"/>
        <w:gridCol w:w="590"/>
        <w:gridCol w:w="198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Ltd.</w:t>
            </w:r>
          </w:p>
        </w:tc>
      </w:tr>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28" w:type="dxa"/>
          <w:right w:w="0" w:type="dxa"/>
        </w:tblCellMar>
      </w:tblPr>
      <w:tblGrid>
        <w:gridCol w:w="995"/>
        <w:gridCol w:w="60"/>
        <w:gridCol w:w="906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65" w:type="dxa"/>
            <w:tcBorders/>
            <w:shd w:fill="CCEEFF" w:val="clear"/>
            <w:tcMar>
              <w:bottom w:w="0" w:type="dxa"/>
            </w:tcMar>
            <w:vAlign w:val="center"/>
          </w:tcPr>
          <w:p>
            <w:pPr>
              <w:pStyle w:val="TableContents"/>
              <w:bidi w:val="0"/>
              <w:spacing w:before="0" w:after="283"/>
              <w:jc w:val="both"/>
              <w:rPr/>
            </w:pPr>
            <w:hyperlink w:anchor="ea020625501ex99-1_karooooo.htm">
              <w:r>
                <w:rPr>
                  <w:rStyle w:val="InternetLink"/>
                  <w:rFonts w:ascii="Times New Roman;Times;Serif" w:hAnsi="Times New Roman;Times;Serif"/>
                  <w:sz w:val="20"/>
                </w:rPr>
                <w:t>Press release dated May 15, 2024 - Karooooo Ltd. Announces Fourth Quarter 2024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0625501ex99-1_karooooo.htm"/>
      <w:bookmarkStart w:id="3" w:name="ksea020625501ex991_karooooo"/>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573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685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(May 15, 2024) - Karooooo Limited (“Karooooo”) reported solid results for the fourth quarter (“Q4 2024”) ended February 29, 2024. As at Q4 2024, Karooooo owned 100% of Cartrack, 100% of Carzuka and 70.1% of Karooooo Logistics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(collectively,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consistently strong results extend the group’s long-standing track record of growth at scale, profitability and robust cash generation. This success is driven by a culture that embraces entrepreneurship, innovation, and customer-centricity, supported by a prudent capital allocation strategy focused on sustainable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enables us to cultivate strong relationships and meet the distinct needs of diverse clients as they digitalize operations to gain a competitive edge in an ever-evolving business landscape. With our proven and profitable business model, compelling market differentiators, and sound financial standing, we are equipped with numerous growth levers. Our intuitive cloud platform empowers customers with control and continuous improvement in their operations, enhancing industry competitiveness, ESG reporting, and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unified, enterprise-grade platform digitalizes key aspects of our customers’ daily operations, ensuring effective controls and streamlined workflows. By seamlessly integrating different users and processes, it eliminates inefficiencies and supports strategic decision-making and execution. Leveraging over 170 billion data points each month, we transform complex analytics into actionable business intelligence. This empowers customers with meaningful insights and practical tools for simplified decision-making and tangible business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leading Operations Cloud now drives the digital transformation of over 121,000 commercial clients. We consistently demonstrate high implementation success and maintain a 95% commercial customer retention rate across businesses of various sizes in logistics, field-service maintenance, transport, finance, mining, agriculture, and emergency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continued focus on subscription revenue growth, Karooooo’s subscription revenue grew by 18% in Q4 2024 to ZAR935 million (Q4 2023: ZAR794 million), while Annual Recurring Revenue (ARR) rose by 17% to ZAR3,769 million (Q4 2023: ZAR3,235 million). Similarly, Cartrack’s subscription revenue increased by 17% to ZAR930 million (Q4 2023: ZAR793 million) and ARR by 16% to ZAR3,749 million (Q4 2023: ZAR3,228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earnings per share surged by 45% to ZAR6.81 for Q4 2024 (Q4 2023: ZAR4.70). Although Carzuka boosted earnings per share by ZAR0.16 in Q4 2024, it is not expected to significantly impact future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8073" w:type="dxa"/>
        <w:jc w:val="left"/>
        <w:tblInd w:w="0" w:type="dxa"/>
        <w:tblLayout w:type="fixed"/>
        <w:tblCellMar>
          <w:top w:w="0" w:type="dxa"/>
          <w:left w:w="0" w:type="dxa"/>
          <w:bottom w:w="0" w:type="dxa"/>
          <w:right w:w="0" w:type="dxa"/>
        </w:tblCellMar>
      </w:tblPr>
      <w:tblGrid>
        <w:gridCol w:w="38"/>
        <w:gridCol w:w="125"/>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7910" w:type="dxa"/>
            <w:tcBorders/>
            <w:vAlign w:val="center"/>
          </w:tcPr>
          <w:p>
            <w:pPr>
              <w:pStyle w:val="TableContents"/>
              <w:bidi w:val="0"/>
              <w:spacing w:before="0" w:after="283"/>
              <w:jc w:val="both"/>
              <w:rPr/>
            </w:pPr>
            <w:r>
              <w:rPr/>
              <w:t>Following the consolidation of platforms, Picup was re-named Karooooo Logistics.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Fourth Quarter 2024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Q4 2023,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 subscribers increased 15% to 1,971,532 at February 29, 2024 (Q4 2023: 1,717,077)</w:t>
            </w:r>
          </w:p>
        </w:tc>
      </w:tr>
    </w:tbl>
    <w:p>
      <w:pPr>
        <w:pStyle w:val="TextBody"/>
        <w:bidi w:val="0"/>
        <w:spacing w:before="0" w:after="0"/>
        <w:ind w:left="0" w:right="0" w:hanging="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Cartrack subscriber additions increased 65% to 63,340 (Q4 2023: 38,471)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18% to ZAR935 million (Q4 2023: ZAR794 million)</w:t>
            </w:r>
          </w:p>
        </w:tc>
      </w:tr>
    </w:tbl>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Subscription revenue increased 15% on a constant currency basis (a non-IFRS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2024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left"/>
        <w:rPr>
          <w:caps w:val="false"/>
          <w:smallCaps w:val="false"/>
        </w:rPr>
      </w:pPr>
      <w:r>
        <w:rPr>
          <w:caps w:val="false"/>
          <w:smallCaps w:val="false"/>
        </w:rPr>
        <w:t> </w:t>
      </w:r>
    </w:p>
    <w:tbl>
      <w:tblPr>
        <w:tblW w:w="11355" w:type="dxa"/>
        <w:jc w:val="left"/>
        <w:tblInd w:w="0" w:type="dxa"/>
        <w:tblLayout w:type="fixed"/>
        <w:tblCellMar>
          <w:top w:w="0" w:type="dxa"/>
          <w:left w:w="0" w:type="dxa"/>
          <w:bottom w:w="0" w:type="dxa"/>
          <w:right w:w="0" w:type="dxa"/>
        </w:tblCellMar>
      </w:tblPr>
      <w:tblGrid>
        <w:gridCol w:w="935"/>
        <w:gridCol w:w="60"/>
        <w:gridCol w:w="60"/>
        <w:gridCol w:w="665"/>
        <w:gridCol w:w="170"/>
        <w:gridCol w:w="60"/>
        <w:gridCol w:w="60"/>
        <w:gridCol w:w="665"/>
        <w:gridCol w:w="170"/>
        <w:gridCol w:w="60"/>
        <w:gridCol w:w="96"/>
        <w:gridCol w:w="464"/>
        <w:gridCol w:w="170"/>
        <w:gridCol w:w="60"/>
        <w:gridCol w:w="60"/>
        <w:gridCol w:w="575"/>
        <w:gridCol w:w="170"/>
        <w:gridCol w:w="60"/>
        <w:gridCol w:w="60"/>
        <w:gridCol w:w="575"/>
        <w:gridCol w:w="170"/>
        <w:gridCol w:w="60"/>
        <w:gridCol w:w="81"/>
        <w:gridCol w:w="479"/>
        <w:gridCol w:w="170"/>
        <w:gridCol w:w="60"/>
        <w:gridCol w:w="60"/>
        <w:gridCol w:w="575"/>
        <w:gridCol w:w="170"/>
        <w:gridCol w:w="60"/>
        <w:gridCol w:w="60"/>
        <w:gridCol w:w="575"/>
        <w:gridCol w:w="170"/>
        <w:gridCol w:w="60"/>
        <w:gridCol w:w="96"/>
        <w:gridCol w:w="464"/>
        <w:gridCol w:w="170"/>
        <w:gridCol w:w="60"/>
        <w:gridCol w:w="60"/>
        <w:gridCol w:w="740"/>
        <w:gridCol w:w="170"/>
        <w:gridCol w:w="60"/>
        <w:gridCol w:w="60"/>
        <w:gridCol w:w="665"/>
        <w:gridCol w:w="170"/>
        <w:gridCol w:w="60"/>
        <w:gridCol w:w="96"/>
        <w:gridCol w:w="464"/>
        <w:gridCol w:w="75"/>
      </w:tblGrid>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85" w:type="dxa"/>
            <w:gridSpan w:val="4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Three Months Ended February 29/28,</w:t>
            </w:r>
          </w:p>
        </w:tc>
        <w:tc>
          <w:tcPr>
            <w:tcW w:w="75"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Cartrack</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b/>
                <w:sz w:val="18"/>
              </w:rPr>
              <w:t xml:space="preserve">Carzuka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b/>
                <w:sz w:val="18"/>
              </w:rPr>
              <w:t>Karooooo Logistics</w:t>
            </w:r>
            <w:r>
              <w:rPr>
                <w:rFonts w:ascii="Times New Roman;Times;Serif" w:hAnsi="Times New Roman;Times;Serif"/>
                <w:b/>
                <w:position w:val="6"/>
                <w:sz w:val="14"/>
                <w:sz w:val="18"/>
              </w:rPr>
              <w:t>1</w:t>
            </w:r>
            <w:r>
              <w:rPr>
                <w:rFonts w:ascii="Times New Roman;Times;Serif" w:hAnsi="Times New Roman;Times;Serif"/>
                <w:sz w:val="18"/>
              </w:rPr>
              <w:t xml:space="preserve">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4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Karooooo Consolidated</w:t>
            </w:r>
          </w:p>
        </w:tc>
        <w:tc>
          <w:tcPr>
            <w:tcW w:w="75" w:type="dxa"/>
            <w:tcBorders/>
            <w:vAlign w:val="center"/>
          </w:tcPr>
          <w:p>
            <w:pPr>
              <w:pStyle w:val="TableContents"/>
              <w:bidi w:val="0"/>
              <w:spacing w:before="0" w:after="283"/>
              <w:ind w:left="0" w:right="0" w:hanging="0"/>
              <w:jc w:val="center"/>
              <w:rPr/>
            </w:pPr>
            <w:r>
              <w:rPr/>
              <w:t> </w:t>
            </w:r>
          </w:p>
        </w:tc>
      </w:tr>
      <w:tr>
        <w:trPr/>
        <w:tc>
          <w:tcPr>
            <w:tcW w:w="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Figures in Rand Thousands</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2024</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2023</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Y-o-Y</w:t>
              <w:br/>
              <w:t>%</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2024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2023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Y-o-Y</w:t>
              <w:br/>
              <w:t>%</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2024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2023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Y-o-Y </w:t>
              <w:br/>
              <w:t>%</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2024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 xml:space="preserve">2023 </w:t>
            </w:r>
            <w:r>
              <w:rPr>
                <w:rFonts w:ascii="Times New Roman;Times;Serif" w:hAnsi="Times New Roman;Times;Serif"/>
                <w:sz w:val="18"/>
              </w:rPr>
              <w:t> </w:t>
            </w:r>
          </w:p>
        </w:tc>
        <w:tc>
          <w:tcPr>
            <w:tcW w:w="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18"/>
              </w:rPr>
              <w:t>Y-o-Y</w:t>
              <w:br/>
              <w:t>%</w:t>
            </w:r>
          </w:p>
        </w:tc>
        <w:tc>
          <w:tcPr>
            <w:tcW w:w="75" w:type="dxa"/>
            <w:tcBorders/>
            <w:vAlign w:val="center"/>
          </w:tcPr>
          <w:p>
            <w:pPr>
              <w:pStyle w:val="TableContents"/>
              <w:bidi w:val="0"/>
              <w:spacing w:before="0" w:after="283"/>
              <w:ind w:left="0" w:right="0" w:hanging="180"/>
              <w:jc w:val="center"/>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930,445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792,707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4,717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1,763</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935,162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794,470</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Other revenue</w:t>
            </w:r>
            <w:r>
              <w:rPr>
                <w:rFonts w:ascii="Times New Roman;Times;Serif" w:hAnsi="Times New Roman;Times;Serif"/>
                <w:position w:val="6"/>
                <w:sz w:val="14"/>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27,128</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3,649</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27,128</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3,649</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Vehicle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38,088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63,734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38,088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63,734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Delivery 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87,990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54,502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87,990</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54,502</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957,573</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796,356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38,088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63,734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92,707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56,265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1,088,368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916,355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(271,929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(227,971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(37,819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(57,642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(62,170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(40,536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(371,918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(326,149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685,644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568,385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6,092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30,537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15,729</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716,450</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590,206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Gross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Operating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289,478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247,615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(12,646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6,619</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2,196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296,234</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237,165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Operating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454,245</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371,311</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2,216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(11,745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7,467</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2,636</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463,928</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362,202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Adjusted EBITDA Margin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84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Karooooo acquired 70.1% of Picup in September 2021, subsequently re-named as Karooooo Logistics.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10024" w:type="dxa"/>
            <w:tcBorders/>
            <w:vAlign w:val="center"/>
          </w:tcPr>
          <w:p>
            <w:pPr>
              <w:pStyle w:val="TableContents"/>
              <w:bidi w:val="0"/>
              <w:spacing w:before="0" w:after="283"/>
              <w:jc w:val="both"/>
              <w:rPr>
                <w:i/>
              </w:rPr>
            </w:pPr>
            <w:r>
              <w:rPr>
                <w:i/>
              </w:rPr>
              <w:t>Other revenue is non-subscription-based revenue and relates predominantly to the sale of telematics devices to a large enterprise customer opting for a non-bundled contract. Cartrack remains focused on bundled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grew subscription revenue by 18% to ZAR935 million in Q4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grew revenue by 20% to ZAR958 million (Q4 2023: ZAR796 million) and subscription revenue by 17% to a record of ZAR930 million in Q4 2024 (Q4 2023: ZAR793 million). Subscription revenue equated to 97% of total revenue. Cartrack continues to build on its solid track record of growing at scale and experienced strong customer acquisition in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 decreased revenue by 40% to ZAR38 million (Q4 2023: ZAR64 million) quarter-on-quarter and decreased revenue by 46% (Q3 2024: ZAR70 million) from the prior quarter as a result of the decision made in Q3 2024 to reduce operations as a third-party vehicle trading platform. Going forward, Carzuka will no longer be reported as a stand-alone segment as its remaining operations are integrated in supporting the Cartrack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expected, Karooooo Logistics grew revenue by 65% to ZAR93 million (Q4 2023: ZAR56 million). Karooooo Logistics focuses on delivery-as-a-service (“DaaS”) through selected third-party crowd sourced drivers and logistics companies, and charges per delivery. This scalable business model is now delivering healthy operating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enhancing the logistics capabilities of our customers, we continue to integrate Karooooo Logistics’ technology stack into the Cartrack platform. This enables Cartrack’s customers to manage their logistics capacity with ease, using Cartrack’s API architecture to augment their fleet capacity. The Karooooo Logistics stack will be offered to Cartrack customers on a subscription-based model and we expect it to deliver long-term revenue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305"/>
        <w:gridCol w:w="60"/>
        <w:gridCol w:w="60"/>
        <w:gridCol w:w="800"/>
        <w:gridCol w:w="60"/>
        <w:gridCol w:w="60"/>
        <w:gridCol w:w="60"/>
        <w:gridCol w:w="800"/>
        <w:gridCol w:w="60"/>
        <w:gridCol w:w="60"/>
        <w:gridCol w:w="98"/>
        <w:gridCol w:w="552"/>
        <w:gridCol w:w="305"/>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February 29/28,</w:t>
            </w:r>
          </w:p>
        </w:tc>
        <w:tc>
          <w:tcPr>
            <w:tcW w:w="305"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30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423,243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354,860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305"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398,971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322,501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24</w:t>
            </w:r>
          </w:p>
        </w:tc>
        <w:tc>
          <w:tcPr>
            <w:tcW w:w="305"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Carzuka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(98</w:t>
            </w:r>
          </w:p>
        </w:tc>
        <w:tc>
          <w:tcPr>
            <w:tcW w:w="305"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Karooooo Logistics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23,810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75</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19% to ZAR423 million (Q4 2023: ZAR355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ZAR399 million, was attributable to Cartrack (Q4 2023: ZAR323 million). This comprised prudent investment for territorial expansion and growth. We continued to prudently invest to scale Karooooo Logistics, with ZAR24 million (Q4 2023: ZAR14 million) of total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operating expenses increased 22% to ZAR122 million (Q4 2023: ZAR100 million). We believe this strategic investment for customer acquisition positions us well for continued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operating expenses increased 23% to ZAR204 million (Q4 2023: ZAR166 million). This planned increase reflects management’s commitment to build a strong infrastructure to support growth while demonstrating our ability to contain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operating expenses increased 15% to ZAR49 million (Q4 2023: ZAR43 million). We remain focused on driving substantial benefit from our R&amp;D capital allocation.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prudently provided for expected credit losses of ZAR24 million (Q4 2023: ZAR14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expenses as a proportion of subscription revenue aligns with Karooooo’s long-term financial goals, and reflects our investment in growth.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sales and marketing expenses as a percentage of Cartrack’s subscription revenue remained at 13% (Q4 2023: 13%)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general and administration expenses as a percentage of Cartrack’s subscription revenue increased by 1% to 22% (Q4 2023: 21%)</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R&amp;D expenses as a percentage of Cartrack’s subscription revenue remained at 5% (Q4 2023: 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grew by 25% to ZAR296 million (Q4 2023: ZAR237 million), and earnings per share grew 45% to ZAR6.81 (Q4 2023: ZAR4.70).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delivered a record operating profit of ZAR289 million, up 17%, in Q4 2024 (Q4 2023: ZAR248 million) with gross profit margin expansion to 72% (Q4 2023: 71%) with an operating profit margin of 30% (Q4 2023: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delivered an operating profit of ZAR7 million (Q4 2023: ZAR2 million) as it continues to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 delivered an operating profit of less than ZAR1 million (Q4 2023: ZAR13 million 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EBITDA and Adjusted EBITDA margin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for the period grew 28% to ZAR464 million (Q4 2023: ZAR362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for the period increased 22% to ZAR454 million (Q4 2023: ZAR371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Adjusted EBITDA (a non-IFRS measure) amounted to a profit of ZAR2 million (Q4 2023: ZAR12 million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Adjusted EBITDA (a non-IFRS measure) was ZAR7 million (Q4 2023: ZAR3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Year 2024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FY 2023,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1,971,532 Cartrack subscribers at February 29, 2024, up 15% (FY 2023: 1,717,077)</w:t>
            </w:r>
          </w:p>
        </w:tc>
      </w:tr>
    </w:tbl>
    <w:p>
      <w:pPr>
        <w:pStyle w:val="TextBody"/>
        <w:bidi w:val="0"/>
        <w:spacing w:before="0" w:after="0"/>
        <w:ind w:left="0" w:right="0" w:hanging="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Net Cartrack subscriber additions of 254,455, up 33% (FY 2023: 191,105)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left"/>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17% to ZAR3,536 million (FY 2023: ZAR3,010 million)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14% on a constant currency basis (a non-IFRS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February 29, 2024 Financial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left"/>
        <w:rPr>
          <w:caps w:val="false"/>
          <w:smallCaps w:val="false"/>
        </w:rPr>
      </w:pPr>
      <w:r>
        <w:rPr>
          <w:caps w:val="false"/>
          <w:smallCaps w:val="false"/>
        </w:rPr>
        <w:t> </w:t>
      </w:r>
    </w:p>
    <w:tbl>
      <w:tblPr>
        <w:tblW w:w="13070" w:type="dxa"/>
        <w:jc w:val="left"/>
        <w:tblInd w:w="0" w:type="dxa"/>
        <w:tblLayout w:type="fixed"/>
        <w:tblCellMar>
          <w:top w:w="0" w:type="dxa"/>
          <w:left w:w="0" w:type="dxa"/>
          <w:bottom w:w="0" w:type="dxa"/>
          <w:right w:w="0" w:type="dxa"/>
        </w:tblCellMar>
      </w:tblPr>
      <w:tblGrid>
        <w:gridCol w:w="935"/>
        <w:gridCol w:w="60"/>
        <w:gridCol w:w="60"/>
        <w:gridCol w:w="800"/>
        <w:gridCol w:w="275"/>
        <w:gridCol w:w="60"/>
        <w:gridCol w:w="60"/>
        <w:gridCol w:w="740"/>
        <w:gridCol w:w="275"/>
        <w:gridCol w:w="60"/>
        <w:gridCol w:w="115"/>
        <w:gridCol w:w="385"/>
        <w:gridCol w:w="275"/>
        <w:gridCol w:w="60"/>
        <w:gridCol w:w="60"/>
        <w:gridCol w:w="665"/>
        <w:gridCol w:w="275"/>
        <w:gridCol w:w="60"/>
        <w:gridCol w:w="60"/>
        <w:gridCol w:w="665"/>
        <w:gridCol w:w="275"/>
        <w:gridCol w:w="60"/>
        <w:gridCol w:w="93"/>
        <w:gridCol w:w="407"/>
        <w:gridCol w:w="275"/>
        <w:gridCol w:w="60"/>
        <w:gridCol w:w="60"/>
        <w:gridCol w:w="665"/>
        <w:gridCol w:w="275"/>
        <w:gridCol w:w="60"/>
        <w:gridCol w:w="60"/>
        <w:gridCol w:w="665"/>
        <w:gridCol w:w="275"/>
        <w:gridCol w:w="60"/>
        <w:gridCol w:w="75"/>
        <w:gridCol w:w="425"/>
        <w:gridCol w:w="275"/>
        <w:gridCol w:w="60"/>
        <w:gridCol w:w="60"/>
        <w:gridCol w:w="800"/>
        <w:gridCol w:w="275"/>
        <w:gridCol w:w="60"/>
        <w:gridCol w:w="60"/>
        <w:gridCol w:w="800"/>
        <w:gridCol w:w="275"/>
        <w:gridCol w:w="60"/>
        <w:gridCol w:w="115"/>
        <w:gridCol w:w="385"/>
        <w:gridCol w:w="110"/>
      </w:tblGrid>
      <w:tr>
        <w:trPr/>
        <w:tc>
          <w:tcPr>
            <w:tcW w:w="93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1965" w:type="dxa"/>
            <w:gridSpan w:val="4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Year Ended February 29 /28</w:t>
            </w:r>
          </w:p>
        </w:tc>
        <w:tc>
          <w:tcPr>
            <w:tcW w:w="110" w:type="dxa"/>
            <w:tcBorders/>
            <w:vAlign w:val="center"/>
          </w:tcPr>
          <w:p>
            <w:pPr>
              <w:pStyle w:val="TableContents"/>
              <w:bidi w:val="0"/>
              <w:spacing w:before="0" w:after="283"/>
              <w:ind w:left="0" w:right="0" w:hanging="180"/>
              <w:jc w:val="center"/>
              <w:rPr/>
            </w:pPr>
            <w:r>
              <w:rPr/>
              <w:t> </w:t>
            </w:r>
          </w:p>
        </w:tc>
      </w:tr>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Cartrack</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Carzuka</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2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Karooooo Logistics</w:t>
            </w:r>
            <w:r>
              <w:rPr>
                <w:rFonts w:ascii="Times New Roman;Times;Serif" w:hAnsi="Times New Roman;Times;Serif"/>
                <w:b/>
                <w:position w:val="6"/>
                <w:sz w:val="14"/>
                <w:sz w:val="18"/>
              </w:rPr>
              <w:t>1</w:t>
            </w:r>
            <w:r>
              <w:rPr>
                <w:rFonts w:ascii="Times New Roman;Times;Serif" w:hAnsi="Times New Roman;Times;Serif"/>
                <w:b/>
                <w:sz w:val="18"/>
              </w:rPr>
              <w:t xml:space="preserve">  </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Karooooo Consolidated</w:t>
            </w:r>
          </w:p>
        </w:tc>
        <w:tc>
          <w:tcPr>
            <w:tcW w:w="110" w:type="dxa"/>
            <w:tcBorders/>
            <w:vAlign w:val="center"/>
          </w:tcPr>
          <w:p>
            <w:pPr>
              <w:pStyle w:val="TableContents"/>
              <w:bidi w:val="0"/>
              <w:spacing w:before="0" w:after="283"/>
              <w:ind w:left="0" w:right="0" w:hanging="0"/>
              <w:jc w:val="center"/>
              <w:rPr/>
            </w:pPr>
            <w:r>
              <w:rPr/>
              <w:t> </w:t>
            </w:r>
          </w:p>
        </w:tc>
      </w:tr>
      <w:tr>
        <w:trPr/>
        <w:tc>
          <w:tcPr>
            <w:tcW w:w="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Figures in Rand Thousands</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b/>
                <w:sz w:val="18"/>
              </w:rPr>
              <w:t xml:space="preserve">2024 </w:t>
            </w:r>
            <w:r>
              <w:rPr>
                <w:rFonts w:ascii="Times New Roman;Times;Serif" w:hAnsi="Times New Roman;Times;Serif"/>
                <w:sz w:val="18"/>
              </w:rPr>
              <w:t> </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2023</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Y-o-Y</w:t>
              <w:br/>
              <w:t>%</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2024</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2023</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Y-o-Y</w:t>
              <w:br/>
              <w:t>%</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2024 </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2023 </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Y-o-Y </w:t>
              <w:br/>
              <w:t>%</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2024</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2023</w:t>
            </w:r>
          </w:p>
        </w:tc>
        <w:tc>
          <w:tcPr>
            <w:tcW w:w="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Y-o-Y</w:t>
              <w:br/>
              <w:t>%</w:t>
            </w:r>
          </w:p>
        </w:tc>
        <w:tc>
          <w:tcPr>
            <w:tcW w:w="110" w:type="dxa"/>
            <w:tcBorders/>
            <w:vAlign w:val="center"/>
          </w:tcPr>
          <w:p>
            <w:pPr>
              <w:pStyle w:val="TableContents"/>
              <w:bidi w:val="0"/>
              <w:spacing w:before="0" w:after="283"/>
              <w:ind w:left="0" w:right="0" w:hanging="180"/>
              <w:jc w:val="center"/>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3,522,816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3,003,931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right"/>
              <w:rPr/>
            </w:pPr>
            <w:r>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3,535,805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3,010,072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Other revenue</w:t>
            </w:r>
            <w:r>
              <w:rPr>
                <w:rFonts w:ascii="Times New Roman;Times;Serif" w:hAnsi="Times New Roman;Times;Serif"/>
                <w:position w:val="6"/>
                <w:sz w:val="14"/>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90,879</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72,709</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right"/>
              <w:rPr/>
            </w:pPr>
            <w:r>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90,879</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72,709</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Vehicle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274,787</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250,845</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right"/>
              <w:rPr/>
            </w:pPr>
            <w:r>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274,787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250,845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Delivery 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2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40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304,040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173,441</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304,040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173,441</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3,613,695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3,076,640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274,787</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250,845</w:t>
            </w:r>
          </w:p>
        </w:tc>
        <w:tc>
          <w:tcPr>
            <w:tcW w:w="2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4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317,029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179,582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4,205,511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3,507,067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(1,024,950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(875,068</w:t>
            </w:r>
          </w:p>
        </w:tc>
        <w:tc>
          <w:tcPr>
            <w:tcW w:w="27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(272,289</w:t>
            </w:r>
          </w:p>
        </w:tc>
        <w:tc>
          <w:tcPr>
            <w:tcW w:w="27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(226,697</w:t>
            </w:r>
          </w:p>
        </w:tc>
        <w:tc>
          <w:tcPr>
            <w:tcW w:w="27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(217,435</w:t>
            </w:r>
          </w:p>
        </w:tc>
        <w:tc>
          <w:tcPr>
            <w:tcW w:w="27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(132,907</w:t>
            </w:r>
          </w:p>
        </w:tc>
        <w:tc>
          <w:tcPr>
            <w:tcW w:w="27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(1,514,674</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(1,234,672</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2,588,745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2,201,572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24,148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99,594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2,690,837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2,272,395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Gross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72</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Operating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1,069,313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914,981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(52,907</w:t>
            </w:r>
          </w:p>
        </w:tc>
        <w:tc>
          <w:tcPr>
            <w:tcW w:w="27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(37,813</w:t>
            </w:r>
          </w:p>
        </w:tc>
        <w:tc>
          <w:tcPr>
            <w:tcW w:w="27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26,096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1,042,502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881,915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 xml:space="preserve">Operating Profit Margin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1,710,278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1,456,217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(47,521</w:t>
            </w:r>
          </w:p>
        </w:tc>
        <w:tc>
          <w:tcPr>
            <w:tcW w:w="27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(35,680</w:t>
            </w:r>
          </w:p>
        </w:tc>
        <w:tc>
          <w:tcPr>
            <w:tcW w:w="27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28,433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1,691,190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1,426,844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Adjusted EBITDA Margin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84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Karooooo acquired 70.1% of Picup in September 2021, subsequently re-named as Karooooo Logistics.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100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revenue is non-subscription-based revenue and relates predominantly to the sale of telematics devices to a large enterprise customer opting for a non-bundled contract. Cartrack remains focused on bundled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grew subscription revenue by 17% to ZAR3,536 million in FY 2024 (FY 2023: ZAR3,010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grew revenue by 17% to ZAR3,614 million (FY 2023: ZAR3,077 million) and subscription revenue by 17% to a record of ZAR3,523 million in FY 2024 (FY 2023: ZAR3,004 million). Subscription revenue equated to 97% of total revenue (FY 2023: 98%). Cartrack continues to build on its strong track record of growing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planned, Karooooo Logistics continued to scale and bolster Karooooo’s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revenue was up 10% to ZAR275 million in FY 2024 (FY 2023: ZAR251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(trading as Picup in South Africa) generated record revenue of ZAR317 million in FY 2024 (FY 2023: ZAR180 million), growth of 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3305"/>
        <w:gridCol w:w="60"/>
        <w:gridCol w:w="60"/>
        <w:gridCol w:w="980"/>
        <w:gridCol w:w="60"/>
        <w:gridCol w:w="60"/>
        <w:gridCol w:w="60"/>
        <w:gridCol w:w="980"/>
        <w:gridCol w:w="60"/>
        <w:gridCol w:w="60"/>
        <w:gridCol w:w="98"/>
        <w:gridCol w:w="552"/>
        <w:gridCol w:w="305"/>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9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305"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30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1,660,166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1,400,308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305"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1,531,027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1,296,147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18</w:t>
            </w:r>
          </w:p>
        </w:tc>
        <w:tc>
          <w:tcPr>
            <w:tcW w:w="305"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Carzuka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(10</w:t>
            </w:r>
          </w:p>
        </w:tc>
        <w:tc>
          <w:tcPr>
            <w:tcW w:w="305"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Karooooo Logistics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19% to ZAR1,660 million in FY 2024 (FY 2023: ZAR1,400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ZAR1,531 million, was attributable to Cartrack (FY 2023: ZAR1,296 million), comprising prudent investment in infrastructure and headcount for territorial expansion. We continued to invest in brand building and infrastructure in Karooooo Logistics, incurring operating expenses of ZAR73 million (FY 2023: ZAR42 million). Carzuka incurred ZAR56 million (FY 2023: ZAR62 million) of the group’s total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expenses increased 20% to ZAR473 million in FY 2024 (FY 2023: ZAR395 million). We expect to see future benefit in customer acquisition from this investment in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operating expenses were 16% higher at ZAR752 million (FY 2023: ZAR646 million). This reflects our investment in infrastructure to meet our growth plans. General and administration operating expenses were predominantly impacted by an increase of ZAR57 million in 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operating expenses were 18% higher at ZAR197 million (FY 2023: ZAR167 million). Our planned investment in improving, enriching and expanding our Operations Cloud and internal management systems is focused on enhancing our value proposition to our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ZAR109 million (FY 2023: ZAR87 million), with expected credit losses for the year at 3.1% of subscription revenue (FY 2023: 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grew operating profit by 18% to a record of ZAR1,043 million (FY 2023: ZAR882 million) and earnings per share by 24% to ZAR23.85 (FY 2023: ZAR19.29).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grew operating profit by 17% to a record of ZAR1,069 million (FY 2023: ZAR915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operating loss was ZAR53 million (FY 2023: ZAR38 million 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delivered a record operating profit of ZAR26 million (FY 2023: ZAR5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EBITDA and Adjusted EBITDA margin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for the year increased 19% to ZAR1,691 million (FY 2023: ZAR1,427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increased 17% to ZAR1,710 million (FY 2023: ZAR1,456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Adjusted EBITDA (a non-IFRS measure) amounted to a loss of ZAR48 million (FY 2023: ZAR36 million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Adjusted EBITDA (a non-IFRS measure) was ZAR28 million (FY 2023: ZAR6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be a leading Operations Cloud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Karooooo is well positioned for growth. We operate in a growing and largely underpenetrated market, with strong demand coming from customers needing to differentiate and digitalise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robust and strong track record of execution, compounding growth at scale and a profitable business model is underpinned by a solid balance sheet and healthy cash position. We expect our continuous investment in our AI products, platform and customer experience to continue to generate robust results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confident that our track record of success, specifically our ability to generate healthy cash flows, is sustainable.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Cartrack’s revenue making up the majority of group revenue, the outlook below relates to Cartrack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guidance for FY 2025 is:</w:t>
      </w:r>
    </w:p>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number of subscribers between 2,200,000 and 2,400,000</w:t>
            </w:r>
          </w:p>
        </w:tc>
      </w:tr>
    </w:tbl>
    <w:p>
      <w:pPr>
        <w:pStyle w:val="TextBody"/>
        <w:bidi w:val="0"/>
        <w:spacing w:before="0" w:after="0"/>
        <w:ind w:left="720" w:right="0" w:hanging="36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17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subscription revenue between ZAR3,900 million and ZAR4,150 million</w:t>
            </w:r>
          </w:p>
        </w:tc>
      </w:tr>
    </w:tbl>
    <w:p>
      <w:pPr>
        <w:pStyle w:val="TextBody"/>
        <w:bidi w:val="0"/>
        <w:spacing w:before="0" w:after="0"/>
        <w:ind w:left="720" w:right="0" w:hanging="36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Cartrack’s operating profit margin between 27% and 31%</w:t>
            </w:r>
          </w:p>
        </w:tc>
      </w:tr>
    </w:tbl>
    <w:p>
      <w:pPr>
        <w:pStyle w:val="TextBody"/>
        <w:bidi w:val="0"/>
        <w:spacing w:before="0" w:after="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pPr>
            <w:r>
              <w:rPr/>
              <w:t>Karooooo’s Earnings Per Share between ZAR27.50 and ZAR31.00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approach to capital allocation supports Karooooo’s strong growth at scale, profitability and high cash-generation. Given our balanced capital structure and healthy operating profit margins, we have ample runway to accelerate our customer acquisition strategy while remaining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29, 2024, Karooooo’s property, plant and equipment increased by ZAR486 million to ZAR2,078 million (February 28, 2023: ZAR1,592 million). The increase is primarily as a result of an increase of ZAR157 million in in-vehicle capitalized telematic devices, an increase of ZAR84 million in telematic devices available for future sales and an investment of ZAR190 million in the building of the South African central office. Karooooo’s property, plant and equipment of uninstalled telematic devices for future sales was ZAR391 million (February 28, 2023: ZAR307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business growth and currency fluctuations, trade and other payables increased to ZAR479 million (February 28, 2023: ZAR374 million). Trade and other receivables and prepayments increased to ZAR973 million (February 28, 2023: ZAR409 million). Included in other receivables are fixed deposits placed with banks amounting to ZAR486 million that will mature in June and July 2024. Debtor’s collection days improved to 29 days (February 28, 2023: 31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cash management policy of the group’s capital allocation committee, Karooooo’s excess cash reserves on hand are held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paying a dividend of USD26.3 million in July 2023 and allocating ZAR190 million to the new South African central office in Rosebank for the trailing 12 months, Karooooo reported a net cash and cash equivalents balance of ZAR436 million at February 29, 2024 (February 28, 2023: ZAR966 million). Additionally, there are fixed deposits placed with banks amounting to ZAR486 million that are classified as other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February 29, 2024, the group had bank facilities for growth initiatives and other general corporate purposes of ZAR275 million with Capitec Bank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Free Cash Flow (a non-IFRS measure)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29, 2024, Karooooo generated cash from operating activities of ZAR998 million for the year ended February 29, 2024 (February 28, 2023: ZAR1,127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placed ZAR486 million of its cash from operating activities in bank fixed deposits which mature in June and July 2024. These bank fixed deposits are classified as other receivables. The cash generated from operating activities would have been ZAR1,469 million if the bank fixed deposits of ZAR486 million had remained in our current bank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generated Free Cash Flow (a non-IFRS measure) of ZAR78 million for the year ended February 29, 2024 (February 28, 2023: ZAR547 million). The Free Cash Flow (a non-IFRS measure) would have been ZAR549 million if the bank fixed deposits of ZAR486 million had remained in our current bank account and not placed in bank fixed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result was achieved notwithstanding the group’s strategic investment for sustainable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and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(AGM) held on July 12, 2023, the shareholders of Karooooo passed a resolution by a 97.35% majority vote authorizing the repurchase of up to 10% of the Company’s shares. The Board is duly authorized to implement this share buyback program in accordance with the requirements outlined in the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ordinary shares by the Company may be made by way of market purchases on the Nasdaq and/or the JSE.  At our next AGM, we expect to seek approval of the renewal of our share repurchase program on the same terms as currently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aforementioned authorization, Karooooo repurchased 51,106 shares of its common stock in February 2024, at an average purchase price of USD24.39 per share and has subsequently decided to cancel these shares, expected to take effect on or about May 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29, 2024, Karooooo had 30,951,106 ordinary shares in issue, with 30,900,000 shares outstanding, and paid-up share capital of USD505,956,659 plus SGD1,000.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ZAR3.6 billion negative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Overview for Cartrack for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South Africa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14% to 1,492,781 at February 29, 2024 (February 28, 2023: 1,314,902) with subscription revenue growth of 14% and ARR growth of 12%.</w:t>
      </w:r>
    </w:p>
    <w:p>
      <w:pPr>
        <w:pStyle w:val="TextBody"/>
        <w:bidi w:val="0"/>
        <w:spacing w:before="0" w:after="0"/>
        <w:ind w:left="0" w:right="0" w:firstLine="78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we continuously pass on additional benefits to our customers and have a rich data pool, we believe we will continue to see strong customer demand in this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the largest and fastest growing enterprise mobility SaaS provider on the African continent.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Asia Pacific, Middle East and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24% to 230,141 at February 29, 2024 (February 28, 2023: 185,147). This translates to 29% growth in subscription revenue (20% on a constant currency basis, a non-IFRS measure). We expect to see ARPU in the region to drop to levels similar to the group as Singapore becomes a smaller part of the region’s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second largest contributor to group revenue, Southeast Asia continues to present the group’s most compelling growth opportunity in the medium to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office in the United States yields key insights that contribute to Cartrack’s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16% to 166,845 at February 29, 2024 (February 28, 2023: 143,878). This translates to 31% growth in subscription revenue (15%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building the leading mobility and connected-vehicle platform to give our customers easier access to valuable insights. Demonstrating Karooooo’s standing as a platform of choice, leading OEMs have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 In addition, we are experiencing encouraging demand for our proprietary compliance technology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Africa (excluding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12% to 81,765 at February 29, 2024 (February 28, 2023: 73,150). This translates to 16% growth in subscription revenue (15%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region remains a positive cash generator and is strategic to Karooooo’s South African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Carzuka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growth experienced by Carzuka in South Africa, a decision was made to cease buying second hand vehicles in South Africa. This followed considerable engagement with motor dealerships across South Africa during the prior quarter, who perceived Carzuka’s business interests to conflict with their business interests. We believe that the Carzuka business model has robust potential, but we do not want to risk the long-standing strategic relationships that Cartrack has forged with motor dealerships across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many components within Carzuka’s platform that have been built and developed which will continue to provide substantial value to the existing Cartrack fleet platform. We have integrated the majority of Carzuka’s dedicated staff into Cartrack’s broader business operations and retained staff in Carzuka. We expect that Carzuka will continue to add value to our remaining operations by managing the life cycle of Cartrack’s fleet of vehicles and will continue to provide the Carzuka platform the dealerships in South Africa as a Software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after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Board approved a resolution for Karooooo Logistics (Pty) Ltd to repurchase its ordinary shares at a purchase price of ZAR15.2 million in accordance with the Companies Act of South Africa and to cancel the repurchased shares. As a result, the Group’s effective shareholding in Karooooo Logistics (Pty) Ltd is expected to increase from 70.1% to 74.8% after completion of the repurchase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importance to the group of investment in achieving growth at scale, and endeavors to avoid swings in dividend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aims to reinvest retained earnings to the extent that it aligns with the group’s required return on incrementally reinvested capital, return on equity, and short- to medium-term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review and amend the dividend policy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strong earnings and free cash flow in FY2024, and in accordance with the dividend policy set out above, the Board currently expects to declare and pay an interim dividend in Q2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Corruption, bribery and whistleblowing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contact email and hotline for whistleblowing and reporters are assured of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Webinar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Karooooo management will host a Zoom webinar on </w:t>
      </w:r>
      <w:r>
        <w:rPr>
          <w:rFonts w:ascii="Times New Roman;Times;Serif" w:hAnsi="Times New Roman;Times;Serif"/>
          <w:b/>
          <w:i w:val="false"/>
          <w:caps w:val="false"/>
          <w:smallCaps w:val="false"/>
          <w:sz w:val="20"/>
        </w:rPr>
        <w:t xml:space="preserve">Thursday, May 16, 2024 </w:t>
      </w:r>
      <w:r>
        <w:rPr>
          <w:rFonts w:ascii="Times New Roman;Times;Serif" w:hAnsi="Times New Roman;Times;Serif"/>
          <w:b w:val="false"/>
          <w:i w:val="false"/>
          <w:caps w:val="false"/>
          <w:smallCaps w:val="false"/>
          <w:sz w:val="20"/>
        </w:rPr>
        <w:t>at 08:00 a.m. Eastern Time (02:00 p.m. South African time; 08:00 p.m. Singaporean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invited to join the Zoom at: https://us02web.zoom.us/j/89023760508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Webinar ID: </w:t>
      </w:r>
      <w:r>
        <w:rPr>
          <w:rFonts w:ascii="Times New Roman;Times;Serif" w:hAnsi="Times New Roman;Times;Serif"/>
          <w:b/>
          <w:i w:val="false"/>
          <w:caps w:val="false"/>
          <w:smallCaps w:val="false"/>
          <w:sz w:val="20"/>
        </w:rPr>
        <w:t>890 2376 0508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(New York) Toll-free: +1 646 558 8656</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South Africa Toll-free: +27 87 551 7702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as issued by the IASB. The summary consolidated financial information presented has been derived from the consolidated financial statements of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a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over 2,000,000 connected vehicles and equipment on the Cartrack cloud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285"/>
        <w:gridCol w:w="1880"/>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 Relations Contact</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IR@karooooo.com</w:t>
            </w:r>
          </w:p>
        </w:tc>
      </w:tr>
      <w:tr>
        <w:trPr/>
        <w:tc>
          <w:tcPr>
            <w:tcW w:w="22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Media Contact</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media@karooooo.com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PROFIT AND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062" w:type="dxa"/>
        <w:jc w:val="left"/>
        <w:tblInd w:w="0" w:type="dxa"/>
        <w:tblLayout w:type="fixed"/>
        <w:tblCellMar>
          <w:top w:w="0" w:type="dxa"/>
          <w:left w:w="0" w:type="dxa"/>
          <w:bottom w:w="0" w:type="dxa"/>
          <w:right w:w="0" w:type="dxa"/>
        </w:tblCellMar>
      </w:tblPr>
      <w:tblGrid>
        <w:gridCol w:w="4145"/>
        <w:gridCol w:w="60"/>
        <w:gridCol w:w="62"/>
        <w:gridCol w:w="1016"/>
        <w:gridCol w:w="98"/>
        <w:gridCol w:w="62"/>
        <w:gridCol w:w="62"/>
        <w:gridCol w:w="907"/>
        <w:gridCol w:w="95"/>
        <w:gridCol w:w="60"/>
        <w:gridCol w:w="60"/>
        <w:gridCol w:w="1055"/>
        <w:gridCol w:w="95"/>
        <w:gridCol w:w="60"/>
        <w:gridCol w:w="60"/>
        <w:gridCol w:w="1055"/>
        <w:gridCol w:w="110"/>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29/28,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47"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1,088,368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916,355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4,205,511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3,507,067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(371,918</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(326,149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(1,514,674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(1,234,672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716,450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590,206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2,690,837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2,272,395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3,027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9,828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(423,243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(354,860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(1,660,166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(1,400,308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(123,330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(109,153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(500,903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(431,140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(222,833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(186,173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(837,606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(704,603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(52,892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(45,294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(212,235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(177,024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(24,188</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(14,240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(109,422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(87,541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b/>
              </w:rPr>
            </w:pPr>
            <w:r>
              <w:rPr>
                <w:b/>
              </w:rPr>
              <w:t>Operating profit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296,234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237,165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1,042,502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881,915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11,050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9,109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23,255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(6,416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(2,795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(10,095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Fair value changes to derivative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before taxation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300,480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242,508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1,065,710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894,104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(85,819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(92,607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(311,554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(285,298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214,661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pPr>
            <w:r>
              <w:rPr/>
              <w:t>149,901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754,156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608,806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210,692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145,522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738,191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597,153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3,969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4,379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11,653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FFFFFF" w:val="clear"/>
            <w:tcMar>
              <w:bottom w:w="28" w:type="dxa"/>
            </w:tcMar>
            <w:vAlign w:val="center"/>
          </w:tcPr>
          <w:p>
            <w:pPr>
              <w:pStyle w:val="TableContents"/>
              <w:bidi w:val="0"/>
              <w:spacing w:before="0" w:after="283"/>
              <w:jc w:val="right"/>
              <w:rPr/>
            </w:pPr>
            <w:r>
              <w:rPr/>
              <w:t>214,661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double" w:sz="10" w:space="0" w:color="000000"/>
            </w:tcBorders>
            <w:shd w:fill="FFFFFF" w:val="clear"/>
            <w:tcMar>
              <w:bottom w:w="28" w:type="dxa"/>
            </w:tcMar>
            <w:vAlign w:val="center"/>
          </w:tcPr>
          <w:p>
            <w:pPr>
              <w:pStyle w:val="TableContents"/>
              <w:bidi w:val="0"/>
              <w:spacing w:before="0" w:after="283"/>
              <w:jc w:val="right"/>
              <w:rPr/>
            </w:pPr>
            <w:r>
              <w:rPr/>
              <w:t>149,901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754,156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608,806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b/>
              </w:rPr>
            </w:pPr>
            <w:r>
              <w:rPr>
                <w:b/>
              </w:rPr>
              <w:t>Earnings per share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Basic and diluted earnings per share (ZAR)</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6.81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730"/>
        <w:gridCol w:w="60"/>
        <w:gridCol w:w="72"/>
        <w:gridCol w:w="1283"/>
        <w:gridCol w:w="95"/>
        <w:gridCol w:w="60"/>
        <w:gridCol w:w="72"/>
        <w:gridCol w:w="1283"/>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29,</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2023</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65" w:type="dxa"/>
            <w:gridSpan w:val="6"/>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2,077,623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1,591,814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Capitalized commission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374,521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287,054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85,642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227,380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212,481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28,200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25,800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Long-term other receivables and prepayments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18,831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24,715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Non-current financial asset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81,903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60,919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2,891,581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2,288,813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79,159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Trade and other receivables and prepayments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973,491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409,191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Income tax receivables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8,627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Other financial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459,527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965,790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1,448,314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1,462,767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4,339,895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3,751,580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7,142,853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7,142,853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Treasury shares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(23,816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(3,582,568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(3,582,568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control reserve</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(2,709,236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(2,709,236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30" w:type="dxa"/>
            <w:tcBorders/>
            <w:shd w:fill="FFFFFF" w:val="clear"/>
            <w:vAlign w:val="center"/>
          </w:tcPr>
          <w:p>
            <w:pPr>
              <w:pStyle w:val="TableContents"/>
              <w:bidi w:val="0"/>
              <w:spacing w:before="0" w:after="283"/>
              <w:jc w:val="left"/>
              <w:rPr/>
            </w:pPr>
            <w:r>
              <w:rPr/>
              <w:t>Foreign currency translation reserve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330,812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245,109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1,803,482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1,564,809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attributable to equity holders of parent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2,961,527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2,660,967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40,935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30,908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3,002,462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2,691,875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38,304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131,285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67,882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121,302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112,185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69,840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51,894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364,072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270,265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21,643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479,206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374,047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Loans from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607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63,055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52,845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325,848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283,682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Bank overdraft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23,362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73,375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55,996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Provision for warranties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580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973,361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789,440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1,337,433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1,059,705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4,339,895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3,751,580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0031"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CONDENSED CONSOLIDATED STATEMENT OF CASH FLOWS</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0"/>
        <w:gridCol w:w="60"/>
        <w:gridCol w:w="64"/>
        <w:gridCol w:w="951"/>
        <w:gridCol w:w="102"/>
        <w:gridCol w:w="64"/>
        <w:gridCol w:w="64"/>
        <w:gridCol w:w="951"/>
        <w:gridCol w:w="95"/>
        <w:gridCol w:w="60"/>
        <w:gridCol w:w="60"/>
        <w:gridCol w:w="875"/>
        <w:gridCol w:w="95"/>
        <w:gridCol w:w="60"/>
        <w:gridCol w:w="60"/>
        <w:gridCol w:w="980"/>
        <w:gridCol w:w="114"/>
      </w:tblGrid>
      <w:tr>
        <w:trPr/>
        <w:tc>
          <w:tcPr>
            <w:tcW w:w="5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29/28,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114" w:type="dxa"/>
            <w:tcBorders/>
            <w:vAlign w:val="center"/>
          </w:tcPr>
          <w:p>
            <w:pPr>
              <w:pStyle w:val="TableContents"/>
              <w:bidi w:val="0"/>
              <w:spacing w:before="0" w:after="283"/>
              <w:jc w:val="left"/>
              <w:rPr/>
            </w:pPr>
            <w:r>
              <w:rPr/>
              <w:t> </w:t>
            </w:r>
          </w:p>
        </w:tc>
      </w:tr>
      <w:tr>
        <w:trPr/>
        <w:tc>
          <w:tcPr>
            <w:tcW w:w="5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p>
        </w:tc>
      </w:tr>
      <w:tr>
        <w:trPr/>
        <w:tc>
          <w:tcPr>
            <w:tcW w:w="5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481" w:type="dxa"/>
            <w:gridSpan w:val="14"/>
            <w:tcBorders/>
            <w:vAlign w:val="center"/>
          </w:tcPr>
          <w:p>
            <w:pPr>
              <w:pStyle w:val="TableContents"/>
              <w:bidi w:val="0"/>
              <w:spacing w:before="0" w:after="283"/>
              <w:jc w:val="center"/>
              <w:rPr>
                <w:b/>
              </w:rPr>
            </w:pPr>
            <w:r>
              <w:rPr>
                <w:b/>
              </w:rPr>
              <w:t>(Rand Thousands)</w:t>
            </w:r>
          </w:p>
        </w:tc>
        <w:tc>
          <w:tcPr>
            <w:tcW w:w="114" w:type="dxa"/>
            <w:tcBorders/>
            <w:vAlign w:val="center"/>
          </w:tcPr>
          <w:p>
            <w:pPr>
              <w:pStyle w:val="TableContents"/>
              <w:bidi w:val="0"/>
              <w:spacing w:before="0" w:after="283"/>
              <w:jc w:val="left"/>
              <w:rPr/>
            </w:pPr>
            <w:r>
              <w:rPr/>
              <w:t> </w:t>
            </w:r>
          </w:p>
        </w:tc>
      </w:tr>
      <w:tr>
        <w:trPr/>
        <w:tc>
          <w:tcPr>
            <w:tcW w:w="5550" w:type="dxa"/>
            <w:tcBorders/>
            <w:shd w:fill="CCEEFF" w:val="clear"/>
            <w:vAlign w:val="center"/>
          </w:tcPr>
          <w:p>
            <w:pPr>
              <w:pStyle w:val="TableContents"/>
              <w:bidi w:val="0"/>
              <w:spacing w:before="0" w:after="283"/>
              <w:jc w:val="left"/>
              <w:rPr/>
            </w:pPr>
            <w:r>
              <w:rPr/>
              <w:t>Net cash flows (utilized by)/from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(88,651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280,877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998,278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1,126,663</w:t>
            </w:r>
          </w:p>
        </w:tc>
        <w:tc>
          <w:tcPr>
            <w:tcW w:w="114" w:type="dxa"/>
            <w:tcBorders/>
            <w:shd w:fill="CCEEFF" w:val="clear"/>
            <w:vAlign w:val="center"/>
          </w:tcPr>
          <w:p>
            <w:pPr>
              <w:pStyle w:val="TableContents"/>
              <w:bidi w:val="0"/>
              <w:spacing w:before="0" w:after="283"/>
              <w:jc w:val="left"/>
              <w:rPr/>
            </w:pPr>
            <w:r>
              <w:rPr/>
              <w:t> </w:t>
            </w:r>
          </w:p>
        </w:tc>
      </w:tr>
      <w:tr>
        <w:trPr/>
        <w:tc>
          <w:tcPr>
            <w:tcW w:w="5550" w:type="dxa"/>
            <w:tcBorders/>
            <w:shd w:fill="FFFFFF" w:val="clear"/>
            <w:vAlign w:val="center"/>
          </w:tcPr>
          <w:p>
            <w:pPr>
              <w:pStyle w:val="TableContents"/>
              <w:bidi w:val="0"/>
              <w:spacing w:before="0" w:after="283"/>
              <w:jc w:val="left"/>
              <w:rPr/>
            </w:pPr>
            <w:r>
              <w:rPr/>
              <w:t>Net cash flows utilized by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(239,414</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(181,815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(976,188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(615,810</w:t>
            </w:r>
          </w:p>
        </w:tc>
        <w:tc>
          <w:tcPr>
            <w:tcW w:w="114" w:type="dxa"/>
            <w:tcBorders/>
            <w:shd w:fill="FFFFFF" w:val="clear"/>
            <w:vAlign w:val="center"/>
          </w:tcPr>
          <w:p>
            <w:pPr>
              <w:pStyle w:val="TableContents"/>
              <w:bidi w:val="0"/>
              <w:spacing w:before="0" w:after="283"/>
              <w:jc w:val="left"/>
              <w:rPr/>
            </w:pPr>
            <w:r>
              <w:rPr/>
              <w:t>)</w:t>
            </w:r>
          </w:p>
        </w:tc>
      </w:tr>
      <w:tr>
        <w:trPr/>
        <w:tc>
          <w:tcPr>
            <w:tcW w:w="5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utilized by financing activities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(38,578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(25,314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(592,423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(426,426</w:t>
            </w:r>
          </w:p>
        </w:tc>
        <w:tc>
          <w:tcPr>
            <w:tcW w:w="114" w:type="dxa"/>
            <w:tcBorders/>
            <w:shd w:fill="CCEEFF" w:val="clear"/>
            <w:vAlign w:val="center"/>
          </w:tcPr>
          <w:p>
            <w:pPr>
              <w:pStyle w:val="TableContents"/>
              <w:bidi w:val="0"/>
              <w:spacing w:before="0" w:after="283"/>
              <w:jc w:val="left"/>
              <w:rPr/>
            </w:pPr>
            <w:r>
              <w:rPr/>
              <w:t>)</w:t>
            </w:r>
          </w:p>
        </w:tc>
      </w:tr>
      <w:tr>
        <w:trPr/>
        <w:tc>
          <w:tcPr>
            <w:tcW w:w="5550" w:type="dxa"/>
            <w:tcBorders/>
            <w:shd w:fill="FFFFFF" w:val="clear"/>
            <w:vAlign w:val="center"/>
          </w:tcPr>
          <w:p>
            <w:pPr>
              <w:pStyle w:val="TableContents"/>
              <w:bidi w:val="0"/>
              <w:spacing w:before="0" w:after="283"/>
              <w:jc w:val="left"/>
              <w:rPr>
                <w:b/>
              </w:rPr>
            </w:pPr>
            <w:r>
              <w:rPr>
                <w:b/>
              </w:rPr>
              <w:t>Net cash and cash equivalents movements for the period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(366,643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73,748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(570,333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84,427</w:t>
            </w:r>
          </w:p>
        </w:tc>
        <w:tc>
          <w:tcPr>
            <w:tcW w:w="114" w:type="dxa"/>
            <w:tcBorders/>
            <w:shd w:fill="FFFFFF" w:val="clear"/>
            <w:vAlign w:val="center"/>
          </w:tcPr>
          <w:p>
            <w:pPr>
              <w:pStyle w:val="TableContents"/>
              <w:bidi w:val="0"/>
              <w:spacing w:before="0" w:after="283"/>
              <w:jc w:val="left"/>
              <w:rPr/>
            </w:pPr>
            <w:r>
              <w:rPr/>
              <w:t> </w:t>
            </w:r>
          </w:p>
        </w:tc>
      </w:tr>
      <w:tr>
        <w:trPr/>
        <w:tc>
          <w:tcPr>
            <w:tcW w:w="5550" w:type="dxa"/>
            <w:tcBorders/>
            <w:shd w:fill="CCEEFF" w:val="clear"/>
            <w:vAlign w:val="center"/>
          </w:tcPr>
          <w:p>
            <w:pPr>
              <w:pStyle w:val="TableContents"/>
              <w:bidi w:val="0"/>
              <w:spacing w:before="0" w:after="283"/>
              <w:jc w:val="left"/>
              <w:rPr/>
            </w:pPr>
            <w:r>
              <w:rPr/>
              <w:t>Cash and cash equivalents as at the beginning of the period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781,980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819,017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718,026</w:t>
            </w:r>
          </w:p>
        </w:tc>
        <w:tc>
          <w:tcPr>
            <w:tcW w:w="114" w:type="dxa"/>
            <w:tcBorders/>
            <w:shd w:fill="CCEEFF" w:val="clear"/>
            <w:vAlign w:val="center"/>
          </w:tcPr>
          <w:p>
            <w:pPr>
              <w:pStyle w:val="TableContents"/>
              <w:bidi w:val="0"/>
              <w:spacing w:before="0" w:after="283"/>
              <w:jc w:val="left"/>
              <w:rPr/>
            </w:pPr>
            <w:r>
              <w:rPr/>
              <w:t> </w:t>
            </w:r>
          </w:p>
        </w:tc>
      </w:tr>
      <w:tr>
        <w:trPr/>
        <w:tc>
          <w:tcPr>
            <w:tcW w:w="5550" w:type="dxa"/>
            <w:tcBorders/>
            <w:shd w:fill="FFFFFF" w:val="clear"/>
            <w:vAlign w:val="center"/>
          </w:tcPr>
          <w:p>
            <w:pPr>
              <w:pStyle w:val="TableContents"/>
              <w:bidi w:val="0"/>
              <w:spacing w:before="0" w:after="283"/>
              <w:jc w:val="left"/>
              <w:rPr/>
            </w:pPr>
            <w:r>
              <w:rPr/>
              <w:t>Translation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20,828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72,985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40,748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163,297</w:t>
            </w:r>
          </w:p>
        </w:tc>
        <w:tc>
          <w:tcPr>
            <w:tcW w:w="114" w:type="dxa"/>
            <w:tcBorders/>
            <w:shd w:fill="FFFFFF" w:val="clear"/>
            <w:vAlign w:val="center"/>
          </w:tcPr>
          <w:p>
            <w:pPr>
              <w:pStyle w:val="TableContents"/>
              <w:bidi w:val="0"/>
              <w:spacing w:before="0" w:after="283"/>
              <w:jc w:val="left"/>
              <w:rPr/>
            </w:pPr>
            <w:r>
              <w:rPr/>
              <w:t> </w:t>
            </w:r>
          </w:p>
        </w:tc>
      </w:tr>
      <w:tr>
        <w:trPr/>
        <w:tc>
          <w:tcPr>
            <w:tcW w:w="5550" w:type="dxa"/>
            <w:tcBorders/>
            <w:shd w:fill="CCEEFF" w:val="clear"/>
            <w:vAlign w:val="center"/>
          </w:tcPr>
          <w:p>
            <w:pPr>
              <w:pStyle w:val="TableContents"/>
              <w:bidi w:val="0"/>
              <w:spacing w:before="0" w:after="283"/>
              <w:jc w:val="left"/>
              <w:rPr>
                <w:b/>
              </w:rPr>
            </w:pPr>
            <w:r>
              <w:rPr>
                <w:b/>
              </w:rPr>
              <w:t>Total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436,165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965,750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436,165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965,750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FREE CASH FLOW (A NON-IFRS MEASURE)</w:t>
        <w:br/>
        <w:t>(UNAUDITED)</w:t>
      </w:r>
    </w:p>
    <w:p>
      <w:pPr>
        <w:pStyle w:val="TextBody"/>
        <w:bidi w:val="0"/>
        <w:spacing w:before="0" w:after="0"/>
        <w:ind w:left="0" w:right="0" w:hanging="0"/>
        <w:jc w:val="center"/>
        <w:rPr>
          <w:caps w:val="false"/>
          <w:smallCaps w:val="false"/>
        </w:rPr>
      </w:pPr>
      <w:r>
        <w:rPr>
          <w:caps w:val="false"/>
          <w:smallCaps w:val="false"/>
        </w:rPr>
        <w:t> </w:t>
      </w:r>
    </w:p>
    <w:tbl>
      <w:tblPr>
        <w:tblW w:w="10096" w:type="dxa"/>
        <w:jc w:val="left"/>
        <w:tblInd w:w="0" w:type="dxa"/>
        <w:tblLayout w:type="fixed"/>
        <w:tblCellMar>
          <w:top w:w="0" w:type="dxa"/>
          <w:left w:w="0" w:type="dxa"/>
          <w:bottom w:w="0" w:type="dxa"/>
          <w:right w:w="0" w:type="dxa"/>
        </w:tblCellMar>
      </w:tblPr>
      <w:tblGrid>
        <w:gridCol w:w="5435"/>
        <w:gridCol w:w="60"/>
        <w:gridCol w:w="65"/>
        <w:gridCol w:w="954"/>
        <w:gridCol w:w="103"/>
        <w:gridCol w:w="65"/>
        <w:gridCol w:w="65"/>
        <w:gridCol w:w="954"/>
        <w:gridCol w:w="95"/>
        <w:gridCol w:w="60"/>
        <w:gridCol w:w="60"/>
        <w:gridCol w:w="875"/>
        <w:gridCol w:w="95"/>
        <w:gridCol w:w="60"/>
        <w:gridCol w:w="60"/>
        <w:gridCol w:w="980"/>
        <w:gridCol w:w="110"/>
      </w:tblGrid>
      <w:tr>
        <w:trPr/>
        <w:tc>
          <w:tcPr>
            <w:tcW w:w="54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29/28,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491"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Net cash (utilized by)/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(88,651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280,877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998,278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1,126,663</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Less: 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(220,881</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(167,800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(920,114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(579,656</w:t>
            </w:r>
          </w:p>
        </w:tc>
        <w:tc>
          <w:tcPr>
            <w:tcW w:w="110" w:type="dxa"/>
            <w:tcBorders/>
            <w:shd w:fill="FFFFFF" w:val="clear"/>
            <w:vAlign w:val="center"/>
          </w:tcPr>
          <w:p>
            <w:pPr>
              <w:pStyle w:val="TableContents"/>
              <w:bidi w:val="0"/>
              <w:spacing w:before="0" w:after="283"/>
              <w:jc w:val="left"/>
              <w:rPr/>
            </w:pPr>
            <w:r>
              <w:rPr/>
              <w:t>)</w:t>
            </w:r>
          </w:p>
        </w:tc>
      </w:tr>
      <w:tr>
        <w:trPr/>
        <w:tc>
          <w:tcPr>
            <w:tcW w:w="5435"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Free Cash Flow</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(309,532</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113,077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78,164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547,007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PROFIT FOR THE PERIOD TO ADJUSTED EBITDA (A NON-IFRS MEASURE)</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4"/>
        <w:gridCol w:w="60"/>
        <w:gridCol w:w="63"/>
        <w:gridCol w:w="850"/>
        <w:gridCol w:w="228"/>
        <w:gridCol w:w="63"/>
        <w:gridCol w:w="63"/>
        <w:gridCol w:w="850"/>
        <w:gridCol w:w="215"/>
        <w:gridCol w:w="60"/>
        <w:gridCol w:w="60"/>
        <w:gridCol w:w="980"/>
        <w:gridCol w:w="215"/>
        <w:gridCol w:w="60"/>
        <w:gridCol w:w="60"/>
        <w:gridCol w:w="980"/>
        <w:gridCol w:w="234"/>
      </w:tblGrid>
      <w:tr>
        <w:trPr/>
        <w:tc>
          <w:tcPr>
            <w:tcW w:w="51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29/28,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234" w:type="dxa"/>
            <w:tcBorders/>
            <w:vAlign w:val="center"/>
          </w:tcPr>
          <w:p>
            <w:pPr>
              <w:pStyle w:val="TableContents"/>
              <w:bidi w:val="0"/>
              <w:spacing w:before="0" w:after="283"/>
              <w:jc w:val="left"/>
              <w:rPr/>
            </w:pPr>
            <w:r>
              <w:rPr/>
              <w:t> </w:t>
            </w:r>
          </w:p>
        </w:tc>
      </w:tr>
      <w:tr>
        <w:trPr/>
        <w:tc>
          <w:tcPr>
            <w:tcW w:w="51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2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4" w:type="dxa"/>
            <w:tcBorders/>
            <w:vAlign w:val="center"/>
          </w:tcPr>
          <w:p>
            <w:pPr>
              <w:pStyle w:val="TableContents"/>
              <w:bidi w:val="0"/>
              <w:spacing w:before="0" w:after="283"/>
              <w:jc w:val="left"/>
              <w:rPr/>
            </w:pPr>
            <w:r>
              <w:rPr/>
              <w:t> </w:t>
            </w:r>
          </w:p>
        </w:tc>
      </w:tr>
      <w:tr>
        <w:trPr/>
        <w:tc>
          <w:tcPr>
            <w:tcW w:w="5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7" w:type="dxa"/>
            <w:gridSpan w:val="14"/>
            <w:tcBorders/>
            <w:vAlign w:val="center"/>
          </w:tcPr>
          <w:p>
            <w:pPr>
              <w:pStyle w:val="TableContents"/>
              <w:bidi w:val="0"/>
              <w:spacing w:before="0" w:after="283"/>
              <w:jc w:val="center"/>
              <w:rPr>
                <w:b/>
              </w:rPr>
            </w:pPr>
            <w:r>
              <w:rPr>
                <w:b/>
              </w:rPr>
              <w:t>(Rand Thousands)</w:t>
            </w:r>
          </w:p>
        </w:tc>
        <w:tc>
          <w:tcPr>
            <w:tcW w:w="234" w:type="dxa"/>
            <w:tcBorders/>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214,661</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149,901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754,156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608,806</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85,819</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92,607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311,554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285,298</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(11,050</w:t>
            </w:r>
          </w:p>
        </w:tc>
        <w:tc>
          <w:tcPr>
            <w:tcW w:w="228"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(9,109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(39,418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(23,255</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5164"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6,416</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2,795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10,095</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pPr>
            <w:r>
              <w:rPr/>
              <w:t>Depreciation of property, plant and equipment and amortization of intangible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167,694</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125,037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648,688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544,929</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pPr>
            <w:r>
              <w:rPr/>
              <w:t>Fair value changes to derivative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Adjusted EBITDA</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pPr>
            <w:r>
              <w:rPr/>
              <w:t>463,928</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pPr>
            <w:r>
              <w:rPr/>
              <w:t>362,202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1,691,190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1,426,844</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b/>
              </w:rPr>
            </w:pPr>
            <w:r>
              <w:rPr>
                <w:b/>
              </w:rPr>
              <w:t>Profit margin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20</w:t>
            </w:r>
          </w:p>
        </w:tc>
        <w:tc>
          <w:tcPr>
            <w:tcW w:w="228"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w:t>
            </w:r>
          </w:p>
        </w:tc>
        <w:tc>
          <w:tcPr>
            <w:tcW w:w="234" w:type="dxa"/>
            <w:tcBorders/>
            <w:shd w:fill="FFFFFF" w:val="clear"/>
            <w:vAlign w:val="center"/>
          </w:tcPr>
          <w:p>
            <w:pPr>
              <w:pStyle w:val="TableContents"/>
              <w:bidi w:val="0"/>
              <w:spacing w:before="0" w:after="283"/>
              <w:ind w:left="0" w:right="0" w:hanging="180"/>
              <w:jc w:val="left"/>
              <w:rPr/>
            </w:pPr>
            <w:r>
              <w:rPr/>
              <w:t>%</w:t>
            </w:r>
          </w:p>
        </w:tc>
      </w:tr>
      <w:tr>
        <w:trPr/>
        <w:tc>
          <w:tcPr>
            <w:tcW w:w="5164"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 xml:space="preserve">Adjusted EBITDA margin </w:t>
            </w:r>
            <w:r>
              <w:rPr>
                <w:b w:val="false"/>
                <w:i w:val="false"/>
                <w:caps w:val="false"/>
                <w:smallCaps w:val="false"/>
              </w:rPr>
              <w:t>(a non-IFRS measure)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43</w:t>
            </w:r>
          </w:p>
        </w:tc>
        <w:tc>
          <w:tcPr>
            <w:tcW w:w="228"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BASIC AND DILUTED EARNINGS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11"/>
        <w:gridCol w:w="60"/>
        <w:gridCol w:w="65"/>
        <w:gridCol w:w="869"/>
        <w:gridCol w:w="65"/>
        <w:gridCol w:w="65"/>
        <w:gridCol w:w="65"/>
        <w:gridCol w:w="869"/>
        <w:gridCol w:w="60"/>
        <w:gridCol w:w="60"/>
        <w:gridCol w:w="60"/>
        <w:gridCol w:w="800"/>
        <w:gridCol w:w="60"/>
        <w:gridCol w:w="60"/>
        <w:gridCol w:w="60"/>
        <w:gridCol w:w="800"/>
        <w:gridCol w:w="76"/>
      </w:tblGrid>
      <w:tr>
        <w:trPr/>
        <w:tc>
          <w:tcPr>
            <w:tcW w:w="61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29/28,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76" w:type="dxa"/>
            <w:tcBorders/>
            <w:vAlign w:val="center"/>
          </w:tcPr>
          <w:p>
            <w:pPr>
              <w:pStyle w:val="TableContents"/>
              <w:bidi w:val="0"/>
              <w:spacing w:before="0" w:after="283"/>
              <w:jc w:val="left"/>
              <w:rPr/>
            </w:pPr>
            <w:r>
              <w:rPr/>
              <w:t> </w:t>
            </w:r>
          </w:p>
        </w:tc>
      </w:tr>
      <w:tr>
        <w:trPr/>
        <w:tc>
          <w:tcPr>
            <w:tcW w:w="61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6" w:type="dxa"/>
            <w:tcBorders/>
            <w:vAlign w:val="center"/>
          </w:tcPr>
          <w:p>
            <w:pPr>
              <w:pStyle w:val="TableContents"/>
              <w:bidi w:val="0"/>
              <w:spacing w:before="0" w:after="283"/>
              <w:jc w:val="left"/>
              <w:rPr/>
            </w:pPr>
            <w:r>
              <w:rPr/>
              <w:t> </w:t>
            </w:r>
          </w:p>
        </w:tc>
      </w:tr>
      <w:tr>
        <w:trPr/>
        <w:tc>
          <w:tcPr>
            <w:tcW w:w="61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58" w:type="dxa"/>
            <w:gridSpan w:val="14"/>
            <w:tcBorders/>
            <w:vAlign w:val="center"/>
          </w:tcPr>
          <w:p>
            <w:pPr>
              <w:pStyle w:val="TableContents"/>
              <w:bidi w:val="0"/>
              <w:spacing w:before="0" w:after="283"/>
              <w:jc w:val="center"/>
              <w:rPr>
                <w:b/>
              </w:rPr>
            </w:pPr>
            <w:r>
              <w:rPr>
                <w:b/>
              </w:rPr>
              <w:t>(Rand Thousands)</w:t>
            </w:r>
          </w:p>
        </w:tc>
        <w:tc>
          <w:tcPr>
            <w:tcW w:w="76" w:type="dxa"/>
            <w:tcBorders/>
            <w:vAlign w:val="center"/>
          </w:tcPr>
          <w:p>
            <w:pPr>
              <w:pStyle w:val="TableContents"/>
              <w:bidi w:val="0"/>
              <w:spacing w:before="0" w:after="283"/>
              <w:ind w:left="0" w:right="0" w:hanging="180"/>
              <w:jc w:val="left"/>
              <w:rPr/>
            </w:pPr>
            <w:r>
              <w:rPr/>
              <w:t> </w:t>
            </w:r>
          </w:p>
        </w:tc>
      </w:tr>
      <w:tr>
        <w:trPr/>
        <w:tc>
          <w:tcPr>
            <w:tcW w:w="6111"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210,692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145,522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738,191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597,153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111" w:type="dxa"/>
            <w:tcBorders/>
            <w:shd w:fill="CCEEFF" w:val="clear"/>
            <w:vAlign w:val="center"/>
          </w:tcPr>
          <w:p>
            <w:pPr>
              <w:pStyle w:val="TableContents"/>
              <w:bidi w:val="0"/>
              <w:spacing w:before="0" w:after="283"/>
              <w:jc w:val="left"/>
              <w:rPr/>
            </w:pPr>
            <w:r>
              <w:rPr/>
              <w:t>Weighted average number of ordinary shares outstanding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30,941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6111"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6.81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19.29</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or diluted HEPS is calculated using profit attributable to shareholders adjusted for (gain)/loss on disposal of property, plant and equipment divided by the weighted average number of ordinary shares in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a reconciliation between our profit attributable to shareholders used to calculate basic and diluted earnings per share and headline earnings used to calculate the HEPS and have included the weighted average number of shares outstanding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BASIC AND DILUTED EARNINGS TO HEADLINE EARNINGS PER SHARE (A NON-IFRS MEASURE)</w:t>
        <w:b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13"/>
        <w:gridCol w:w="60"/>
        <w:gridCol w:w="64"/>
        <w:gridCol w:w="859"/>
        <w:gridCol w:w="101"/>
        <w:gridCol w:w="64"/>
        <w:gridCol w:w="64"/>
        <w:gridCol w:w="859"/>
        <w:gridCol w:w="95"/>
        <w:gridCol w:w="60"/>
        <w:gridCol w:w="60"/>
        <w:gridCol w:w="800"/>
        <w:gridCol w:w="95"/>
        <w:gridCol w:w="60"/>
        <w:gridCol w:w="60"/>
        <w:gridCol w:w="800"/>
        <w:gridCol w:w="91"/>
      </w:tblGrid>
      <w:tr>
        <w:trPr/>
        <w:tc>
          <w:tcPr>
            <w:tcW w:w="6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29/28,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91" w:type="dxa"/>
            <w:tcBorders/>
            <w:vAlign w:val="center"/>
          </w:tcPr>
          <w:p>
            <w:pPr>
              <w:pStyle w:val="TableContents"/>
              <w:bidi w:val="0"/>
              <w:spacing w:before="0" w:after="283"/>
              <w:jc w:val="left"/>
              <w:rPr/>
            </w:pPr>
            <w:r>
              <w:rPr/>
              <w:t> </w:t>
            </w:r>
          </w:p>
        </w:tc>
      </w:tr>
      <w:tr>
        <w:trPr/>
        <w:tc>
          <w:tcPr>
            <w:tcW w:w="6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1" w:type="dxa"/>
            <w:tcBorders/>
            <w:vAlign w:val="center"/>
          </w:tcPr>
          <w:p>
            <w:pPr>
              <w:pStyle w:val="TableContents"/>
              <w:bidi w:val="0"/>
              <w:spacing w:before="0" w:after="283"/>
              <w:jc w:val="left"/>
              <w:rPr/>
            </w:pPr>
            <w:r>
              <w:rPr/>
              <w:t> </w:t>
            </w:r>
          </w:p>
        </w:tc>
      </w:tr>
      <w:tr>
        <w:trPr/>
        <w:tc>
          <w:tcPr>
            <w:tcW w:w="6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41" w:type="dxa"/>
            <w:gridSpan w:val="14"/>
            <w:tcBorders/>
            <w:vAlign w:val="center"/>
          </w:tcPr>
          <w:p>
            <w:pPr>
              <w:pStyle w:val="TableContents"/>
              <w:bidi w:val="0"/>
              <w:spacing w:before="0" w:after="283"/>
              <w:jc w:val="center"/>
              <w:rPr>
                <w:b/>
              </w:rPr>
            </w:pPr>
            <w:r>
              <w:rPr>
                <w:b/>
              </w:rPr>
              <w:t>(Rand Thousands)</w:t>
            </w:r>
          </w:p>
        </w:tc>
        <w:tc>
          <w:tcPr>
            <w:tcW w:w="91" w:type="dxa"/>
            <w:tcBorders/>
            <w:vAlign w:val="center"/>
          </w:tcPr>
          <w:p>
            <w:pPr>
              <w:pStyle w:val="TableContents"/>
              <w:bidi w:val="0"/>
              <w:spacing w:before="0" w:after="283"/>
              <w:ind w:left="0" w:right="0" w:hanging="180"/>
              <w:jc w:val="left"/>
              <w:rPr/>
            </w:pPr>
            <w:r>
              <w:rPr/>
              <w:t> </w:t>
            </w:r>
          </w:p>
        </w:tc>
      </w:tr>
      <w:tr>
        <w:trPr/>
        <w:tc>
          <w:tcPr>
            <w:tcW w:w="6013" w:type="dxa"/>
            <w:tcBorders/>
            <w:vAlign w:val="center"/>
          </w:tcPr>
          <w:p>
            <w:pPr>
              <w:pStyle w:val="TableContents"/>
              <w:bidi w:val="0"/>
              <w:spacing w:before="0" w:after="283"/>
              <w:jc w:val="left"/>
              <w:rPr>
                <w:b w:val="false"/>
                <w:i w:val="false"/>
                <w:caps w:val="false"/>
                <w:smallCaps w:val="false"/>
              </w:rPr>
            </w:pPr>
            <w:r>
              <w:rPr>
                <w:b/>
                <w:i w:val="false"/>
                <w:caps w:val="false"/>
                <w:smallCaps w:val="false"/>
              </w:rPr>
              <w:t>Reconciliation between basic earnings to headline earnings</w:t>
            </w:r>
            <w:r>
              <w:rPr>
                <w:b w:val="false"/>
                <w:i w:val="false"/>
                <w:caps w:val="false"/>
                <w:smallCaps w:val="false"/>
              </w:rPr>
              <w:t xml:space="preserve"> (a non-IFRS measure)</w:t>
            </w:r>
          </w:p>
        </w:tc>
        <w:tc>
          <w:tcPr>
            <w:tcW w:w="60"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6013"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210,692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145,522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738,191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597,153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013" w:type="dxa"/>
            <w:tcBorders/>
            <w:shd w:fill="FFFFFF" w:val="clear"/>
            <w:vAlign w:val="center"/>
          </w:tcPr>
          <w:p>
            <w:pPr>
              <w:pStyle w:val="TableContents"/>
              <w:bidi w:val="0"/>
              <w:spacing w:before="0" w:after="283"/>
              <w:jc w:val="left"/>
              <w:rPr>
                <w:b/>
              </w:rPr>
            </w:pPr>
            <w:r>
              <w:rPr>
                <w:b/>
              </w:rPr>
              <w:t>Adjust for: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013" w:type="dxa"/>
            <w:tcBorders/>
            <w:shd w:fill="CCEEFF" w:val="clear"/>
            <w:vAlign w:val="center"/>
          </w:tcPr>
          <w:p>
            <w:pPr>
              <w:pStyle w:val="TableContents"/>
              <w:bidi w:val="0"/>
              <w:spacing w:before="0" w:after="283"/>
              <w:jc w:val="left"/>
              <w:rPr/>
            </w:pPr>
            <w:r>
              <w:rPr/>
              <w:t>(Gain)/loss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(2,210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(4,954</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6013" w:type="dxa"/>
            <w:tcBorders/>
            <w:shd w:fill="FFFFFF" w:val="clear"/>
            <w:vAlign w:val="center"/>
          </w:tcPr>
          <w:p>
            <w:pPr>
              <w:pStyle w:val="TableContents"/>
              <w:bidi w:val="0"/>
              <w:spacing w:before="0" w:after="283"/>
              <w:jc w:val="left"/>
              <w:rPr/>
            </w:pPr>
            <w:r>
              <w:rPr/>
              <w:t>Tax effect on (gain)/loss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pPr>
            <w:r>
              <w:rPr/>
              <w:t>495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1,376</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013"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Headline earnings</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double" w:sz="10" w:space="0" w:color="000000"/>
            </w:tcBorders>
            <w:shd w:fill="CCEEFF" w:val="clear"/>
            <w:tcMar>
              <w:bottom w:w="28" w:type="dxa"/>
            </w:tcMar>
            <w:vAlign w:val="center"/>
          </w:tcPr>
          <w:p>
            <w:pPr>
              <w:pStyle w:val="TableContents"/>
              <w:bidi w:val="0"/>
              <w:spacing w:before="0" w:after="283"/>
              <w:jc w:val="right"/>
              <w:rPr/>
            </w:pPr>
            <w:r>
              <w:rPr/>
              <w:t>208,977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double" w:sz="10" w:space="0" w:color="000000"/>
            </w:tcBorders>
            <w:shd w:fill="CCEEFF" w:val="clear"/>
            <w:tcMar>
              <w:bottom w:w="28" w:type="dxa"/>
            </w:tcMar>
            <w:vAlign w:val="center"/>
          </w:tcPr>
          <w:p>
            <w:pPr>
              <w:pStyle w:val="TableContents"/>
              <w:bidi w:val="0"/>
              <w:spacing w:before="0" w:after="283"/>
              <w:jc w:val="right"/>
              <w:rPr/>
            </w:pPr>
            <w:r>
              <w:rPr/>
              <w:t>145,390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737,320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593,575</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013" w:type="dxa"/>
            <w:tcBorders/>
            <w:shd w:fill="CCEEFF" w:val="clear"/>
            <w:vAlign w:val="center"/>
          </w:tcPr>
          <w:p>
            <w:pPr>
              <w:pStyle w:val="TableContents"/>
              <w:bidi w:val="0"/>
              <w:spacing w:before="0" w:after="283"/>
              <w:jc w:val="left"/>
              <w:rPr/>
            </w:pPr>
            <w:r>
              <w:rPr/>
              <w:t>Weighted average number of ordinary shares outstanding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30,941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30,951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013"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6.81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19.29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6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6013" w:type="dxa"/>
            <w:tcBorders/>
            <w:shd w:fill="CCEEFF" w:val="clear"/>
            <w:vAlign w:val="center"/>
          </w:tcPr>
          <w:p>
            <w:pPr>
              <w:pStyle w:val="TableContents"/>
              <w:bidi w:val="0"/>
              <w:spacing w:before="0" w:after="283"/>
              <w:jc w:val="left"/>
              <w:rPr>
                <w:b w:val="false"/>
                <w:i w:val="false"/>
                <w:caps w:val="false"/>
                <w:smallCaps w:val="false"/>
              </w:rPr>
            </w:pPr>
            <w:r>
              <w:rPr>
                <w:b/>
                <w:i w:val="false"/>
                <w:caps w:val="false"/>
                <w:smallCaps w:val="false"/>
              </w:rPr>
              <w:t>Basic and diluted headline earnings per share</w:t>
            </w:r>
            <w:r>
              <w:rPr>
                <w:b w:val="false"/>
                <w:i w:val="false"/>
                <w:caps w:val="false"/>
                <w:smallCaps w:val="false"/>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6.75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19.18</w:t>
            </w:r>
          </w:p>
        </w:tc>
        <w:tc>
          <w:tcPr>
            <w:tcW w:w="9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CONSTANT CURRENCY (A NON-IFRS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information has been presented to illustrate the impact of changes in currency rates on the group’s results. The tables below provide the unaudited constant currency reconciliation to the reported measure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February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constant currency information has been determined by adjusting the current financial reporting period results to the results reported for the three months ended February 28, 2023, using the average of the monthly exchange rates applicable to that period. The measurement has been performed for each of the group’s operating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left"/>
        <w:rPr>
          <w:caps w:val="false"/>
          <w:smallCaps w:val="false"/>
        </w:rPr>
      </w:pPr>
      <w:r>
        <w:rPr>
          <w:caps w:val="false"/>
          <w:smallCaps w:val="false"/>
        </w:rPr>
        <w:t> </w:t>
      </w:r>
    </w:p>
    <w:tbl>
      <w:tblPr>
        <w:tblW w:w="7636" w:type="dxa"/>
        <w:jc w:val="left"/>
        <w:tblInd w:w="0" w:type="dxa"/>
        <w:tblLayout w:type="fixed"/>
        <w:tblCellMar>
          <w:top w:w="0" w:type="dxa"/>
          <w:left w:w="0" w:type="dxa"/>
          <w:bottom w:w="0" w:type="dxa"/>
          <w:right w:w="0" w:type="dxa"/>
        </w:tblCellMar>
      </w:tblPr>
      <w:tblGrid>
        <w:gridCol w:w="4745"/>
        <w:gridCol w:w="60"/>
        <w:gridCol w:w="61"/>
        <w:gridCol w:w="821"/>
        <w:gridCol w:w="97"/>
        <w:gridCol w:w="61"/>
        <w:gridCol w:w="61"/>
        <w:gridCol w:w="821"/>
        <w:gridCol w:w="60"/>
        <w:gridCol w:w="60"/>
        <w:gridCol w:w="104"/>
        <w:gridCol w:w="455"/>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February 29/28,</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Y-o-Y </w:t>
              <w:br/>
              <w:t>%</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2"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935,162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794,470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(20,960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914,202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794,470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right"/>
              <w:rPr/>
            </w:pPr>
            <w:r>
              <w:rPr/>
              <w:t>15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4055"/>
        <w:gridCol w:w="60"/>
        <w:gridCol w:w="60"/>
        <w:gridCol w:w="980"/>
        <w:gridCol w:w="95"/>
        <w:gridCol w:w="60"/>
        <w:gridCol w:w="60"/>
        <w:gridCol w:w="800"/>
        <w:gridCol w:w="60"/>
        <w:gridCol w:w="60"/>
        <w:gridCol w:w="96"/>
        <w:gridCol w:w="419"/>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February 29/28,</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br/>
              <w:t>%</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1,088,368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916,355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(21,590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1,066,778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916,355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shd w:fill="CCEEFF" w:val="clear"/>
            <w:tcMar>
              <w:bottom w:w="28" w:type="dxa"/>
            </w:tcMar>
            <w:vAlign w:val="center"/>
          </w:tcPr>
          <w:p>
            <w:pPr>
              <w:pStyle w:val="TableContents"/>
              <w:bidi w:val="0"/>
              <w:spacing w:before="0" w:after="283"/>
              <w:jc w:val="right"/>
              <w:rPr/>
            </w:pPr>
            <w:r>
              <w:rPr/>
              <w:t>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4745"/>
        <w:gridCol w:w="60"/>
        <w:gridCol w:w="60"/>
        <w:gridCol w:w="980"/>
        <w:gridCol w:w="95"/>
        <w:gridCol w:w="60"/>
        <w:gridCol w:w="60"/>
        <w:gridCol w:w="980"/>
        <w:gridCol w:w="60"/>
        <w:gridCol w:w="60"/>
        <w:gridCol w:w="121"/>
        <w:gridCol w:w="529"/>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29/28,</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3,535,805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3,010,072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(115,484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3,420,321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3,010,072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14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4055"/>
        <w:gridCol w:w="60"/>
        <w:gridCol w:w="60"/>
        <w:gridCol w:w="980"/>
        <w:gridCol w:w="95"/>
        <w:gridCol w:w="60"/>
        <w:gridCol w:w="60"/>
        <w:gridCol w:w="980"/>
        <w:gridCol w:w="60"/>
        <w:gridCol w:w="60"/>
        <w:gridCol w:w="121"/>
        <w:gridCol w:w="529"/>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w:t>
              <w:br/>
              <w:t>February 29/28,</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4,205,511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3,507,067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(116,678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4,088,833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3,507,067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DEFINITIONS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(a non-IFRS measure) is defined as, earnings per share defined by IFRS excluding the impact of non-recurring operational expenses,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Annualized Recurring Revenue (SaaS ARR)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Revenue per Subscriber per month (ARPU)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Cartrack Holdings </w:t>
      </w:r>
      <w:r>
        <w:rPr>
          <w:rFonts w:ascii="Times New Roman;Times;Serif" w:hAnsi="Times New Roman;Times;Serif"/>
          <w:b w:val="false"/>
          <w:i w:val="false"/>
          <w:caps w:val="false"/>
          <w:smallCaps w:val="false"/>
          <w:sz w:val="20"/>
        </w:rPr>
        <w:t>(“Cartrack”)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operating margin for a period of 12-months sum to greater than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non-IFRS financial measures that are used as reference of Cartrack’s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Lifetime value (LTV of a Customer) of customer relationships to customer acquisition costs (CAC)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Lifetime value (LTV of a Subscriber), cost of acquiring a subscriber (CAS) and </w:t>
      </w:r>
      <w:r>
        <w:rPr>
          <w:rFonts w:ascii="Times New Roman;Times;Serif" w:hAnsi="Times New Roman;Times;Serif"/>
          <w:b w:val="false"/>
          <w:i w:val="false"/>
          <w:caps w:val="false"/>
          <w:smallCaps w:val="false"/>
          <w:sz w:val="20"/>
        </w:rPr>
        <w:t>cost of servicing a subscriber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CAS, which is calculated on a per subscriber basis, as (i) sales and marketing expenses, plus (ii) sales commissions, plus (iii) cost of installing IoT equipment, divided by (iv) the average subscriber base for such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8082</Words>
  <Characters>45242</Characters>
  <CharactersWithSpaces>54647</CharactersWithSpaces>
  <Paragraphs>3934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