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October, 2025</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14,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October 14, 2025 - Karooooo Ltd. Announces Second Quarter and Half-Year 2026 Unaudited Financial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440" w:type="dxa"/>
            <w:vAlign w:val="bottom"/>
            <w:tcBorders>
              <w:top w:val="single" w:sz="8" w:color="0000EE"/>
              <w:bottom w:val="single" w:sz="8" w:color="auto"/>
            </w:tcBorders>
          </w:tcPr>
          <w:p>
            <w:pPr>
              <w:jc w:val="right"/>
              <w:ind w:right="483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80" w:hanging="151"/>
        <w:spacing w:after="0"/>
        <w:tabs>
          <w:tab w:leader="none" w:pos="3280" w:val="left"/>
        </w:tabs>
        <w:numPr>
          <w:ilvl w:val="4"/>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Cartrack Subscription Revenue growth accelerated to 20% Y/Y</w:t>
      </w:r>
    </w:p>
    <w:p>
      <w:pPr>
        <w:spacing w:after="0" w:line="225" w:lineRule="exact"/>
        <w:rPr>
          <w:rFonts w:ascii="Times New Roman" w:cs="Times New Roman" w:eastAsia="Times New Roman" w:hAnsi="Times New Roman"/>
          <w:sz w:val="18"/>
          <w:szCs w:val="18"/>
          <w:color w:val="auto"/>
        </w:rPr>
      </w:pPr>
    </w:p>
    <w:p>
      <w:pPr>
        <w:ind w:left="3080" w:hanging="163"/>
        <w:spacing w:after="0"/>
        <w:tabs>
          <w:tab w:leader="none" w:pos="30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SaaS Annualized Recurring Revenue growth accelerated to 20% Y/Y</w:t>
      </w:r>
    </w:p>
    <w:p>
      <w:pPr>
        <w:spacing w:after="0" w:line="225" w:lineRule="exact"/>
        <w:rPr>
          <w:rFonts w:ascii="Times New Roman" w:cs="Times New Roman" w:eastAsia="Times New Roman" w:hAnsi="Times New Roman"/>
          <w:sz w:val="18"/>
          <w:szCs w:val="18"/>
          <w:color w:val="auto"/>
        </w:rPr>
      </w:pPr>
    </w:p>
    <w:p>
      <w:pPr>
        <w:ind w:left="2860" w:hanging="156"/>
        <w:spacing w:after="0"/>
        <w:tabs>
          <w:tab w:leader="none" w:pos="2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Adjusted EPS increased 13% Y/Y to ZAR8.28 (Q2 2025: ZAR7.35)</w:t>
      </w:r>
    </w:p>
    <w:p>
      <w:pPr>
        <w:spacing w:after="0" w:line="225" w:lineRule="exact"/>
        <w:rPr>
          <w:rFonts w:ascii="Times New Roman" w:cs="Times New Roman" w:eastAsia="Times New Roman" w:hAnsi="Times New Roman"/>
          <w:sz w:val="18"/>
          <w:szCs w:val="18"/>
          <w:color w:val="auto"/>
        </w:rPr>
      </w:pPr>
    </w:p>
    <w:p>
      <w:pPr>
        <w:ind w:left="3000" w:hanging="151"/>
        <w:spacing w:after="0"/>
        <w:tabs>
          <w:tab w:leader="none" w:pos="30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Subscribers increased 15% to 2.5 million (Q2 2025: 2.1 million)</w:t>
      </w:r>
    </w:p>
    <w:p>
      <w:pPr>
        <w:spacing w:after="0" w:line="225" w:lineRule="exact"/>
        <w:rPr>
          <w:rFonts w:ascii="Times New Roman" w:cs="Times New Roman" w:eastAsia="Times New Roman" w:hAnsi="Times New Roman"/>
          <w:sz w:val="18"/>
          <w:szCs w:val="18"/>
          <w:color w:val="auto"/>
        </w:rPr>
      </w:pPr>
    </w:p>
    <w:p>
      <w:pPr>
        <w:ind w:left="3160" w:hanging="146"/>
        <w:spacing w:after="0"/>
        <w:tabs>
          <w:tab w:leader="none" w:pos="3160"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Reaffirming FY26 Outlook: On Track to Deliver Growth Acceleration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SINGAPORE (October 14, 2025) - Karooooo Limited (“Karooooo”) reported strong results for the period ended August 31, 2025. Karooooo owns 100% of Cartrack and 74.8% of Karooooo Logistics, (collectively, “the group”).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subscription revenue growth increased from 15% in FY25 Q2, to 20% in this quarter. We continue to demonstrate our ability to accelerate our subscription revenue growth at scale, deliver strong earnings, drive innovation, and increase our distribution capabilities while maintaining a strong, financially disciplined, agile, innovative and owner-orientated culture. We believe that our strong unit economics coupled with a clean balance sheet positions us favourably to continue to scale,” said Zak Calisto, Group CEO of Karooooo.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260"/>
        <w:spacing w:after="0"/>
        <w:rPr>
          <w:sz w:val="20"/>
          <w:szCs w:val="20"/>
          <w:color w:val="auto"/>
        </w:rPr>
      </w:pPr>
      <w:r>
        <w:rPr>
          <w:rFonts w:ascii="Times New Roman" w:cs="Times New Roman" w:eastAsia="Times New Roman" w:hAnsi="Times New Roman"/>
          <w:sz w:val="18"/>
          <w:szCs w:val="18"/>
          <w:b w:val="1"/>
          <w:bCs w:val="1"/>
          <w:color w:val="auto"/>
        </w:rPr>
        <w:t>Second Quarter 2026 Financial Overview (Unaudited)</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(Comparisons are relative to Q2 2025, unless otherwise stated.)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 subscribers </w:t>
      </w:r>
      <w:r>
        <w:rPr>
          <w:rFonts w:ascii="Times New Roman" w:cs="Times New Roman" w:eastAsia="Times New Roman" w:hAnsi="Times New Roman"/>
          <w:sz w:val="18"/>
          <w:szCs w:val="18"/>
          <w:color w:val="auto"/>
        </w:rPr>
        <w:t>increased 15% to 2,456,989 (Q2 2025: 2,136,610).</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Cartrack subscriber additions </w:t>
      </w:r>
      <w:r>
        <w:rPr>
          <w:rFonts w:ascii="Times New Roman" w:cs="Times New Roman" w:eastAsia="Times New Roman" w:hAnsi="Times New Roman"/>
          <w:sz w:val="18"/>
          <w:szCs w:val="18"/>
          <w:color w:val="auto"/>
        </w:rPr>
        <w:t>of 70,740 (Q2 2025: 89,168).</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20% to ZAR1,182 million (Q2 2025: ZAR986 million).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20% to ZAR1,180 million (Q2 2025: ZAR983 million).</w:t>
      </w:r>
    </w:p>
    <w:p>
      <w:pPr>
        <w:spacing w:after="0" w:line="252"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SaaS annualized recurring revenue (“ARR”) </w:t>
      </w:r>
      <w:r>
        <w:rPr>
          <w:rFonts w:ascii="Times New Roman" w:cs="Times New Roman" w:eastAsia="Times New Roman" w:hAnsi="Times New Roman"/>
          <w:sz w:val="18"/>
          <w:szCs w:val="18"/>
          <w:color w:val="auto"/>
        </w:rPr>
        <w:t>as at August 31, 2025, increased 20% to ZAR4,806 million (August 31,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ZAR3,990 million).</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B2B delivery-as-a-service (“DaaS”) revenue </w:t>
      </w:r>
      <w:r>
        <w:rPr>
          <w:rFonts w:ascii="Times New Roman" w:cs="Times New Roman" w:eastAsia="Times New Roman" w:hAnsi="Times New Roman"/>
          <w:sz w:val="18"/>
          <w:szCs w:val="18"/>
          <w:color w:val="auto"/>
        </w:rPr>
        <w:t>increased 38% to ZAR139 million (Q2 2025: ZAR101 million).</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Presented in the U.S. Dollar Equivalent</w:t>
      </w:r>
      <w:r>
        <w:rPr>
          <w:rFonts w:ascii="Times New Roman" w:cs="Times New Roman" w:eastAsia="Times New Roman" w:hAnsi="Times New Roman"/>
          <w:sz w:val="29"/>
          <w:szCs w:val="29"/>
          <w:b w:val="1"/>
          <w:bCs w:val="1"/>
          <w:i w:val="1"/>
          <w:iCs w:val="1"/>
          <w:color w:val="auto"/>
          <w:vertAlign w:val="superscript"/>
        </w:rPr>
        <w:t>1</w:t>
      </w:r>
    </w:p>
    <w:p>
      <w:pPr>
        <w:spacing w:after="0" w:line="13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21% to USD67 million.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21% to USD67 million.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SaaS ARR </w:t>
      </w:r>
      <w:r>
        <w:rPr>
          <w:rFonts w:ascii="Times New Roman" w:cs="Times New Roman" w:eastAsia="Times New Roman" w:hAnsi="Times New Roman"/>
          <w:sz w:val="18"/>
          <w:szCs w:val="18"/>
          <w:color w:val="auto"/>
        </w:rPr>
        <w:t>increased 21% to USD272 million.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DaaS </w:t>
      </w:r>
      <w:r>
        <w:rPr>
          <w:rFonts w:ascii="Times New Roman" w:cs="Times New Roman" w:eastAsia="Times New Roman" w:hAnsi="Times New Roman"/>
          <w:sz w:val="18"/>
          <w:szCs w:val="18"/>
          <w:color w:val="auto"/>
        </w:rPr>
        <w:t>revenue increased 39% to USD8 million.</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PROFITABILITY</w:t>
      </w:r>
    </w:p>
    <w:p>
      <w:pPr>
        <w:spacing w:after="0" w:line="225" w:lineRule="exact"/>
        <w:rPr>
          <w:sz w:val="20"/>
          <w:szCs w:val="20"/>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operating profit </w:t>
      </w:r>
      <w:r>
        <w:rPr>
          <w:rFonts w:ascii="Times New Roman" w:cs="Times New Roman" w:eastAsia="Times New Roman" w:hAnsi="Times New Roman"/>
          <w:sz w:val="18"/>
          <w:szCs w:val="18"/>
          <w:color w:val="auto"/>
        </w:rPr>
        <w:t>increased 18% to ZAR356 million (Q2 2025: ZAR302 million).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w:t>
      </w:r>
      <w:r>
        <w:rPr>
          <w:rFonts w:ascii="Times New Roman" w:cs="Times New Roman" w:eastAsia="Times New Roman" w:hAnsi="Times New Roman"/>
          <w:sz w:val="18"/>
          <w:szCs w:val="18"/>
          <w:color w:val="auto"/>
        </w:rPr>
        <w:t>increased 17% to ZAR344 million (Q2 2025: ZAR293 million).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margin </w:t>
      </w:r>
      <w:r>
        <w:rPr>
          <w:rFonts w:ascii="Times New Roman" w:cs="Times New Roman" w:eastAsia="Times New Roman" w:hAnsi="Times New Roman"/>
          <w:sz w:val="18"/>
          <w:szCs w:val="18"/>
          <w:color w:val="auto"/>
        </w:rPr>
        <w:t>was 29% (Q2 2025: 29%).</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adjusted earnings per share </w:t>
      </w:r>
      <w:r>
        <w:rPr>
          <w:rFonts w:ascii="Times New Roman" w:cs="Times New Roman" w:eastAsia="Times New Roman" w:hAnsi="Times New Roman"/>
          <w:sz w:val="18"/>
          <w:szCs w:val="18"/>
          <w:color w:val="auto"/>
        </w:rPr>
        <w:t>increased 13% to ZAR8.28 (Q2 2025: ZAR7.35).</w:t>
      </w:r>
    </w:p>
    <w:p>
      <w:pPr>
        <w:spacing w:after="0" w:line="227" w:lineRule="exact"/>
        <w:rPr>
          <w:rFonts w:ascii="Times New Roman" w:cs="Times New Roman" w:eastAsia="Times New Roman" w:hAnsi="Times New Roman"/>
          <w:sz w:val="18"/>
          <w:szCs w:val="18"/>
          <w:color w:val="auto"/>
        </w:rPr>
      </w:pPr>
    </w:p>
    <w:p>
      <w:pPr>
        <w:ind w:left="340" w:hanging="324"/>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For convenience purposes only, amounts in South African rand as of August 31, 2025 have been translated to U.S. dollars using an exchange rate of ZAR 17.6519 to U.S.$1.00 (August 31, 2024: ZAR 17.7910), as set forth in the H.10 statistical release of the Board of Governors of the Federal Reserve System. These translations should not be considered representations that any such amounts have been, could have been or could be converted at that or any other exchange rate.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Second Quarter 2026 Financial Overview</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4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August 31,</w:t>
            </w: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Karooooo Logistics</w:t>
            </w: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Karooooo Consolidated</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Figures in Rand</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3"/>
              </w:rPr>
              <w:t>Y-o-Y</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80" w:type="dxa"/>
            <w:vAlign w:val="bottom"/>
            <w:shd w:val="clear" w:color="auto" w:fill="CCEEFF"/>
          </w:tcPr>
          <w:p>
            <w:pPr>
              <w:spacing w:after="0"/>
              <w:rPr>
                <w:sz w:val="18"/>
                <w:szCs w:val="18"/>
                <w:color w:val="auto"/>
              </w:rPr>
            </w:pPr>
          </w:p>
        </w:tc>
        <w:tc>
          <w:tcPr>
            <w:tcW w:w="920" w:type="dxa"/>
            <w:vAlign w:val="bottom"/>
            <w:tcBorders>
              <w:lef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1,182,284</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985,985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7"/>
        </w:trPr>
        <w:tc>
          <w:tcPr>
            <w:tcW w:w="1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9"/>
                <w:szCs w:val="29"/>
                <w:color w:val="auto"/>
                <w:vertAlign w:val="superscript"/>
              </w:rPr>
              <w:t>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24,865</w:t>
            </w: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22,356</w:t>
            </w:r>
          </w:p>
        </w:tc>
        <w:tc>
          <w:tcPr>
            <w:tcW w:w="80" w:type="dxa"/>
            <w:vAlign w:val="bottom"/>
          </w:tcPr>
          <w:p>
            <w:pPr>
              <w:spacing w:after="0"/>
              <w:rPr>
                <w:sz w:val="22"/>
                <w:szCs w:val="22"/>
                <w:color w:val="auto"/>
              </w:rPr>
            </w:pP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24,865</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22,356</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136,745</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98,380</w:t>
            </w:r>
          </w:p>
        </w:tc>
        <w:tc>
          <w:tcPr>
            <w:tcW w:w="920" w:type="dxa"/>
            <w:vAlign w:val="bottom"/>
            <w:tcBorders>
              <w:lef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136,745</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98,380</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57"/>
        </w:trPr>
        <w:tc>
          <w:tcPr>
            <w:tcW w:w="1960" w:type="dxa"/>
            <w:vAlign w:val="bottom"/>
            <w:gridSpan w:val="2"/>
            <w:vMerge w:val="continue"/>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1,204,487</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1,005,809</w:t>
            </w: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vMerge w:val="continue"/>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139,407</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100,912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80" w:type="dxa"/>
            <w:vAlign w:val="bottom"/>
            <w:vMerge w:val="continue"/>
          </w:tcPr>
          <w:p>
            <w:pPr>
              <w:spacing w:after="0"/>
              <w:rPr>
                <w:sz w:val="22"/>
                <w:szCs w:val="22"/>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1,343,894</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1,106,721</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21</w:t>
            </w: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6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gridSpan w:val="2"/>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(335,649)</w:t>
            </w:r>
          </w:p>
        </w:tc>
        <w:tc>
          <w:tcPr>
            <w:tcW w:w="2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(258,521)</w:t>
            </w: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(95,811)</w:t>
            </w:r>
          </w:p>
        </w:tc>
        <w:tc>
          <w:tcPr>
            <w:tcW w:w="28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(69,532)</w:t>
            </w:r>
          </w:p>
        </w:tc>
        <w:tc>
          <w:tcPr>
            <w:tcW w:w="280" w:type="dxa"/>
            <w:vAlign w:val="bottom"/>
            <w:vMerge w:val="continue"/>
            <w:shd w:val="clear" w:color="auto" w:fill="CCEEFF"/>
          </w:tcPr>
          <w:p>
            <w:pPr>
              <w:spacing w:after="0"/>
              <w:rPr>
                <w:sz w:val="18"/>
                <w:szCs w:val="18"/>
                <w:color w:val="auto"/>
              </w:rPr>
            </w:pPr>
          </w:p>
        </w:tc>
        <w:tc>
          <w:tcPr>
            <w:tcW w:w="920" w:type="dxa"/>
            <w:vAlign w:val="bottom"/>
            <w:tcBorders>
              <w:lef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(431,460)</w:t>
            </w:r>
          </w:p>
        </w:tc>
        <w:tc>
          <w:tcPr>
            <w:tcW w:w="2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(328,053)</w:t>
            </w:r>
          </w:p>
        </w:tc>
        <w:tc>
          <w:tcPr>
            <w:tcW w:w="2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868,838</w:t>
            </w: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747,288</w:t>
            </w:r>
          </w:p>
        </w:tc>
        <w:tc>
          <w:tcPr>
            <w:tcW w:w="8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43,596</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31,380</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912,434</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778,668</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Profit/(loss)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344,328</w:t>
            </w: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293,061</w:t>
            </w:r>
          </w:p>
        </w:tc>
        <w:tc>
          <w:tcPr>
            <w:tcW w:w="8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11,693</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9,137</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356,021</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302,198</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Margin</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6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non-IFRS measure)</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558,651</w:t>
            </w: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452,512</w:t>
            </w:r>
          </w:p>
        </w:tc>
        <w:tc>
          <w:tcPr>
            <w:tcW w:w="80" w:type="dxa"/>
            <w:vAlign w:val="bottom"/>
          </w:tcPr>
          <w:p>
            <w:pPr>
              <w:spacing w:after="0"/>
              <w:rPr>
                <w:sz w:val="20"/>
                <w:szCs w:val="20"/>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12,337</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9,991</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570,988</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462,503</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w w:val="94"/>
              </w:rPr>
              <w:t>23%</w:t>
            </w:r>
          </w:p>
        </w:tc>
        <w:tc>
          <w:tcPr>
            <w:tcW w:w="0" w:type="dxa"/>
            <w:vAlign w:val="bottom"/>
          </w:tcPr>
          <w:p>
            <w:pPr>
              <w:spacing w:after="0"/>
              <w:rPr>
                <w:sz w:val="1"/>
                <w:szCs w:val="1"/>
                <w:color w:val="auto"/>
              </w:rPr>
            </w:pPr>
          </w:p>
        </w:tc>
      </w:tr>
      <w:tr>
        <w:trPr>
          <w:trHeight w:val="194"/>
        </w:trPr>
        <w:tc>
          <w:tcPr>
            <w:tcW w:w="19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tcBorders>
              <w:lef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Margin (a non-IFRS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640" w:type="dxa"/>
            <w:vAlign w:val="bottom"/>
            <w:tcBorders>
              <w:lef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580" w:right="4120" w:hanging="5572"/>
        <w:spacing w:after="0" w:line="785" w:lineRule="auto"/>
        <w:tabs>
          <w:tab w:leader="none" w:pos="333"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revenue is non-subscription-based revenue. Cartrack remains focused on bundled sales. </w:t>
      </w: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revenue increased 21% to ZAR1,344 million (Q2 2025: ZAR1,107 million), and subscription revenue increased 20% to ZAR1,182 million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Q2 2026 (Q2 2025: ZAR986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total revenue increased 20% to ZAR1,204 million (Q2 2025: ZAR1,006 million). Cartrack’s subscription revenue increased 20% to a record ZAR1,180 million in Q2 2026 (Q2 2025: ZAR983 million) driven primarily by the acquisition of new customers and selling Video and the Cartrack-Tag to existing customers. Subscription revenue represented 98% of Cartrack’s total revenue.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Karooooo Logistics’s revenue increased 38% to ZAR139 million (Q2 2025: ZAR101 million). This was driven by an increase in e-commerce orders. Karooooo Logistics offers delivery-as-a-service (“DaaS”) to our large enterprise customers wishing to scale and enable their e-commerce operations through a capital light model by connecting them to an elastic fleet of third-party delivery drivers.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9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160" w:type="dxa"/>
            <w:vAlign w:val="bottom"/>
          </w:tcPr>
          <w:p>
            <w:pPr>
              <w:spacing w:after="0"/>
              <w:rPr>
                <w:sz w:val="16"/>
                <w:szCs w:val="16"/>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50"/>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562,657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480,754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530,751</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458,510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31,906</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Karooooo’s operating expenses increased 17% to ZAR563 million (Q2 2025: ZAR481 million). Cartrack accounted for ZAR531 million (Q2 2025: ZAR459 million) in operating expenses including investments in infrastructure and headcount to support territorial expansion and distribution growth. Karooooo Logistics accounted for ZAR32 million (Q2 2025: ZAR22 million) of total operating expenses as we continued to invest prudently to scale Karooooo Logistics.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Cartrack’s sales and marketing expenses increased 34% to ZAR210 million (Q2 2025: ZAR157 million). We are optimistic that our strategic investment in customer acquisition, including sales headcount, is already yielding the desired results and positions us well for continued organic growth. As we begin to realise the benefits of this investment, we continue working to produce further gains in new sales headcount efficiency in the coming periods. Our customer lifetime value (LTV) to customer acquisition costs (CAC) ratio continues to exceed 9 times and underpins our disciplined approach to growth and customer acquisition.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general and administration expenses increased 13% to ZAR249 million (Q2 2025: ZAR220 million), reflecting our ability to prudently manage costs while building infrastructure to support our future growth. We expect to increase these costs gradually on an ongoing basis to support and drive growth.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R&amp;D operating expenses increased 10% to ZAR56 million (Q2 2025: ZAR51 million). We remain committed to investing in product innovation to deliver more value to our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provided for expected credit losses of ZAR15 million (Q2 2025: ZAR30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expenses as a proportion of subscription revenue aligns with Karooooo’s long-term financial goals and reflect our continued commitment to growth at scale.</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sales and marketing expenses as a percentage of Cartrack’s subscription revenue increased to 18% (Q2 2025: 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general and administration expenses as a percentage of Cartrack’s subscription revenue decreased to 21% (Q2 2025: 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R&amp;D expenses as a percentage of Cartrack’s subscription revenue remained at 5% (Q2 2025: 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Operating Profit and Earnings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Karooooo’s operating profit increased 18% to ZAR356 million (Q2 2025: ZAR302 million). Earnings per share increased 15% to ZAR7.88 (Q2 2025: ZAR6.85). After adjustment for the costs of the secondary offering in the reported period, adjusted earnings per share increased 13% to ZAR8.28 (Q2 2025: ZAR7.35).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gross profit margin remained strong at 72% (Q2 2025: 74%), and Cartrack’s subscription gross profit margin was 72% (Q2 2025: 75%).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operating profit increased 17% to ZAR344 million (Q2 2025: ZAR293 million), and Cartrack’s operating profit margin was 29% (Q2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gross profit margin was 31% (Q2 2025: 31%) while operating profit increased 28% to ZAR12 million (Q2 2025: ZAR9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operating profit margin was 8% (Q2 2025: 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increased 23% to ZAR571 million (Q2 2025: ZAR463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increased 23% to ZAR559 million (Q2 2025: ZAR453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Adjusted EBITDA increased 23% to ZAR12 million (Q2 2025: ZAR10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below for a reconciliation of Adjusted EBITDA to profit, its most directly comparable IFRS financial measure.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Half-Year 2026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HY 2025, unless otherwise stated.)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 subscribers </w:t>
      </w:r>
      <w:r>
        <w:rPr>
          <w:rFonts w:ascii="Times New Roman" w:cs="Times New Roman" w:eastAsia="Times New Roman" w:hAnsi="Times New Roman"/>
          <w:sz w:val="18"/>
          <w:szCs w:val="18"/>
          <w:color w:val="auto"/>
        </w:rPr>
        <w:t>increased 15% to 2,456,989 (HY 2025: 2,136,610).</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Cartrack subscriber additions </w:t>
      </w:r>
      <w:r>
        <w:rPr>
          <w:rFonts w:ascii="Times New Roman" w:cs="Times New Roman" w:eastAsia="Times New Roman" w:hAnsi="Times New Roman"/>
          <w:sz w:val="18"/>
          <w:szCs w:val="18"/>
          <w:color w:val="auto"/>
        </w:rPr>
        <w:t>of 154,753 (HY 2025: 165,078).</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19% to ZAR2,323 million (HY 2025: ZAR1,950 million).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19% to ZAR2,317 million (HY 2025: ZAR1,943 million).</w:t>
      </w:r>
    </w:p>
    <w:p>
      <w:pPr>
        <w:spacing w:after="0" w:line="252"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SaaS annualized recurring revenue (“ARR”) </w:t>
      </w:r>
      <w:r>
        <w:rPr>
          <w:rFonts w:ascii="Times New Roman" w:cs="Times New Roman" w:eastAsia="Times New Roman" w:hAnsi="Times New Roman"/>
          <w:sz w:val="18"/>
          <w:szCs w:val="18"/>
          <w:color w:val="auto"/>
        </w:rPr>
        <w:t>as at August 31, 2025, increased 20% to ZAR4,806 million (August 31,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ZAR3,990 million).</w:t>
      </w:r>
    </w:p>
    <w:p>
      <w:pPr>
        <w:spacing w:after="0" w:line="18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B2B delivery-as-a-service (“DaaS”) revenue </w:t>
      </w:r>
      <w:r>
        <w:rPr>
          <w:rFonts w:ascii="Times New Roman" w:cs="Times New Roman" w:eastAsia="Times New Roman" w:hAnsi="Times New Roman"/>
          <w:sz w:val="18"/>
          <w:szCs w:val="18"/>
          <w:color w:val="auto"/>
        </w:rPr>
        <w:t>increased 29% to ZAR261 million (HY 2025: ZAR202 million).</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Presented in the U.S. Dollar Equivalent</w:t>
      </w:r>
      <w:r>
        <w:rPr>
          <w:rFonts w:ascii="Times New Roman" w:cs="Times New Roman" w:eastAsia="Times New Roman" w:hAnsi="Times New Roman"/>
          <w:sz w:val="29"/>
          <w:szCs w:val="29"/>
          <w:b w:val="1"/>
          <w:bCs w:val="1"/>
          <w:i w:val="1"/>
          <w:iCs w:val="1"/>
          <w:color w:val="auto"/>
          <w:vertAlign w:val="superscript"/>
        </w:rPr>
        <w:t>1</w:t>
      </w:r>
    </w:p>
    <w:p>
      <w:pPr>
        <w:spacing w:after="0" w:line="13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20% to USD132 million.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20% to USD131 million.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SaaS ARR </w:t>
      </w:r>
      <w:r>
        <w:rPr>
          <w:rFonts w:ascii="Times New Roman" w:cs="Times New Roman" w:eastAsia="Times New Roman" w:hAnsi="Times New Roman"/>
          <w:sz w:val="18"/>
          <w:szCs w:val="18"/>
          <w:color w:val="auto"/>
        </w:rPr>
        <w:t>increased 21% to USD272 million.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DaaS </w:t>
      </w:r>
      <w:r>
        <w:rPr>
          <w:rFonts w:ascii="Times New Roman" w:cs="Times New Roman" w:eastAsia="Times New Roman" w:hAnsi="Times New Roman"/>
          <w:sz w:val="18"/>
          <w:szCs w:val="18"/>
          <w:color w:val="auto"/>
        </w:rPr>
        <w:t>revenue increased 30% to USD15 million.</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PROFITABILITY</w:t>
      </w:r>
    </w:p>
    <w:p>
      <w:pPr>
        <w:spacing w:after="0" w:line="225" w:lineRule="exact"/>
        <w:rPr>
          <w:sz w:val="20"/>
          <w:szCs w:val="20"/>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operating profit </w:t>
      </w:r>
      <w:r>
        <w:rPr>
          <w:rFonts w:ascii="Times New Roman" w:cs="Times New Roman" w:eastAsia="Times New Roman" w:hAnsi="Times New Roman"/>
          <w:sz w:val="18"/>
          <w:szCs w:val="18"/>
          <w:color w:val="auto"/>
        </w:rPr>
        <w:t>increased 18% to ZAR708 million (HY 2025: ZAR602 million).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w:t>
      </w:r>
      <w:r>
        <w:rPr>
          <w:rFonts w:ascii="Times New Roman" w:cs="Times New Roman" w:eastAsia="Times New Roman" w:hAnsi="Times New Roman"/>
          <w:sz w:val="18"/>
          <w:szCs w:val="18"/>
          <w:color w:val="auto"/>
        </w:rPr>
        <w:t>increased 18% to ZAR686 million (HY 2025: ZAR580 million).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margin </w:t>
      </w:r>
      <w:r>
        <w:rPr>
          <w:rFonts w:ascii="Times New Roman" w:cs="Times New Roman" w:eastAsia="Times New Roman" w:hAnsi="Times New Roman"/>
          <w:sz w:val="18"/>
          <w:szCs w:val="18"/>
          <w:color w:val="auto"/>
        </w:rPr>
        <w:t>was 29% (HY 2025: 29%).</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adjusted earnings per share </w:t>
      </w:r>
      <w:r>
        <w:rPr>
          <w:rFonts w:ascii="Times New Roman" w:cs="Times New Roman" w:eastAsia="Times New Roman" w:hAnsi="Times New Roman"/>
          <w:sz w:val="18"/>
          <w:szCs w:val="18"/>
          <w:color w:val="auto"/>
        </w:rPr>
        <w:t>increased 16% to ZAR16.83 (HY 2025: ZAR14.52).</w:t>
      </w:r>
    </w:p>
    <w:p>
      <w:pPr>
        <w:spacing w:after="0" w:line="227" w:lineRule="exact"/>
        <w:rPr>
          <w:rFonts w:ascii="Times New Roman" w:cs="Times New Roman" w:eastAsia="Times New Roman" w:hAnsi="Times New Roman"/>
          <w:sz w:val="18"/>
          <w:szCs w:val="18"/>
          <w:color w:val="auto"/>
        </w:rPr>
      </w:pPr>
    </w:p>
    <w:p>
      <w:pPr>
        <w:ind w:left="340" w:hanging="324"/>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For convenience purposes only, amounts in South African rand as of August 31, 2025 have been translated to U.S. dollars using an exchange rate of ZAR 17.6519 to U.S.$1.00 (August 31, 2024: ZAR 17.7910), as set forth in the H.10 statistical release of the Board of Governors of the Federal Reserve System. These translations should not be considered representations that any such amounts have been, could have been or could be converted at that or any other exchange rate.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Half-Year 2026 Financial Overview</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w w:val="99"/>
              </w:rPr>
              <w:t>Supplemental Financial Information and Business Metrics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 August 31,</w:t>
            </w: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Karooooo Logistics</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Karooooo Consolidated</w:t>
            </w:r>
          </w:p>
        </w:tc>
        <w:tc>
          <w:tcPr>
            <w:tcW w:w="0" w:type="dxa"/>
            <w:vAlign w:val="bottom"/>
          </w:tcPr>
          <w:p>
            <w:pPr>
              <w:spacing w:after="0"/>
              <w:rPr>
                <w:sz w:val="1"/>
                <w:szCs w:val="1"/>
                <w:color w:val="auto"/>
              </w:rPr>
            </w:pPr>
          </w:p>
        </w:tc>
      </w:tr>
      <w:tr>
        <w:trPr>
          <w:trHeight w:val="194"/>
        </w:trPr>
        <w:tc>
          <w:tcPr>
            <w:tcW w:w="1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Figures in Rand</w:t>
            </w: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3"/>
              </w:rPr>
              <w:t>Y-o-Y</w:t>
            </w:r>
          </w:p>
        </w:tc>
        <w:tc>
          <w:tcPr>
            <w:tcW w:w="3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3"/>
              </w:rPr>
              <w:t>Y-o-Y</w:t>
            </w:r>
          </w:p>
        </w:tc>
        <w:tc>
          <w:tcPr>
            <w:tcW w:w="3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2,317,193</w:t>
            </w:r>
          </w:p>
        </w:tc>
        <w:tc>
          <w:tcPr>
            <w:tcW w:w="2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3"/>
              </w:rPr>
              <w:t>6,150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2,323,343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1,949,753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1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9"/>
                <w:szCs w:val="29"/>
                <w:color w:val="auto"/>
                <w:vertAlign w:val="superscript"/>
              </w:rPr>
              <w:t>1</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43,202</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41,728</w:t>
            </w:r>
          </w:p>
        </w:tc>
        <w:tc>
          <w:tcPr>
            <w:tcW w:w="100" w:type="dxa"/>
            <w:vAlign w:val="bottom"/>
          </w:tcPr>
          <w:p>
            <w:pPr>
              <w:spacing w:after="0"/>
              <w:rPr>
                <w:sz w:val="22"/>
                <w:szCs w:val="22"/>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43,202</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41,728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254,366</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194,966</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254,366</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194,966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2,360,395</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1,986,883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vMerge w:val="continue"/>
            <w:shd w:val="clear" w:color="auto" w:fill="CCEEFF"/>
          </w:tcPr>
          <w:p>
            <w:pPr>
              <w:spacing w:after="0"/>
              <w:rPr>
                <w:sz w:val="21"/>
                <w:szCs w:val="21"/>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260,516</w:t>
            </w: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201,663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vMerge w:val="continue"/>
            <w:shd w:val="clear" w:color="auto" w:fill="CCEEFF"/>
          </w:tcPr>
          <w:p>
            <w:pPr>
              <w:spacing w:after="0"/>
              <w:rPr>
                <w:sz w:val="21"/>
                <w:szCs w:val="21"/>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2,620,911</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2,188,546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9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96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(653,953)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(181,221)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(135,888)</w:t>
            </w:r>
          </w:p>
        </w:tc>
        <w:tc>
          <w:tcPr>
            <w:tcW w:w="32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(835,174)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(662,469)</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1,706,442</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1,460,302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79,295</w:t>
            </w: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65,775</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1,785,737</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1,526,077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Profit/(loss)</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686,339</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580,248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21,476</w:t>
            </w: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21,697</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707,815</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601,945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 Margin</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w:t>
            </w:r>
          </w:p>
        </w:tc>
        <w:tc>
          <w:tcPr>
            <w:tcW w:w="8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non-IFRS measure)</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1,091,813</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905,845</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22,728</w:t>
            </w: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23,395</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1,114,541</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929,240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4"/>
        </w:trPr>
        <w:tc>
          <w:tcPr>
            <w:tcW w:w="1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Margin (a non-IFRS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4120" w:firstLine="8"/>
        <w:spacing w:after="0" w:line="502" w:lineRule="auto"/>
        <w:tabs>
          <w:tab w:leader="none" w:pos="324"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Cartrack remains focused on bundled sales. Total Revenue and Subscription Revenue</w:t>
      </w:r>
    </w:p>
    <w:p>
      <w:pPr>
        <w:spacing w:after="0"/>
        <w:rPr>
          <w:sz w:val="20"/>
          <w:szCs w:val="20"/>
          <w:color w:val="auto"/>
        </w:rPr>
      </w:pPr>
      <w:r>
        <w:rPr>
          <w:rFonts w:ascii="Times New Roman" w:cs="Times New Roman" w:eastAsia="Times New Roman" w:hAnsi="Times New Roman"/>
          <w:sz w:val="18"/>
          <w:szCs w:val="18"/>
          <w:color w:val="auto"/>
        </w:rPr>
        <w:t>Karooooo’s revenue increased 20% to ZAR2,621 million (HY 2025: ZAR2,189 million), and subscription revenue increased 19% to ZAR2,323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 2025: ZAR1,950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total revenue increased 19% to ZAR2,360 million (HY 2025: ZAR1,987 million), driven primarily by its subscription-based business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subscription revenue increased 19% to a record of ZAR2,317 million in HY 2026 (HY 2025: ZAR1,943 million). Subscription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98% of Cartrack’s total revenue. (HY 2025: 98%).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Karooooo Logistics’s revenue increased 29% to ZAR261 million (HY 2025: ZAR202 million).</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160" w:type="dxa"/>
            <w:vAlign w:val="bottom"/>
          </w:tcPr>
          <w:p>
            <w:pPr>
              <w:spacing w:after="0"/>
              <w:rPr>
                <w:sz w:val="16"/>
                <w:szCs w:val="16"/>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50"/>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1,085,623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930,098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1,027,801</w:t>
            </w:r>
          </w:p>
        </w:tc>
        <w:tc>
          <w:tcPr>
            <w:tcW w:w="1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886,019</w:t>
            </w:r>
          </w:p>
        </w:tc>
        <w:tc>
          <w:tcPr>
            <w:tcW w:w="22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44,079</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expenses increased 17% to ZAR1,086 million in HY 2026 (HY 2025: ZAR930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 accounted for ZAR1,028 million (HY 2025: ZAR886 million) in operating expenses including investments in infrastructure and headcount to support territorial expansion and distribution growth. Karooooo Logistics accounted for ZAR58 million (HY 2025: ZAR44 million) of total operating expenses as we continued to invest prudently to scale Karooooo Logistics.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Cartrack’s sales and marketing expenses increased 32% to ZAR390 million in HY 2026 (HY 2025: ZAR296 million). We are optimistic that our strategic investment in customer acquisition, including sales headcount, is already yielding the desired results and positions us well for continued growth. As we begin to realize the benefits of this investment, we continue working to produce further gains in new sales headcount efficiency in the coming periods. Our customer LTV to CAC ratio continues to exceed 9 times and underpins our disciplined approach to growth and customer acquisition.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general and administration expenses increased 12% to ZAR472 million (HY 2025: ZAR423 million), reflecting our ability to prudently manage costs while building infrastructure to support our future growth. We expect to increase these costs gradually on an ongoing basis to support and drive growth.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09"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Cartrack’s R&amp;D operating expenses increased 10% to ZAR117 million (HY 2025: ZAR106 million). We remain committed to investing in product innovation to deliver more value to our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provided for expected credit losses of ZAR49 million (HY 2025: ZAR60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profit increased 18% to ZAR708 million (HY 2025: ZAR602 million) and earnings per share increased 17% to ZAR16.43 (HY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ZAR14.02). After taking into account the costs of the secondary offering, adjusted earnings per share increased 16% to ZAR16.83 (HY 2025: ZAR14.52).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gross profit margin remained strong at 72% (HY 2025: 73%), and Cartrack’s subscription gross profit margin was 73% (HY 2025: 75%).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operating profit increased by 18% to ZAR686 million (HY 2025: ZAR580 million), and Cartrack’s operating profit margin was 29% (HY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gross profit margin was 30% (HY 2025: 33%), as we increased driver training and quality control to support growth. Karooooo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Logistics’s operating profit decreased 1% to ZAR21 million (HY 2025: ZAR22 million), and Karooooo Logistics’s operating profit margin was 8% (HY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11%).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increased 20% to ZAR1,115 million (HY 2025: ZAR929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(a non-IFRS measure) increased 21% to ZAR1,092 million (HY 2025: ZAR906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Adjusted EBITDA (a non-IFRS measure) decreased by 3% to ZAR23 million (HY 2025: ZAR23 million).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below for a reconciliation of Adjusted EBITDA to profit, its most directly comparable IFRS financial measure.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Karooooo remains strongly positioned for growth. We operate in an expanding and largely underpenetrated market, fueled by robust and sustained customer demand. This demand is driven by a heightened focus on digitalization, the need to improve operational efficiency and reduce costs, and increasing attention to safety in physical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Year to date, we have accelerated Cartrack subscription revenue growth by further expanding our distribution footprint in existing markets, driving broader platform adoption, and capitalizing on growing demand for video solutions. We are encouraged by our positive performance year to date as evidenced by Cartrack’s subscription revenue growth of 19% for the first 6 months of the fiscal year and ARR growth of 20% at 31 August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proven and profitable business model, underpinned by a strong balance sheet and healthy cash position, gives us multiple levers for expansion. We believe our continuous investment in AI products, platform and customer experience will generate robust results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confident that our track record of success, specifically our ability to generate healthy cash flows, is sustainable.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June 11, 2025, Karooooo facilitated and launched an SEC-registered underwritten secondary public offering (the “Offering”) pursuant to Karooooo’s registration statement on Form F-3 (File No. 333-280758), as supplemented by a prospectus supplement, dated June 11, 2025, in which Isaias (Zak) Jose Calisto offered and sold 1,500,000 Ordinary Shares at a price to the public of USD50.00 per Ordinary Share for total gross proceeds to Mr.Calisto of approximately USD75,000,000. The Offering closed on June 13, 2025 and was 3.3 times oversubscribed. Mr.Calisto remains the majority shareholder with 58% of the issued shares</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adjustment for the costs of the Offering, our guidance for FY 2026 remains unchanged. With Cartrack’s revenue making up the majority of group revenue, the guidance below relates primarily to Cartrack.</w:t>
      </w:r>
    </w:p>
    <w:p>
      <w:pPr>
        <w:spacing w:after="0" w:line="162"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subscription revenue between ZAR4,700 million and ZAR4,900 million, which implies Cartrack subscription revenue growth between 16% and 21%.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operating profit margin between 26% and 31%.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Karooooo’s adjusted earnings per share (a non-IFRS measure) between ZAR32.50 and ZAR35.50.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Cash Flow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re-invest our earnings for customer acquisition, as of August 31, 2025, our investment in in-vehicle IOT devices increased by ZAR359 million, or 27% to ZAR1,701 million (February 28, 2025: ZAR1,342 million). IOT devices for future use decreased by ZAR42 million, or 10%, to ZAR370 million (February 28, 2025: ZAR412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fixed assets increased by ZAR80 million, or 24%, to ZAR405 million (February 28, 2025: ZAR325 million), driven by motor vehicle additions, in line with expanded operational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and other receivables increased to ZAR646 million (February 28, 2025: ZAR597 million), primarily driven by an acceleration in subscription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 collection days remain well-managed, with collection days at a healthy 31 days (February 28, 2025: 32 days).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reported a net cash and cash equivalents balance of ZAR393 million at August 31, 2025 (February 28, 2025: ZAR838 million). The decrease in the cash balance was primarily attributable to the payment of dividends during August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August 31, 2025, the group had overdraft facilities for growth initiatives and other general corporate purposes of ZAR600 million, equally apportioned between Capitec Bank and Standard Bank. Our liquidity position remains solid, underpinned by disciplined financial management and sustained operational cash generation.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line with the group’s cash management policy, overseen by our capital allocation committee, Karooooo’s excess cash reserves are held in US Dollars.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 non-IFRS measure)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reported a healthy quarterly increase of 22% in cash generated from operations before working capital changes of ZAR591 million (Q2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ZAR490 million), driven by strong subscription revenue growth and operating profit.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generated from operating activities decreased to ZAR267 million (Q2 2025: ZAR394 million).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Free Cash Flow (a non-IFRS measure) for the three months ended August 31, 2025, was ZAR20 million (Q2 2025: ZAR166 million). This movement was mainly driven by an increase in trade and other receivables as a result of increased subscription revenue and investment in in-vehicle IOT devices to support our growth. Adjusted Free Cash Flow (a non-IFRS measure) for the six months ended August 31, 2025, was ZAR358 million. The Adjusted Free Cash Flow (a non-IFRS measure) generated is in line with Karooooo’s disciplined capital allocation strategy and supports the group’s growth objectives.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“Reconciliation of Free Cash Flow (a non-IFRS measure) and Adjusted Free Cash Flow (a non-IFRS measure)” for a reconciliation of free cash flow and adjusted free cash flow to net cash generated from operating activities, their most directly comparable IFRS financial measure.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 and Reserves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Karooooo’s Annual General Meeting (“AGM”) held on July 25, 2025, shareholders approved the repurchase of up to 10% of the Company’s outstanding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2025, Karooooo had 30,893,300 ordinary shares issued and outstanding, and paid-up share capital of USD505,956,659 plus SGD1,000.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ZAR3.6 billion other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acquired by Karooooo.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ZAR27.3 million of capital reserve on the balance sheet relates to the cancellation of Karooooo’s treasury shares and ZAR11.4 million of capital reserve relates to the repurchase and cancellation of 279 ordinary shares of Karooooo Logistics, which represented 6.29% of Karooooo Logistics’s issued ordinary shares as of April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Geographical Overview for Cartrack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15% to 1,850,646 at August 31, 2025 (August 31, 2024: 1,616,071). Q2 2026 subscription revenue growth was 18%.</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encouraged by the strong teams that we are building to accelerate organic growth, broaden our customer base and increase product adoption in the region. We are starting to see an acceleration in subscription revenue growth backed by a strong adoption of Video and Cartrack-Tag by our existing customers and customer expansion. We are committed to building our distribution capabilities to service the demand for our products from both new customers and existing customers. We continue to see a compelling market opportunity in South Africa and are excited about the value we deliver to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the largest and fastest growing enterprise mobility SaaS provider on the African continent.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 and Middle East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21% to 302,892 at August 31, 2025 (August 31, 2024: 251,076). Q2 2026 subscription revenue growth increased to 26% (24% on a constant currency basis, a non-IFRS measure).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second largest contributor to group revenue, Southeast Asia continues to present the most compelling growth opportunity for the group in the medium to long term and is our fastest growing region on a constant currency basis. In September 2024, we started a drive to increase Sales and Marketing in Southeast Asia and we intend to increase our sales headcount by 70% by February 2026 compared to February 2025. Southeast Asia is a vast underpenetrated market for sophisticated fleet management and video-based solutions, and we are well positioned to capitalize on the opportunity.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19% to 215,921 at August 31, 2025 (August 31, 2024: 181,383). Q2 2026 subscription revenue growth accelerated to 27% (21% on a constant currency basis, a non-IFRS measure).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accelerate our organic growth, expand our customer base and drive our distribution capabilities.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partnered with leading OEMs to provide easy access to our platform, seamlessly integrating their connected vehicle data to our platform through application programming interfaces. We expect these partnerships to contribute to our results in the medium to long term. In addition, we are experiencing encouraging demand for our proprietary compliance technology in the region as customers seek to simplify compliance with evolving legislation and enforcement.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Africa (excluding South Africa)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number of subscribers in this region decreased slightly to 87,530 at August 31, 2025 (August 31, 2024: 88,080). Q2 2026 subscription revenue growth was 13% (14% on a constant currency basis, a non-IFRS measure). The decrease in subscribers is primarily as a result of the economic impacts previously caused by political instability in Mozambique.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region remains a positive cash generator and is strategic to Karooooo’s South African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Events subsequent to the Second Quarter of 2026</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2025, the Board approved a resolution for Karooooo Logistics (Pty) Ltd to repurchase its ordinary shares in accordance with the Companies Act of South Africa and to cancel the repurchased shares. As a result, the group’s effective shareholding in Karooooo Logistics (Pty) Ltd is now 81%.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recognizes the importance of investment in achieving growth at scale, and endeavours to avoid swings in dividend profile.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aims to reinvest retained earnings to the extent that it aligns with the group’s required return on incrementally reinvested capital, return on equity, and short- to medium-term growth strategy.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review and amend the dividend policy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Corruption, Bribery and Whistleblowing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 contact email and hotline for whistleblowing and reporters are assured of confidentiality.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management will host a Zoom webinar on Wednesday, October 15, 2025 at 08:00 a.m. Eastern Time (02:00 p.m. South African time; 08:00 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Singaporean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analysts and media are invited to join the Zoom webinar at: https://us02web.zoom.us/j/87159858849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Webinar ID: </w:t>
      </w:r>
      <w:r>
        <w:rPr>
          <w:rFonts w:ascii="Times New Roman" w:cs="Times New Roman" w:eastAsia="Times New Roman" w:hAnsi="Times New Roman"/>
          <w:sz w:val="18"/>
          <w:szCs w:val="18"/>
          <w:b w:val="1"/>
          <w:bCs w:val="1"/>
          <w:color w:val="auto"/>
        </w:rPr>
        <w:t>871 5985 8849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IFRS Accounting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 digitally transforms physical operations by simplifying decision making. Through its cloud platform, Karooooo empowers businesses to conquer operations including fleet maintenance, fuel management and asset utilization, workforce management, logistics, safety, compliance, risk and environmental impact. Karooooo’s differentiated insights and analytics simplify day-to-day operations and enable businesses to decrease costs, increase efficiency, improve safety and strengthen workforce and customer satisfaction.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is headquartered in Singapore and services more than 125,000 commercial customers and more than 2,500,000 active subscribers in more than 20 countries.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ectPr>
          <w:pgSz w:w="11900" w:h="16838" w:orient="portrait"/>
          <w:cols w:equalWidth="0" w:num="1">
            <w:col w:w="11240"/>
          </w:cols>
          <w:pgMar w:left="320" w:top="900"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320" w:space="720"/>
            <w:col w:w="820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p>
      <w:pPr>
        <w:spacing w:after="0" w:line="207" w:lineRule="exact"/>
        <w:rPr>
          <w:sz w:val="20"/>
          <w:szCs w:val="20"/>
          <w:color w:val="auto"/>
        </w:rPr>
      </w:pPr>
    </w:p>
    <w:p>
      <w:pPr>
        <w:sectPr>
          <w:pgSz w:w="11900" w:h="16838" w:orient="portrait"/>
          <w:cols w:equalWidth="0" w:num="2">
            <w:col w:w="2320" w:space="720"/>
            <w:col w:w="8200"/>
          </w:cols>
          <w:pgMar w:left="320" w:top="900"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1,343,894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1,106,721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2,620,911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2,188,546</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(431,460)</w:t>
            </w:r>
          </w:p>
        </w:tc>
        <w:tc>
          <w:tcPr>
            <w:tcW w:w="3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(328,053)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(835,174)</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(662,469)</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912,434</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778,668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1,785,737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6,244</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(562,657)</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(480,754)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(1,085,623)</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(930,098)</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(210,280)</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(156,898)</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(390,967)</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(297,146)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(276,946)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(239,418)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(521,859)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(460,912)</w:t>
            </w:r>
          </w:p>
        </w:tc>
        <w:tc>
          <w:tcPr>
            <w:tcW w:w="0" w:type="dxa"/>
            <w:vAlign w:val="bottom"/>
          </w:tcPr>
          <w:p>
            <w:pPr>
              <w:spacing w:after="0"/>
              <w:rPr>
                <w:sz w:val="1"/>
                <w:szCs w:val="1"/>
                <w:color w:val="auto"/>
              </w:rPr>
            </w:pPr>
          </w:p>
        </w:tc>
      </w:tr>
      <w:tr>
        <w:trPr>
          <w:trHeight w:val="216"/>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(60,050)</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(54,109)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(123,830)</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(111,718)</w:t>
            </w: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(15,381)</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(30,329)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(48,967)</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(60,322)</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16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356,021</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302,198</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707,815</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601,945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(12,172)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(15,470)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(12,172)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(15,470)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10,926</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21,355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24,921</w:t>
            </w: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(17,245)</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(32,411)</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(17,460)</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6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337,530</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288,610</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684,587</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593,936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w:t>
            </w:r>
          </w:p>
        </w:tc>
        <w:tc>
          <w:tcPr>
            <w:tcW w:w="16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(88,961)</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(72,844)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(167,144)</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(152,887)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3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248,569</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215,766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517,443</w:t>
            </w:r>
          </w:p>
        </w:tc>
        <w:tc>
          <w:tcPr>
            <w:tcW w:w="3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441,049</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3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243,576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211,543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507,671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433,127</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4,993</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9,772</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7,922</w:t>
            </w:r>
          </w:p>
        </w:tc>
        <w:tc>
          <w:tcPr>
            <w:tcW w:w="0" w:type="dxa"/>
            <w:vAlign w:val="bottom"/>
          </w:tcPr>
          <w:p>
            <w:pPr>
              <w:spacing w:after="0"/>
              <w:rPr>
                <w:sz w:val="1"/>
                <w:szCs w:val="1"/>
                <w:color w:val="auto"/>
              </w:rPr>
            </w:pPr>
          </w:p>
        </w:tc>
      </w:tr>
      <w:tr>
        <w:trPr>
          <w:trHeight w:val="27"/>
        </w:trPr>
        <w:tc>
          <w:tcPr>
            <w:tcW w:w="43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248,569</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215,766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517,443</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441,049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3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7.88</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664"/>
        </w:trPr>
        <w:tc>
          <w:tcPr>
            <w:tcW w:w="4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3900" w:type="dxa"/>
            <w:vAlign w:val="bottom"/>
            <w:gridSpan w:val="2"/>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560" w:type="dxa"/>
            <w:vAlign w:val="bottom"/>
            <w:vMerge w:val="continue"/>
          </w:tcPr>
          <w:p>
            <w:pPr>
              <w:spacing w:after="0"/>
              <w:rPr>
                <w:sz w:val="14"/>
                <w:szCs w:val="14"/>
                <w:color w:val="auto"/>
              </w:rPr>
            </w:pPr>
          </w:p>
        </w:tc>
        <w:tc>
          <w:tcPr>
            <w:tcW w:w="2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Property, plant and equipment</w:t>
            </w:r>
            <w:r>
              <w:rPr>
                <w:rFonts w:ascii="Times New Roman" w:cs="Times New Roman" w:eastAsia="Times New Roman" w:hAnsi="Times New Roman"/>
                <w:sz w:val="29"/>
                <w:szCs w:val="29"/>
                <w:color w:val="auto"/>
                <w:vertAlign w:val="superscript"/>
              </w:rPr>
              <w:t>1</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2,915,371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2,508,215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2,250,984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467,292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494,052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425,142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85,330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76,309</w:t>
            </w:r>
          </w:p>
        </w:tc>
        <w:tc>
          <w:tcPr>
            <w:tcW w:w="0" w:type="dxa"/>
            <w:vAlign w:val="bottom"/>
          </w:tcPr>
          <w:p>
            <w:pPr>
              <w:spacing w:after="0"/>
              <w:rPr>
                <w:sz w:val="1"/>
                <w:szCs w:val="1"/>
                <w:color w:val="auto"/>
              </w:rPr>
            </w:pPr>
          </w:p>
        </w:tc>
      </w:tr>
      <w:tr>
        <w:trPr>
          <w:trHeight w:val="257"/>
        </w:trPr>
        <w:tc>
          <w:tcPr>
            <w:tcW w:w="45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9"/>
                <w:szCs w:val="29"/>
                <w:color w:val="auto"/>
                <w:vertAlign w:val="superscript"/>
              </w:rPr>
              <w:t>2</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177,685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215,737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28,700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28,200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Long-term other receivables and prepayments</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2,428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15,278</w:t>
            </w:r>
          </w:p>
        </w:tc>
        <w:tc>
          <w:tcPr>
            <w:tcW w:w="0" w:type="dxa"/>
            <w:vAlign w:val="bottom"/>
          </w:tcPr>
          <w:p>
            <w:pPr>
              <w:spacing w:after="0"/>
              <w:rPr>
                <w:sz w:val="1"/>
                <w:szCs w:val="1"/>
                <w:color w:val="auto"/>
              </w:rPr>
            </w:pPr>
          </w:p>
        </w:tc>
      </w:tr>
      <w:tr>
        <w:trPr>
          <w:trHeight w:val="24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132,230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103,706</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76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3,809,036</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3,422,355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3,115,356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4,915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646,234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597,461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521,327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48,089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9,454</w:t>
            </w:r>
          </w:p>
        </w:tc>
        <w:tc>
          <w:tcPr>
            <w:tcW w:w="0" w:type="dxa"/>
            <w:vAlign w:val="bottom"/>
          </w:tcPr>
          <w:p>
            <w:pPr>
              <w:spacing w:after="0"/>
              <w:rPr>
                <w:sz w:val="1"/>
                <w:szCs w:val="1"/>
                <w:color w:val="auto"/>
              </w:rPr>
            </w:pPr>
          </w:p>
        </w:tc>
      </w:tr>
      <w:tr>
        <w:trPr>
          <w:trHeight w:val="24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420,819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1,042,882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706,815</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76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1,120,057</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1,656,795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1,241,941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4,929,093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5,079,150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4,357,297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7,142,853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7,142,853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7,142,853</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capital reserve</w:t>
            </w:r>
            <w:r>
              <w:rPr>
                <w:rFonts w:ascii="Times New Roman" w:cs="Times New Roman" w:eastAsia="Times New Roman" w:hAnsi="Times New Roman"/>
                <w:sz w:val="29"/>
                <w:szCs w:val="29"/>
                <w:color w:val="auto"/>
                <w:vertAlign w:val="superscript"/>
              </w:rPr>
              <w:t>3,4</w:t>
            </w:r>
          </w:p>
        </w:tc>
        <w:tc>
          <w:tcPr>
            <w:tcW w:w="41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(3,621,245)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(3,621,245)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(3,621,245)</w:t>
            </w:r>
          </w:p>
        </w:tc>
        <w:tc>
          <w:tcPr>
            <w:tcW w:w="0" w:type="dxa"/>
            <w:vAlign w:val="bottom"/>
          </w:tcPr>
          <w:p>
            <w:pPr>
              <w:spacing w:after="0"/>
              <w:rPr>
                <w:sz w:val="1"/>
                <w:szCs w:val="1"/>
                <w:color w:val="auto"/>
              </w:rPr>
            </w:pPr>
          </w:p>
        </w:tc>
      </w:tr>
      <w:tr>
        <w:trPr>
          <w:trHeight w:val="256"/>
        </w:trPr>
        <w:tc>
          <w:tcPr>
            <w:tcW w:w="45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Common control reserve</w:t>
            </w:r>
            <w:r>
              <w:rPr>
                <w:rFonts w:ascii="Times New Roman" w:cs="Times New Roman" w:eastAsia="Times New Roman" w:hAnsi="Times New Roman"/>
                <w:sz w:val="29"/>
                <w:szCs w:val="29"/>
                <w:color w:val="auto"/>
                <w:vertAlign w:val="superscript"/>
              </w:rPr>
              <w:t>5</w:t>
            </w:r>
          </w:p>
        </w:tc>
        <w:tc>
          <w:tcPr>
            <w:tcW w:w="41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(2,709,236)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reserve</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256,204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277,866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232,853</w:t>
            </w: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1,926,136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2,112,091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1,624,191</w:t>
            </w:r>
          </w:p>
        </w:tc>
        <w:tc>
          <w:tcPr>
            <w:tcW w:w="0" w:type="dxa"/>
            <w:vAlign w:val="bottom"/>
          </w:tcPr>
          <w:p>
            <w:pPr>
              <w:spacing w:after="0"/>
              <w:rPr>
                <w:sz w:val="1"/>
                <w:szCs w:val="1"/>
                <w:color w:val="auto"/>
              </w:rPr>
            </w:pPr>
          </w:p>
        </w:tc>
      </w:tr>
      <w:tr>
        <w:trPr>
          <w:trHeight w:val="203"/>
        </w:trPr>
        <w:tc>
          <w:tcPr>
            <w:tcW w:w="45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276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2,994,826</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3,202,468</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2,669,416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51,997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42,714</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276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3,046,823</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3,245,567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2,712,130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Term loans</w:t>
            </w:r>
            <w:r>
              <w:rPr>
                <w:rFonts w:ascii="Times New Roman" w:cs="Times New Roman" w:eastAsia="Times New Roman" w:hAnsi="Times New Roman"/>
                <w:sz w:val="29"/>
                <w:szCs w:val="29"/>
                <w:color w:val="auto"/>
                <w:vertAlign w:val="superscript"/>
              </w:rPr>
              <w:t>6,7</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47,078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258,894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187,926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138,113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125,356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126,959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123,468</w:t>
            </w: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113,530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68,051</w:t>
            </w:r>
          </w:p>
        </w:tc>
        <w:tc>
          <w:tcPr>
            <w:tcW w:w="0" w:type="dxa"/>
            <w:vAlign w:val="bottom"/>
          </w:tcPr>
          <w:p>
            <w:pPr>
              <w:spacing w:after="0"/>
              <w:rPr>
                <w:sz w:val="1"/>
                <w:szCs w:val="1"/>
                <w:color w:val="auto"/>
              </w:rPr>
            </w:pPr>
          </w:p>
        </w:tc>
      </w:tr>
      <w:tr>
        <w:trPr>
          <w:trHeight w:val="236"/>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76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473,890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2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Term loans</w:t>
            </w:r>
            <w:r>
              <w:rPr>
                <w:rFonts w:ascii="Times New Roman" w:cs="Times New Roman" w:eastAsia="Times New Roman" w:hAnsi="Times New Roman"/>
                <w:sz w:val="29"/>
                <w:szCs w:val="29"/>
                <w:color w:val="auto"/>
                <w:vertAlign w:val="superscript"/>
              </w:rPr>
              <w:t>6,7</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268,526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283,313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31,879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533,703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469,937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498,677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123,398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66,251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371,964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357,780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330,221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28,052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32,491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82,737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95,286</w:t>
            </w: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4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36"/>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76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1,408,380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1,451,841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7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1,882,270</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1,833,583</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1,645,167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41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4,929,093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5,079,150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4,357,297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ind w:left="340" w:hanging="332"/>
        <w:spacing w:after="0"/>
        <w:tabs>
          <w:tab w:leader="none" w:pos="3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property, plant and equipment are: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r>
      <w:tr>
        <w:trPr>
          <w:trHeight w:val="245"/>
        </w:trPr>
        <w:tc>
          <w:tcPr>
            <w:tcW w:w="732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320" w:type="dxa"/>
            <w:vAlign w:val="bottom"/>
            <w:tcBorders>
              <w:bottom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telematics devices – Work in progress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147,084</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152,253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236,429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telematic devices – Uninstalled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222,932</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259,360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124,894</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 devices – Installed</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1,701,262</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1,342,091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1,170,478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South African Central Office Property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439,226</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429,150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315,768</w:t>
            </w: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Fixed Assets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404,867</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325,361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403,415</w:t>
            </w:r>
          </w:p>
        </w:tc>
        <w:tc>
          <w:tcPr>
            <w:tcW w:w="100" w:type="dxa"/>
            <w:vAlign w:val="bottom"/>
            <w:shd w:val="clear" w:color="auto" w:fill="CCEEFF"/>
          </w:tcPr>
          <w:p>
            <w:pPr>
              <w:spacing w:after="0"/>
              <w:rPr>
                <w:sz w:val="19"/>
                <w:szCs w:val="19"/>
                <w:color w:val="auto"/>
              </w:rPr>
            </w:pP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2,915,371</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2,508,215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2,250,984</w:t>
            </w:r>
          </w:p>
        </w:tc>
        <w:tc>
          <w:tcPr>
            <w:tcW w:w="10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Goodwill is net of an impairment charge of ZAR 43.6 million related to the Mozambique operations during Q4 2025.</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173"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capital reserves are ZAR27.3 million relating to the cancellation of Karooooo’s treasury shares and ZAR11.4 million of capital reserve relating to the repurchase and cancellation of Karooooo Logistics’ ordinary shares.</w:t>
      </w:r>
    </w:p>
    <w:p>
      <w:pPr>
        <w:spacing w:after="0" w:line="158" w:lineRule="exact"/>
        <w:rPr>
          <w:rFonts w:ascii="Times New Roman" w:cs="Times New Roman" w:eastAsia="Times New Roman" w:hAnsi="Times New Roman"/>
          <w:sz w:val="18"/>
          <w:szCs w:val="18"/>
          <w:i w:val="1"/>
          <w:iCs w:val="1"/>
          <w:color w:val="auto"/>
        </w:rPr>
      </w:pPr>
    </w:p>
    <w:p>
      <w:pPr>
        <w:jc w:val="both"/>
        <w:ind w:left="340" w:hanging="332"/>
        <w:spacing w:after="0" w:line="261"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179" w:lineRule="exact"/>
        <w:rPr>
          <w:rFonts w:ascii="Times New Roman" w:cs="Times New Roman" w:eastAsia="Times New Roman" w:hAnsi="Times New Roman"/>
          <w:sz w:val="18"/>
          <w:szCs w:val="18"/>
          <w:i w:val="1"/>
          <w:iCs w:val="1"/>
          <w:color w:val="auto"/>
        </w:rPr>
      </w:pPr>
    </w:p>
    <w:p>
      <w:pPr>
        <w:jc w:val="both"/>
        <w:ind w:left="340" w:hanging="332"/>
        <w:spacing w:after="0" w:line="267"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June 2024, The Standard Bank of South Africa Limited extended a loan of ZAR 250 million to Purple Rain Properties No. 444 Proprietary Limited (the owner of the regional South Africa central office under constructions) at the South Africa Prime Interest Rate less 1.5%. The loan will mature on 21 December 2025 and these funds were used to settle an inter-company loan from Cartrack Pty Ltd.</w:t>
      </w:r>
    </w:p>
    <w:p>
      <w:pPr>
        <w:spacing w:after="0" w:line="173" w:lineRule="exact"/>
        <w:rPr>
          <w:sz w:val="20"/>
          <w:szCs w:val="20"/>
          <w:color w:val="auto"/>
        </w:rPr>
      </w:pPr>
    </w:p>
    <w:p>
      <w:pPr>
        <w:jc w:val="both"/>
        <w:ind w:left="340" w:right="20" w:hanging="323"/>
        <w:spacing w:after="0" w:line="267" w:lineRule="auto"/>
        <w:tabs>
          <w:tab w:leader="none" w:pos="320" w:val="left"/>
        </w:tabs>
        <w:rPr>
          <w:sz w:val="20"/>
          <w:szCs w:val="20"/>
          <w:color w:val="auto"/>
        </w:rPr>
      </w:pPr>
      <w:r>
        <w:rPr>
          <w:rFonts w:ascii="Times New Roman" w:cs="Times New Roman" w:eastAsia="Times New Roman" w:hAnsi="Times New Roman"/>
          <w:sz w:val="18"/>
          <w:szCs w:val="18"/>
          <w:i w:val="1"/>
          <w:iCs w:val="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
        <w:t>In September 2024 and June 2025, Cartrack Portugal, S.A., secured loans of EUR2 million and EUR 1 million, respectively, from Banco Comercial Português, S.A. The loans bear an interest rate of 6-month Euribor rate plus 0.75%, with repayments scheduled over a seven-year and five-year period.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generated from operations before working capital changes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591,284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490,432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1,162,961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981,476</w:t>
            </w:r>
          </w:p>
        </w:tc>
        <w:tc>
          <w:tcPr>
            <w:tcW w:w="0" w:type="dxa"/>
            <w:vAlign w:val="bottom"/>
          </w:tcPr>
          <w:p>
            <w:pPr>
              <w:spacing w:after="0"/>
              <w:rPr>
                <w:sz w:val="1"/>
                <w:szCs w:val="1"/>
                <w:color w:val="auto"/>
              </w:rPr>
            </w:pPr>
          </w:p>
        </w:tc>
      </w:tr>
      <w:tr>
        <w:trPr>
          <w:trHeight w:val="277"/>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Changes to working capital</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(163,071)</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44,406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(85,325)</w:t>
            </w:r>
          </w:p>
        </w:tc>
        <w:tc>
          <w:tcPr>
            <w:tcW w:w="3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396,137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generated from operations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428,213</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534,838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1,077,636</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received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10,926</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21,355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24,921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 paid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(17,015)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(33,658)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(17,460)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(155,307)</w:t>
            </w:r>
          </w:p>
        </w:tc>
        <w:tc>
          <w:tcPr>
            <w:tcW w:w="3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(142,591)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(156,557)</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(154,712)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266,817</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394,129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908,776</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utilized by investing activities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(262,347)</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(241,118)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(579,465)</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(520,477)</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utilized by financing activities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(705,619)</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(388,720)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(740,914)</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(426,818)</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movements for the period</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(701,149)</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(235,709)</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(411,603)</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283,067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at the beginning of the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1,102,667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949,558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837,583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436,165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on cash and cash equivalents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(8,751)</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(39,525)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(33,213)</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(44,908)</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at the end of the period</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392,767</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674,324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392,767</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674,324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right="20" w:hanging="332"/>
        <w:spacing w:after="0" w:line="284" w:lineRule="auto"/>
        <w:tabs>
          <w:tab w:leader="none" w:pos="3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February 29, 2024 the group had ZAR486 million in bank fixed deposits with maturity dates exceeding three months (these bank fixed deposits were classified under trade and other receivables as of February 29, 2024 and as cash on and cash equivalents as of May 31, 2024).</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FREE CASH FLOW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ADJUSTED FREE CASH FLOW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598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266,817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394,129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908,776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1,230,362</w:t>
            </w:r>
          </w:p>
        </w:tc>
      </w:tr>
      <w:tr>
        <w:trPr>
          <w:trHeight w:val="277"/>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Less: purchase of property, plant and equipment</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(247,241)</w:t>
            </w:r>
          </w:p>
        </w:tc>
        <w:tc>
          <w:tcPr>
            <w:tcW w:w="3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(228,587)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(551,075)</w:t>
            </w:r>
          </w:p>
        </w:tc>
        <w:tc>
          <w:tcPr>
            <w:tcW w:w="3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(495,858)</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(a non-IFRS measure)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357,701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Fixed deposits with maturity dates exceeding three months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(485,681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Free Cash Flow </w:t>
            </w:r>
            <w:r>
              <w:rPr>
                <w:rFonts w:ascii="Times New Roman" w:cs="Times New Roman" w:eastAsia="Times New Roman" w:hAnsi="Times New Roman"/>
                <w:sz w:val="18"/>
                <w:szCs w:val="18"/>
                <w:color w:val="auto"/>
              </w:rPr>
              <w:t>(a non-IFRS measure)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19,576</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165,542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357,701</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248,823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the quarter ended August 31, 2025, included in the purchase of property, plant and equipment are development cost of ZAR 4 million (August 31, 2024: ZAR 12 million) for the new South African Central Office in Rosebank, Johannesburg.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PROFIT FOR THE PERIOD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248,569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215,766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517,443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441,049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88,961</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72,844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167,144</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152,887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(13,708)</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(21,355)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(24,921)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17,245</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11,826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32,411</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17,460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12,172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15,470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12,172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15,470</w:t>
            </w:r>
          </w:p>
        </w:tc>
        <w:tc>
          <w:tcPr>
            <w:tcW w:w="0" w:type="dxa"/>
            <w:vAlign w:val="bottom"/>
          </w:tcPr>
          <w:p>
            <w:pPr>
              <w:spacing w:after="0"/>
              <w:rPr>
                <w:sz w:val="1"/>
                <w:szCs w:val="1"/>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amortization of intangible</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214,967</w:t>
            </w:r>
          </w:p>
        </w:tc>
        <w:tc>
          <w:tcPr>
            <w:tcW w:w="32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160,305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406,726</w:t>
            </w:r>
          </w:p>
        </w:tc>
        <w:tc>
          <w:tcPr>
            <w:tcW w:w="32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327,295</w:t>
            </w:r>
          </w:p>
        </w:tc>
        <w:tc>
          <w:tcPr>
            <w:tcW w:w="0" w:type="dxa"/>
            <w:vAlign w:val="bottom"/>
          </w:tcPr>
          <w:p>
            <w:pPr>
              <w:spacing w:after="0"/>
              <w:rPr>
                <w:sz w:val="1"/>
                <w:szCs w:val="1"/>
                <w:color w:val="auto"/>
              </w:rPr>
            </w:pPr>
          </w:p>
        </w:tc>
      </w:tr>
      <w:tr>
        <w:trPr>
          <w:trHeight w:val="27"/>
        </w:trPr>
        <w:tc>
          <w:tcPr>
            <w:tcW w:w="5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 non-IFRS measure)</w:t>
            </w: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570,988</w:t>
            </w: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462,503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1,114,541</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929,240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4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(a non-IFRS measure)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55"/>
        </w:trPr>
        <w:tc>
          <w:tcPr>
            <w:tcW w:w="584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EARNING PER SHARE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800" w:type="dxa"/>
            <w:vAlign w:val="bottom"/>
          </w:tcPr>
          <w:p>
            <w:pPr>
              <w:spacing w:after="0"/>
              <w:rPr>
                <w:sz w:val="21"/>
                <w:szCs w:val="21"/>
                <w:color w:val="auto"/>
              </w:rPr>
            </w:pPr>
          </w:p>
        </w:tc>
        <w:tc>
          <w:tcPr>
            <w:tcW w:w="19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Pr>
          <w:p>
            <w:pPr>
              <w:spacing w:after="0"/>
              <w:rPr>
                <w:sz w:val="21"/>
                <w:szCs w:val="21"/>
                <w:color w:val="auto"/>
              </w:rPr>
            </w:pPr>
          </w:p>
        </w:tc>
        <w:tc>
          <w:tcPr>
            <w:tcW w:w="16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r>
      <w:tr>
        <w:trPr>
          <w:trHeight w:val="237"/>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800" w:type="dxa"/>
            <w:vAlign w:val="bottom"/>
          </w:tcPr>
          <w:p>
            <w:pPr>
              <w:spacing w:after="0"/>
              <w:rPr>
                <w:sz w:val="18"/>
                <w:szCs w:val="18"/>
                <w:color w:val="auto"/>
              </w:rPr>
            </w:pPr>
          </w:p>
        </w:tc>
        <w:tc>
          <w:tcPr>
            <w:tcW w:w="27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66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ind w:left="180" w:right="180" w:hanging="161"/>
        <w:spacing w:after="0" w:line="249" w:lineRule="auto"/>
        <w:rPr>
          <w:sz w:val="20"/>
          <w:szCs w:val="20"/>
          <w:color w:val="auto"/>
        </w:rPr>
      </w:pPr>
      <w:r>
        <w:rPr>
          <w:rFonts w:ascii="Times New Roman" w:cs="Times New Roman" w:eastAsia="Times New Roman" w:hAnsi="Times New Roman"/>
          <w:sz w:val="18"/>
          <w:szCs w:val="18"/>
          <w:b w:val="1"/>
          <w:bCs w:val="1"/>
          <w:color w:val="auto"/>
        </w:rPr>
        <w:t>Reconciliation between basic earnings and adjusted earnings (a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Offering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profit attributable to ordinary shareholders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7" w:lineRule="exact"/>
        <w:rPr>
          <w:sz w:val="20"/>
          <w:szCs w:val="20"/>
          <w:color w:val="auto"/>
        </w:rPr>
      </w:pPr>
    </w:p>
    <w:p>
      <w:pPr>
        <w:ind w:left="340" w:hanging="161"/>
        <w:spacing w:after="0" w:line="282" w:lineRule="auto"/>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 which the per share figures have been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basic and diluted earnings per share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243,576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211,543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507,671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433,127</w:t>
            </w:r>
          </w:p>
        </w:tc>
      </w:tr>
      <w:tr>
        <w:trPr>
          <w:trHeight w:val="445"/>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12,172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15,470</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255,748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227,013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519,843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448,597</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48"/>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30,896</w:t>
            </w:r>
          </w:p>
        </w:tc>
      </w:tr>
      <w:tr>
        <w:trPr>
          <w:trHeight w:val="432"/>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57"/>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r>
    </w:tbl>
    <w:p>
      <w:pPr>
        <w:spacing w:after="0" w:line="195" w:lineRule="exact"/>
        <w:rPr>
          <w:sz w:val="20"/>
          <w:szCs w:val="20"/>
          <w:color w:val="auto"/>
        </w:rPr>
      </w:pPr>
    </w:p>
    <w:p>
      <w:pPr>
        <w:sectPr>
          <w:pgSz w:w="11900" w:h="16838" w:orient="portrait"/>
          <w:cols w:equalWidth="0" w:num="2">
            <w:col w:w="5840" w:space="140"/>
            <w:col w:w="5260"/>
          </w:cols>
          <w:pgMar w:left="320" w:top="900" w:right="339" w:bottom="1440" w:gutter="0" w:footer="0" w:header="0"/>
          <w:type w:val="continuous"/>
        </w:sectPr>
      </w:pPr>
    </w:p>
    <w:p>
      <w:pPr>
        <w:ind w:left="340" w:hanging="332"/>
        <w:spacing w:after="0" w:line="284" w:lineRule="auto"/>
        <w:tabs>
          <w:tab w:leader="none" w:pos="34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earnings per share, (a non-IFRS measure) is defined as earnings per share defined by IFRS excluding the impact of specific non-recurring operational expenses as outlined in the reconciliation.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BASIC AND DILUTED EARNINGS PER SHARE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HEADLINE EARNINGS PER SHARE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800" w:type="dxa"/>
            <w:vAlign w:val="bottom"/>
          </w:tcPr>
          <w:p>
            <w:pPr>
              <w:spacing w:after="0"/>
              <w:rPr>
                <w:sz w:val="21"/>
                <w:szCs w:val="21"/>
                <w:color w:val="auto"/>
              </w:rPr>
            </w:pPr>
          </w:p>
        </w:tc>
        <w:tc>
          <w:tcPr>
            <w:tcW w:w="19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Pr>
          <w:p>
            <w:pPr>
              <w:spacing w:after="0"/>
              <w:rPr>
                <w:sz w:val="21"/>
                <w:szCs w:val="21"/>
                <w:color w:val="auto"/>
              </w:rPr>
            </w:pPr>
          </w:p>
        </w:tc>
        <w:tc>
          <w:tcPr>
            <w:tcW w:w="16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r>
      <w:tr>
        <w:trPr>
          <w:trHeight w:val="237"/>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800" w:type="dxa"/>
            <w:vAlign w:val="bottom"/>
          </w:tcPr>
          <w:p>
            <w:pPr>
              <w:spacing w:after="0"/>
              <w:rPr>
                <w:sz w:val="20"/>
                <w:szCs w:val="20"/>
                <w:color w:val="auto"/>
              </w:rPr>
            </w:pPr>
          </w:p>
        </w:tc>
        <w:tc>
          <w:tcPr>
            <w:tcW w:w="27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6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ind w:left="180" w:right="240" w:hanging="161"/>
        <w:spacing w:after="0" w:line="253" w:lineRule="auto"/>
        <w:rPr>
          <w:sz w:val="20"/>
          <w:szCs w:val="20"/>
          <w:color w:val="auto"/>
        </w:rPr>
      </w:pPr>
      <w:r>
        <w:rPr>
          <w:rFonts w:ascii="Times New Roman" w:cs="Times New Roman" w:eastAsia="Times New Roman" w:hAnsi="Times New Roman"/>
          <w:sz w:val="18"/>
          <w:szCs w:val="18"/>
          <w:b w:val="1"/>
          <w:bCs w:val="1"/>
          <w:color w:val="auto"/>
        </w:rPr>
        <w:t>Reconciliation between basic earnings to headline earnings (a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(Gain)/loss on disposal of property, plant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effect on loss/ (gain) on disposal of property, plant and equipment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Headline earnings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1" w:lineRule="exact"/>
        <w:rPr>
          <w:sz w:val="20"/>
          <w:szCs w:val="20"/>
          <w:color w:val="auto"/>
        </w:rPr>
      </w:pPr>
    </w:p>
    <w:p>
      <w:pPr>
        <w:ind w:left="340" w:hanging="161"/>
        <w:spacing w:after="0" w:line="261" w:lineRule="auto"/>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 which the per share figures have been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headline earnings per share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243,576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211,543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507,671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433,127</w:t>
            </w:r>
          </w:p>
        </w:tc>
        <w:tc>
          <w:tcPr>
            <w:tcW w:w="40" w:type="dxa"/>
            <w:vAlign w:val="bottom"/>
          </w:tcPr>
          <w:p>
            <w:pPr>
              <w:spacing w:after="0"/>
              <w:rPr>
                <w:sz w:val="20"/>
                <w:szCs w:val="20"/>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27"/>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(1,512)</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242,926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211,541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506,567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432,800</w:t>
            </w:r>
          </w:p>
        </w:tc>
        <w:tc>
          <w:tcPr>
            <w:tcW w:w="4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3"/>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30,893</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30,896</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14.02</w:t>
            </w:r>
          </w:p>
        </w:tc>
        <w:tc>
          <w:tcPr>
            <w:tcW w:w="40" w:type="dxa"/>
            <w:vAlign w:val="bottom"/>
          </w:tcPr>
          <w:p>
            <w:pPr>
              <w:spacing w:after="0"/>
              <w:rPr>
                <w:sz w:val="20"/>
                <w:szCs w:val="20"/>
                <w:color w:val="auto"/>
              </w:rPr>
            </w:pPr>
          </w:p>
        </w:tc>
      </w:tr>
      <w:tr>
        <w:trPr>
          <w:trHeight w:val="432"/>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w:t>
            </w:r>
          </w:p>
        </w:tc>
        <w:tc>
          <w:tcPr>
            <w:tcW w:w="40" w:type="dxa"/>
            <w:vAlign w:val="bottom"/>
          </w:tcPr>
          <w:p>
            <w:pPr>
              <w:spacing w:after="0"/>
              <w:rPr>
                <w:sz w:val="24"/>
                <w:szCs w:val="24"/>
                <w:color w:val="auto"/>
              </w:rPr>
            </w:pPr>
          </w:p>
        </w:tc>
      </w:tr>
    </w:tbl>
    <w:p>
      <w:pPr>
        <w:spacing w:after="0" w:line="198" w:lineRule="exact"/>
        <w:rPr>
          <w:sz w:val="20"/>
          <w:szCs w:val="20"/>
          <w:color w:val="auto"/>
        </w:rPr>
      </w:pPr>
    </w:p>
    <w:p>
      <w:pPr>
        <w:sectPr>
          <w:pgSz w:w="11900" w:h="16838" w:orient="portrait"/>
          <w:cols w:equalWidth="0" w:num="2">
            <w:col w:w="5760" w:space="220"/>
            <w:col w:w="5260"/>
          </w:cols>
          <w:pgMar w:left="320" w:top="900" w:right="339" w:bottom="1440" w:gutter="0" w:footer="0" w:header="0"/>
          <w:type w:val="continuous"/>
        </w:sect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inclusion of headline earnings per share (“HEPS”), a non-IFRS measure, in this announcement is a requirement of our inward listing on the JSE. Basic and diluted HEPS is calculated using profit attributable to ordinary shareholders which has been determined based on IFRS. Accordingly, this may differ from the headline earnings per share calculation of other companies listed on the JSE as these companies may report their financial results under a different financial reporting framework. Basic or diluted HEPS is calculated using profit attributable to shareholders adjusted for (gain)/loss on disposal of property, plant and equipment divided by the weighted average number of ordinary shares in issue. We have provided a reconciliation between our profit attributable to shareholders used to calculate basic and diluted earnings per share and headline earnings used to calculate the HEPS and have included the weighted average number of shares in issue for the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CONSTANT CURRENCY (A NON-IFRS MEASURE)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and Half Year Ended August 31,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constant currency information has been determined by adjusting the current financial reporting period results to the results reported for the three months and half year ended August 31, 2024, as applicable using the average of the monthly exchange rates applicable to that period. The measurement has been performed for each of the group’s operating currencies.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2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40" w:type="dxa"/>
            <w:vAlign w:val="bottom"/>
            <w:gridSpan w:val="5"/>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on-Quarter</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38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as reported</w:t>
            </w:r>
          </w:p>
        </w:tc>
        <w:tc>
          <w:tcPr>
            <w:tcW w:w="4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1,182,284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985,985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27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1,175,283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985,985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56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August 31,</w:t>
            </w:r>
          </w:p>
        </w:tc>
        <w:tc>
          <w:tcPr>
            <w:tcW w:w="0" w:type="dxa"/>
            <w:vAlign w:val="bottom"/>
          </w:tcPr>
          <w:p>
            <w:pPr>
              <w:spacing w:after="0"/>
              <w:rPr>
                <w:sz w:val="1"/>
                <w:szCs w:val="1"/>
                <w:color w:val="auto"/>
              </w:rPr>
            </w:pPr>
          </w:p>
        </w:tc>
      </w:tr>
      <w:tr>
        <w:trPr>
          <w:trHeight w:val="194"/>
        </w:trPr>
        <w:tc>
          <w:tcPr>
            <w:tcW w:w="4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on-Quarter</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38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as reported</w:t>
            </w:r>
          </w:p>
        </w:tc>
        <w:tc>
          <w:tcPr>
            <w:tcW w:w="4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1,343,894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1,106,721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27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1,336,803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1,106,721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2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56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Six Months Ended August 31,</w:t>
            </w:r>
          </w:p>
        </w:tc>
        <w:tc>
          <w:tcPr>
            <w:tcW w:w="0" w:type="dxa"/>
            <w:vAlign w:val="bottom"/>
          </w:tcPr>
          <w:p>
            <w:pPr>
              <w:spacing w:after="0"/>
              <w:rPr>
                <w:sz w:val="1"/>
                <w:szCs w:val="1"/>
                <w:color w:val="auto"/>
              </w:rPr>
            </w:pPr>
          </w:p>
        </w:tc>
      </w:tr>
      <w:tr>
        <w:trPr>
          <w:trHeight w:val="194"/>
        </w:trPr>
        <w:tc>
          <w:tcPr>
            <w:tcW w:w="4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Year-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on-Year</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38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as reported</w:t>
            </w:r>
          </w:p>
        </w:tc>
        <w:tc>
          <w:tcPr>
            <w:tcW w:w="4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2,323,343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1,949,753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27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2,313,955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1,949,753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56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Six Months Ended August 31,</w:t>
            </w:r>
          </w:p>
        </w:tc>
        <w:tc>
          <w:tcPr>
            <w:tcW w:w="0" w:type="dxa"/>
            <w:vAlign w:val="bottom"/>
          </w:tcPr>
          <w:p>
            <w:pPr>
              <w:spacing w:after="0"/>
              <w:rPr>
                <w:sz w:val="1"/>
                <w:szCs w:val="1"/>
                <w:color w:val="auto"/>
              </w:rPr>
            </w:pPr>
          </w:p>
        </w:tc>
      </w:tr>
      <w:tr>
        <w:trPr>
          <w:trHeight w:val="194"/>
        </w:trPr>
        <w:tc>
          <w:tcPr>
            <w:tcW w:w="4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Year-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on-Year</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38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as reported</w:t>
            </w:r>
          </w:p>
        </w:tc>
        <w:tc>
          <w:tcPr>
            <w:tcW w:w="4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2,620,911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2,188,546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27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2,611,380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2,188,546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6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Earnings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earnings per share, (a non-IFRS measure) is defined as, earnings per share defined by IFRS excluding the impact of non-recurring operational expenses relating to offering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Delivery-as-a-service Revenue (DaaS)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DaaS Revenue (a non-IFRS) measure) is defined as the annualized business to business (B2B) delivery-as-a-service revenue during the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Recurring Revenue (SaaS ARR)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Subscriber per month (ARPU)</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ARPU (a non-IFRS measure) is calculated on a periodic basis by dividing the cumulative subscription revenue for the period by the average of the opening subscriber balance at the beginning of the period and closing subscriber balance at the end of the period and dividing this by the number of months in the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Cartrack Holdings </w:t>
      </w:r>
      <w:r>
        <w:rPr>
          <w:rFonts w:ascii="Times New Roman" w:cs="Times New Roman" w:eastAsia="Times New Roman" w:hAnsi="Times New Roman"/>
          <w:sz w:val="18"/>
          <w:szCs w:val="18"/>
          <w:color w:val="auto"/>
        </w:rPr>
        <w:t>(“Cartrack”)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in accordance with IFRS.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Free Cash Flow (a non-IFRS measure) as net cash generated from operating activities less purchases of property, plant and equipment. Adjusted Free Cash Flow (a non-IFRS measure) further include fixed deposits with maturity dates exceeding three months that were classified as trade and other receivables. In addition to our results determined in accordance with IFRS, we believe Free Cash Flow (a non-IFRS measure) and Adjusted Free Cash Flow (a non-IFRS measure), are useful in evaluating our operating performance. We believe that Free Cash Flow and Adjusted Free Cash Flow are useful indicators of liquidity and the ability of the group to turn revenues into Free Cash Flow,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and Adjusted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of 40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operating margin for a period of 12 months sum to greater than 40.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of 60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adjusted EBITDA margin for the period of 12 months sum to greater than 60.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economics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non-IFRS financial measures that are used as reference of Cartrack’s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Lifetime value (LTV of a Customer) of customer relationships to customer acquisition costs (CAC)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Lifetime value (LTV of a Subscriber), cost of acquiring a subscriber (CAS) and cost of servicing a subscriber (CSS)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the effect of acquisitions and operating decisions on us may differ materially from those made in or suggested by the forward-looking statements contained in this announcement. In addition, even if our results of operations, financial condition and liquidity, the development of the industry in which we operate, the effect of acquisitions and operating decisions on us are consistent with the forward-looking statements contained in this announcement, those results or developments may not be indicative of results or developments in subsequent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cause actual results to vary from projected results include, but are not limited to:</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a pandemic or widespread outbreak of an illness, the Russia-Ukraine conflict, conflict in Middle East, political and economic uncertainty in Mozambique, geopolitical tensions involving China and similar macroeconomic events, including financial distress caused by recent or potential bank failures, global supply chain challenges, foreign currency fluctuations, elevated inflation and interest rates, shifting trade policies and monetary policy changes, upon our and our customers’ and partners’ respective businesses;</w:t>
      </w:r>
    </w:p>
    <w:p>
      <w:pPr>
        <w:spacing w:after="0" w:line="13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component suppliers and vendors;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key personnel or attract, train, and retain other highly qualified personnel;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 in our latest Annual Report on Form 20-F and other reports filed with the U.S. Securities and Exchange Commission.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 or to reflect the occurrence of unanticipated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31" w:lineRule="auto"/>
        <w:rPr>
          <w:sz w:val="20"/>
          <w:szCs w:val="20"/>
          <w:color w:val="auto"/>
        </w:rPr>
      </w:pPr>
      <w:r>
        <w:rPr>
          <w:rFonts w:ascii="Times New Roman" w:cs="Times New Roman" w:eastAsia="Times New Roman" w:hAnsi="Times New Roman"/>
          <w:sz w:val="18"/>
          <w:szCs w:val="18"/>
          <w:color w:val="auto"/>
        </w:rPr>
        <w:t>our business operations. Solely for convenience, trademarks and trade names referred to in this announcement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lvl w:ilvl="1">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2"/>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2025-10-14T15:27:46Z</dcterms:created>
  <dcterms:modified xsi:type="dcterms:W3CDTF">2025-10-14T15:27:46Z</dcterms:modified>
</cp:coreProperties>
</file>