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For the month of October, 2021</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 Anson Road #12-14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Plaza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Singapore 079903</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2720"/>
        <w:spacing w:after="0" w:line="207" w:lineRule="exact"/>
        <w:tabs>
          <w:tab w:leader="none" w:pos="4080" w:val="left"/>
          <w:tab w:leader="none" w:pos="5740" w:val="left"/>
          <w:tab w:leader="none" w:pos="70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100" w:type="dxa"/>
            <w:vAlign w:val="bottom"/>
            <w:tcBorders>
              <w:bottom w:val="single" w:sz="8" w:color="CCEEFF"/>
            </w:tcBorders>
          </w:tcPr>
          <w:p>
            <w:pPr>
              <w:spacing w:after="0"/>
              <w:rPr>
                <w:sz w:val="24"/>
                <w:szCs w:val="24"/>
                <w:color w:val="auto"/>
              </w:rPr>
            </w:pPr>
          </w:p>
        </w:tc>
        <w:tc>
          <w:tcPr>
            <w:tcW w:w="10220" w:type="dxa"/>
            <w:vAlign w:val="bottom"/>
            <w:tcBorders>
              <w:bottom w:val="single" w:sz="8" w:color="auto"/>
            </w:tcBorders>
            <w:gridSpan w:val="2"/>
          </w:tcPr>
          <w:p>
            <w:pPr>
              <w:ind w:left="466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Press release, dated October 14, 2021 - Karooooo Ltd. Announces Second Quarter and Half-Year 2022 Unaudited Financial Results</w:t>
              </w:r>
            </w:hyperlink>
          </w:p>
        </w:tc>
      </w:tr>
      <w:tr>
        <w:trPr>
          <w:trHeight w:val="655"/>
        </w:trPr>
        <w:tc>
          <w:tcPr>
            <w:tcW w:w="9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480" w:type="dxa"/>
            <w:vAlign w:val="bottom"/>
            <w:tcBorders>
              <w:top w:val="single" w:sz="8" w:color="0000EE"/>
              <w:bottom w:val="single" w:sz="8" w:color="auto"/>
            </w:tcBorders>
          </w:tcPr>
          <w:p>
            <w:pPr>
              <w:jc w:val="right"/>
              <w:ind w:right="4750"/>
              <w:spacing w:after="0"/>
              <w:rPr>
                <w:sz w:val="20"/>
                <w:szCs w:val="20"/>
                <w:color w:val="auto"/>
              </w:rPr>
            </w:pPr>
            <w:r>
              <w:rPr>
                <w:rFonts w:ascii="Arial" w:cs="Arial" w:eastAsia="Arial" w:hAnsi="Arial"/>
                <w:sz w:val="18"/>
                <w:szCs w:val="18"/>
                <w:color w:val="auto"/>
              </w:rPr>
              <w:t>2</w:t>
            </w:r>
          </w:p>
        </w:tc>
        <w:tc>
          <w:tcPr>
            <w:tcW w:w="7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154305</wp:posOffset>
            </wp:positionV>
            <wp:extent cx="1131570" cy="625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SINGAPORE (October 14, 2021) </w:t>
      </w:r>
      <w:r>
        <w:rPr>
          <w:rFonts w:ascii="Arial" w:cs="Arial" w:eastAsia="Arial" w:hAnsi="Arial"/>
          <w:sz w:val="18"/>
          <w:szCs w:val="18"/>
          <w:color w:val="auto"/>
        </w:rPr>
        <w:t>- Karooooo Ltd. (“Karooooo”), that owns 100% of Cartrack Holdings (“Cartrack”), today reported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its 2022 financial year (“2022”) and Half-Year (“HY”), ended August 31, 2021.</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delivered consistent growth in the second quarter of 2022. Our growth momentum in the number of subscribers continued, translating into 20% growth in revenue in the second quarter of 2022, compared to the second quarter of our 2021 financial year (“2021”). Despite the ongoing pandemic, the social unrest experienced in South Africa in July 2021 and the currency headwinds, total revenue increased 24% on a constant currency basis (a non-IFRS measure).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efforts and focus are to strategically build the leading mobility SaaS platform that maximizes the value of data. As the world evolves at pace, we believe that connectivity is the future and we now think beyond connected vehicles. We are investing for tomorrow in establishing a leading end-to-end all-inclusive mobility platform.</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there is a significant economic upside to the large data pool that we have built and continue to build. We contextualize billions of data points on a daily basis and contribute significant value to the day-to-day operations of our customers. Further, we believe that there is significant untapped network effect value for other much needed related services given the size of our subscriber base.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Despite the significant strengthening of the South African Rand (ZAR) in the first half of 2022 compared to the first half of 2021, which negatively impacted revenue earned given that we report in ZAR, we are delighted that our growth expectations for 2022 remain unchanged.” </w:t>
      </w:r>
      <w:r>
        <w:rPr>
          <w:rFonts w:ascii="Arial" w:cs="Arial" w:eastAsia="Arial" w:hAnsi="Arial"/>
          <w:sz w:val="18"/>
          <w:szCs w:val="18"/>
          <w:b w:val="1"/>
          <w:bCs w:val="1"/>
          <w:i w:val="1"/>
          <w:iCs w:val="1"/>
          <w:color w:val="auto"/>
        </w:rPr>
        <w:t>Zak Calisto, CEO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Founder.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Karooooo Ltd. Announces Second Quarter and Half-Year 2022 Unaudited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relative to the Second Quarter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SCALE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Karooooo’s strong growth momentum in the number of subscribers continues. Despite the disruption in sales caused by the social unrest experienced in July 2021 in South Africa and the global effects of the pandemic, our business model drove new customer additions, delivering growth in the total number of subscribers.</w:t>
      </w:r>
    </w:p>
    <w:p>
      <w:pPr>
        <w:spacing w:after="0" w:line="18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1,408,609 subscribers in total as of August 31, 2021, up 20% (Q2 2021: 1,175,173)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subscriber additions increased 1% to 42,139 (Q2 2021: 41,626)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20% to ZAR659 million (Q2 2021: ZAR551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24% on a constant currency basis (a non-IFRS measure)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Subscription revenue increased 16% to ZAR628 million (Q2 2021: ZAR542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Subscription revenue increased 21% on a constant currency basis (a non-IFRS measure)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ZAR, Annualized Recurring Revenue (“ARR”), a non-IFRS measure, increased 15% to ZAR2,540 million as at August 2021 (August 2020: ZAR2,213 million).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US Dollars (“USD”), ARR, a non-IFRS measure, increased 34% to USD175.1 million (August 2020: USD130.8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Second Quarter 2022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Revenue and Total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Karooooo achieved revenue growth of 20% in the second quarter of 2022. Subscription revenue growth was driven by Karooooo’s robust business model that delivered 20% growth in the number of subscribers to 1,408,609. The ZAR significantly strengthened against the basket of currencies in which Karooooo operates. On a constant currency basis (a non-IFRS measure) revenue grew 24% and subscription revenue by 21%. The ZAR appreciated by 15% against the USD and on average 14% compared to the rest of the group’s operating currencies.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in total revenue, ZAR9 million relates to revenue earned from Carzuka, a vertical currently in beta phase gaining traction and expected to launch in the fourth quarter of 2022.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Karooooo has high revenue visibility with subscription revenue accounting for 97% of total revenue (excluding revenue earned from Karooooo’s Carzuka platform) in the second quarter of 2022. Subscription revenue increased 16% to ZAR628 million driven by the growth in the number of subscribers. New subscriber additions of 42,139 in the second quarter of 2022 was 1% higher than the 41,626 in the second quarter of 2021. Growth in the second quarter of 2022 was impacted by disruption caused from the social unrest in South Africa, our largest segment, during July 2021, resulting in weaker sales for that month.</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ZAR, subscription ARR, a non-IFRS measure, increased 15% to ZAR2,540 million in August 2021, compared to ZAR2,213 million in August 2020. In USD, subscription ARR, a non-IFRS measure, increased 34% to USD175.1 million in August 2021, compared to USD130.8 million in August 2020. Subscription ARR was driven by the 20% increase in subscribers and influenced by the strengthening ZAR, with the ZAR to USD exchange rate of ZAR14.51 at the end of August 2021 compared to ZAR16.92 at the end of August 2020. Amounts in ZAR have been translated to USD using exchange rates as set forth in the H.10 statistical release of the Board of Governors of the Federal Reserve System on August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planned, operating expenses increased 25% to ZAR253 million compared to the second quarter of 2021 in preparation for future growth, with a significant recruitment drive focused mainly on sales, customer experience and R&amp;D.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S</w:t>
      </w:r>
      <w:r>
        <w:rPr>
          <w:rFonts w:ascii="Arial" w:cs="Arial" w:eastAsia="Arial" w:hAnsi="Arial"/>
          <w:sz w:val="17"/>
          <w:szCs w:val="17"/>
          <w:color w:val="auto"/>
        </w:rPr>
        <w:t>ales and marketing basic salaries and marketing costs are major components of the cost of acquiring new customers and are not expensed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life span of a customer, but rather when incurred. This component of operating expenditure increased 51% in this quarter compared to the second quarter of 2021 and we believe that the continued and strategic investment in this quarter places us well for long term growth and margin expansion as the group continues to enhance its vertically integrated sales and marketing teams and drives customer acquisition.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R&amp;D operating expenditure increased 34% compared to the second quarter of 2021, supporting the continued improvement, enrichment and expansion of our SaaS platform.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General and administration expenditure increased only 11% compared to the second quarter of 2021, primarily as a result of growth.</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Sales and marketing expenses as a percentage of subscription revenue increased to 13.5% compared to 10.4% in the second quarter of 2021.</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R&amp;D expenses as a percentage of subscription revenue increased to 5.8% compared to 5.0% in the second quarter of 2021.</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and administration expenses as a percentage of subscription revenue decreased to 21.0% compared to 22.0% in the second quarter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 and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group delivered operating profit of ZAR178 million for the period (Q2 2021: ZAR185 million), 4% lower than the second quarter of 2021.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acquisitions, resulting in net subscriber additions of 42,139 during the quarter, provide context to the increased investment in sales and marketing expenditure which generally takes approximately 6 months to translate into customer acquisition. While the investment into sales and marketing headcount has materialized in part, management expects to see the benefit thereof, via growth in customer acquisition, by the end of the fourth quarter of 2022. The profit generated was ZAR123 million (Q2 2021: ZAR129 million).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Karooooo’s once-off IPO costs were fully accounted for by the end of the first quarter of 2022, thus reference to Adjusted profit and Adjusted earnings per share, both non-IFRS measures, is not applicable in the second quarter of 2022.</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Earnings per share decreased 7% to ZAR3.85 in the second quarter of 2022 (Q2 2021: ZAR4.12) primarily due to Karooooo’s planned investment for future growth, as evident in the 4% decrease in operating profit. The decrease in earnings per share was further impacted by the increase in Karooooo’s weighted average number of ordinary shares in issue for the second quarter of 2022, at 31.0 million shares (Q2 2021: 20.3 million) as a result of Karooooo’s take-over of Cartrack Holdings and the capital raise when Karooooo listed on the NASDAQ in April 2021.</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2021, Cartrack declared ZAR120 million in dividends to Karooooo and incurred ZAR6 million dividend withholding taxation which negatively impacted earnings per share by ZAR0.19 during the second quarter of 2022. The dividend paid equated to USD8.3 million, using an exchange rate of ZAR13.69. The Group’s Capital Allocation Committee has adopted a cash management policy whereby Karooooo’s excess cash reserves on hand will be held in US Dollars, which will be translated into ZAR for reporting purposes.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Singapore-resident companies are currently under the one-tier corporate tax system (“one-tier system”). Dividends received in respect of Karooooo ordinary shares by either a resident or non-resident of Singapore are not subject to Singapore withholding tax, on the basis that we are a tax resident of Singapore and under the one-tier system. Under the one-tier system, the tax on corporate profits is final and dividends paid by a Singapore resident company are tax exempt in the hands of a shareholder that is a Singapore tax resident.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a non-IFRS measure, increased 3% to ZAR298 million (Q2 2021: ZAR289 million). Adjusted EBITDA margin, a non-IFRS measure, dropped to 45% compared to 52% in the second quarter of 2021, attributable to higher operating expenses as Karooooo invests for the future. Excluding the Carzuka business, the Adjusted EBITDA margin was 47% for the quarter.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Half-Year 2022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relative to the Half-Year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1,408,609 subscribers in total as of August 31, 2021, up 20% (Q2 2021: 1,175,173)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subscriber additions increased 111% to 102,609 (HY 2021: 48,658)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increased 18% to ZAR1,285 million (HY 2021: ZAR1,086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increased 23% on a constant currency basis (a non-IFRS measure)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Subscription revenue increased 16% to ZAR1,234 million (HY 2021: ZAR1,068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Subscription revenue increased 20% on a constant currency basis (a non-IFRS measure)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Half-Year 2022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Revenue and Total Revenue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Karooooo achieved revenue growth of 18% and subscription revenue increased by 16% to ZAR1,234 million in the first half of 2022. Subscription revenue growth was driven by Karooooo’s robust business model that delivered a 20% growth in the number of subscribers to 1,408,609. On a constant currency basis (a non-IFRS measure) revenue grew by 23% and subscription revenue by 20%. The ZAR significantly strengthened against the basket of currencies in which Karooooo operates. The ZAR appreciated by 17% against the USD and on average by 15% compared to the rest of the group’s operating currencies. Karooooo has high revenue visibility with subscription revenue accounting for 97% of total revenue (excluding revenue derived from the beta launch of Carzuka, a network effect of our growing data pool which continues to benefit from our economies of scale). New customer additions contributed to the net increase of 102,609 in subscribers in the first half of 2022, 111% higher than the increase of 48,658 subscribers in the first half year of 2021.</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total revenue, ZAR11 million relates to revenue earned from Carzuka, a vertical currently in beta phase gaining traction and expected to launch in the fourth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planned, operating expenses increased by 31% to ZAR503 million compared to the first half of 2021 in preparation for future growth with a significant recruitment drive focused mainly on sales, customer experience and R&amp;D.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S</w:t>
      </w:r>
      <w:r>
        <w:rPr>
          <w:rFonts w:ascii="Arial" w:cs="Arial" w:eastAsia="Arial" w:hAnsi="Arial"/>
          <w:sz w:val="17"/>
          <w:szCs w:val="17"/>
          <w:color w:val="auto"/>
        </w:rPr>
        <w:t>ales and marketing basic salaries and marketing costs are major components of the cost of acquiring new customers and are not expensed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life span of a customer, but rather expensed when incurred. This component of operating expenditure increased by 60% in this half compared to the first half of 2021. We believe that the continued and strategic investment in the first half of 2022 places us well for long term growth and margin expansion as the group continues to enhance its vertically integrated sales and marketing teams and drives customer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R&amp;D operating expenditure increased by 39% compared to the first half of 2021, supporting the continued enrichment and expansion of our SaaS platform.</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General and administration expenditure increased by 16% compared to the first half of 2021, primarily as a result of growth.</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Sales and marketing expenses as a percentage of subscription revenue increased to 14.1% compared to 10.1% in the first half of 2021.</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R&amp;D expenses as a percentage of subscription revenue increased to 5.6% compared to 4.7% in the first half of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administration expenses as a percentage of subscription revenue remained stable at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 Profit, Adjusted Profit, Earnings per Share and Adjusted Earnings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group delivered operating profit of ZAR346 million for the first half year of 2022 (HY 2021: ZAR368 million), 6% lower than the first half of 2021. The group had net subscriber additions of 102,609 during the first half of 2022, 111% higher than in the first half of 2021, primarily as a result of an increased investment in sales and marketing expenditure which takes approximately 6 months to translate into customer acquisition. While the investment into sales and marketing headcount has materialized in part, management expects to see the benefit thereof, via growth in customer acquisition, by the end of the fourth quarter of 2022.</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Profit for the first half of 2022 decreased 12% to ZAR231 million (HY 2021: ZAR262 million). Excluding the impact of once-off IPO costs expensed in the first quarter of 2022 (ZAR10 million), Adjusted profit, a non-IFRS measure, decreased by 8% to ZAR241 million (HY 2021: ZAR262 million) due to the group’s investment for future growth and the higher effective tax rate of 31% in the first half of 2022 compared to 29% in 2021, primarily attributable to once-off IPO costs that are not tax deductible.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Similarly earnings per share for the first half of 2022 decreased 13% to ZAR7.37 (HY 2021: ZAR8.43). Excluding the impact of once-off IPO costs expensed in the first quarter of 2022 (ZAR10 million), Adjusted earnings per share, a non-IFRS measure, decreased by 8% to ZAR7.74 in the first half of 2022 (HY 2021: ZAR8.43), primarily due to Karooooo’s planned investment for future growth. The decrease in earnings per share and Adjusted earnings per share, a non-IFRS measure, was further impacted by the increase in Karooooo’s weighted average number of ordinary shares in issue for the first half of 2022, at 28.1 million shares (HY 2021: 20.3 million) as a result of Karooooo’s take-over of Cartrack Holdings and the capital raise when Karooooo listed on the NASDAQ in April 2021.</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IPO costs amounted to ZAR85 million of which ZAR36 million has been expensed (ZAR26 million in the fourth quarter of 2021 and ZAR10 million in the first quarter of 2022) and ZAR49 million has been set-off against share capital.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ZAR6 million dividend withholding taxation incurred when Cartrack declared a dividend to Karooooo in June 2021 negatively impacted earnings per share by ZAR0.19 during the first half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a non-IFRS measure, increased 3% to ZAR573 million (HY 2021: ZAR555 million). In line with Karooooo’s investment for the future, the Adjusted EBITDA margin , a non-IFRS measure, dropped to 45% compared to 51% in the first half of 2021, attributable to higher operating expenses. After excluding the Carzuka business, the Adjusted EBITDA margin was 45% for the first half of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Assessment of Subscriber Unit Economics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Subscriber per month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revenue per subscriber per month (“ARPU”) measures the monetization of Karooooo’s SaaS platform and is an indicator of pricing efficiency, competitiveness and market positioning. It is calculated on a quarterly basis by dividing the cumulative subscription revenue for the quarter by the average of the opening subscriber balance at the beginning of the quarter and closing subscriber balance at the end of the quarter and dividing this by three. ARPU is impacted by currency fluctuations.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Cost of Acquiring a Subscriber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Karooooo’s low cost of subscriber acquisition benefits from its vertically integrated business model, which allows it to control service levels, costs, improve efficiencies and be in direct contact with customers instead of relying on third parties.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5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61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w w:val="91"/>
              </w:rPr>
              <w:t>August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16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CCEEFF"/>
            </w:tcBorders>
          </w:tcPr>
          <w:p>
            <w:pPr>
              <w:spacing w:after="0"/>
              <w:rPr>
                <w:sz w:val="20"/>
                <w:szCs w:val="20"/>
                <w:color w:val="auto"/>
              </w:rPr>
            </w:pPr>
          </w:p>
        </w:tc>
      </w:tr>
      <w:tr>
        <w:trPr>
          <w:trHeight w:val="236"/>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Management’s assessment of cost of acquiring a subscriber</w:t>
            </w:r>
          </w:p>
        </w:tc>
        <w:tc>
          <w:tcPr>
            <w:tcW w:w="252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b w:val="1"/>
                <w:bCs w:val="1"/>
                <w:i w:val="1"/>
                <w:iCs w:val="1"/>
                <w:color w:val="auto"/>
              </w:rPr>
              <w:t>ZAR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2,066</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6160" w:type="dxa"/>
            <w:vAlign w:val="bottom"/>
          </w:tcPr>
          <w:p>
            <w:pPr>
              <w:spacing w:after="0" w:line="230" w:lineRule="exact"/>
              <w:rPr>
                <w:sz w:val="20"/>
                <w:szCs w:val="20"/>
                <w:color w:val="auto"/>
              </w:rPr>
            </w:pPr>
            <w:r>
              <w:rPr>
                <w:rFonts w:ascii="Arial" w:cs="Arial" w:eastAsia="Arial" w:hAnsi="Arial"/>
                <w:sz w:val="16"/>
                <w:szCs w:val="16"/>
                <w:color w:val="auto"/>
              </w:rPr>
              <w:t xml:space="preserve">Sales commission and telematics devices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Capitalized)</w:t>
            </w:r>
            <w:r>
              <w:rPr>
                <w:rFonts w:ascii="Arial" w:cs="Arial" w:eastAsia="Arial" w:hAnsi="Arial"/>
                <w:sz w:val="26"/>
                <w:szCs w:val="26"/>
                <w:b w:val="1"/>
                <w:bCs w:val="1"/>
                <w:i w:val="1"/>
                <w:iCs w:val="1"/>
                <w:color w:val="auto"/>
                <w:vertAlign w:val="superscript"/>
              </w:rPr>
              <w:t>1</w:t>
            </w:r>
          </w:p>
        </w:tc>
        <w:tc>
          <w:tcPr>
            <w:tcW w:w="2520" w:type="dxa"/>
            <w:vAlign w:val="bottom"/>
          </w:tcPr>
          <w:p>
            <w:pPr>
              <w:ind w:left="1620"/>
              <w:spacing w:after="0"/>
              <w:rPr>
                <w:sz w:val="20"/>
                <w:szCs w:val="20"/>
                <w:color w:val="auto"/>
              </w:rPr>
            </w:pPr>
            <w:r>
              <w:rPr>
                <w:rFonts w:ascii="Arial" w:cs="Arial" w:eastAsia="Arial" w:hAnsi="Arial"/>
                <w:sz w:val="18"/>
                <w:szCs w:val="18"/>
                <w:i w:val="1"/>
                <w:iCs w:val="1"/>
                <w:color w:val="auto"/>
              </w:rPr>
              <w:t>ZAR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1,341</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r>
      <w:tr>
        <w:trPr>
          <w:trHeight w:val="270"/>
        </w:trPr>
        <w:tc>
          <w:tcPr>
            <w:tcW w:w="61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Sales and marketing operating expenses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Non-capitalized)</w:t>
            </w:r>
            <w:r>
              <w:rPr>
                <w:rFonts w:ascii="Arial" w:cs="Arial" w:eastAsia="Arial" w:hAnsi="Arial"/>
                <w:sz w:val="18"/>
                <w:szCs w:val="18"/>
                <w:color w:val="auto"/>
              </w:rPr>
              <w:t xml:space="preserve"> </w:t>
            </w:r>
            <w:r>
              <w:rPr>
                <w:rFonts w:ascii="Arial" w:cs="Arial" w:eastAsia="Arial" w:hAnsi="Arial"/>
                <w:sz w:val="29"/>
                <w:szCs w:val="29"/>
                <w:b w:val="1"/>
                <w:bCs w:val="1"/>
                <w:i w:val="1"/>
                <w:iCs w:val="1"/>
                <w:color w:val="auto"/>
                <w:vertAlign w:val="superscript"/>
              </w:rPr>
              <w:t>2</w:t>
            </w:r>
          </w:p>
        </w:tc>
        <w:tc>
          <w:tcPr>
            <w:tcW w:w="2520" w:type="dxa"/>
            <w:vAlign w:val="bottom"/>
            <w:shd w:val="clear" w:color="auto" w:fill="CCEEFF"/>
          </w:tcPr>
          <w:p>
            <w:pPr>
              <w:ind w:left="1620"/>
              <w:spacing w:after="0"/>
              <w:rPr>
                <w:sz w:val="20"/>
                <w:szCs w:val="20"/>
                <w:color w:val="auto"/>
              </w:rPr>
            </w:pPr>
            <w:r>
              <w:rPr>
                <w:rFonts w:ascii="Arial" w:cs="Arial" w:eastAsia="Arial" w:hAnsi="Arial"/>
                <w:sz w:val="18"/>
                <w:szCs w:val="18"/>
                <w:i w:val="1"/>
                <w:iCs w:val="1"/>
                <w:color w:val="auto"/>
              </w:rPr>
              <w:t>ZAR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w:t>
            </w:r>
          </w:p>
        </w:tc>
        <w:tc>
          <w:tcPr>
            <w:tcW w:w="3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r>
      <w:tr>
        <w:trPr>
          <w:trHeight w:val="27"/>
        </w:trPr>
        <w:tc>
          <w:tcPr>
            <w:tcW w:w="61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1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Costs capitalized and depreciated through cost of sales over the expected useful life of the subscriber (60 months)</w:t>
      </w:r>
    </w:p>
    <w:p>
      <w:pPr>
        <w:spacing w:after="0" w:line="163" w:lineRule="exact"/>
        <w:rPr>
          <w:rFonts w:ascii="Arial" w:cs="Arial" w:eastAsia="Arial" w:hAnsi="Arial"/>
          <w:sz w:val="30"/>
          <w:szCs w:val="30"/>
          <w:i w:val="1"/>
          <w:iCs w:val="1"/>
          <w:color w:val="auto"/>
          <w:vertAlign w:val="superscript"/>
        </w:rPr>
      </w:pPr>
    </w:p>
    <w:p>
      <w:pPr>
        <w:ind w:left="340" w:hanging="332"/>
        <w:spacing w:after="0" w:line="186" w:lineRule="auto"/>
        <w:tabs>
          <w:tab w:leader="none" w:pos="340" w:val="left"/>
        </w:tabs>
        <w:numPr>
          <w:ilvl w:val="0"/>
          <w:numId w:val="7"/>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Costs expensed through operating expenses when incurred</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cost of acquiring a subscriber (vehicles or other mobile assets on our platform) includes: the capitalized cost of the telematics equipment used for collecting raw data together with any labor related costs for automotive technicians and the cost of the direct sales commissions which were ZAR1,341 in the second quarter of 2022 (Q2 2021: ZAR1,328); and the non-capitalized marketing costs and sales salaries and associated costs which are expensed in the month incurred which were ZAR725 in the second quarter of 2022 (Q2 2021: ZAR625). Management’s assessment of the cost of acquiring a subscriber for the second quarter of 2022 was ZAR2,066, compared to ZAR1,953 for the second quarter of 2021.</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management’s modelling of unit economics, the full cost incurred in acquiring a subscriber (sales commission, telematics devices and sales and marketing operating expenses) is expensed through profit and loss over the expected useful life of the subscriber.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ZAR100 increase in sales and marketing operating expenses per gross additional subscriber for the second quarter of 2022 (compared to the second quarter of 2021), all of which was expensed upfront when incurred during the quarter in accordance with IFRS accounting standards, is partly attributable to the July 2021 unrest in South Africa.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Subscriber Contract Life Cycle and Life Cycle Contribution per Subscriber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average life cycle of a subscriber is an important indicator of the group’s ability to drive margin expansion. Based upon its latest internal actuarial assessment, the estimated average life of a vehicle on our platform is 60 months. When customers hold their vehicles on Karooooo’s SaaS platform for longer than 60 months, subscription revenue gross profit margins improve further.</w:t>
      </w:r>
    </w:p>
    <w:p>
      <w:pPr>
        <w:spacing w:after="0" w:line="180"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August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Average revenue per subscriber per month (“ARPU”)</w:t>
            </w:r>
            <w:r>
              <w:rPr>
                <w:rFonts w:ascii="Arial" w:cs="Arial" w:eastAsia="Arial" w:hAnsi="Arial"/>
                <w:sz w:val="29"/>
                <w:szCs w:val="29"/>
                <w:i w:val="1"/>
                <w:iCs w:val="1"/>
                <w:color w:val="auto"/>
                <w:vertAlign w:val="superscript"/>
              </w:rPr>
              <w:t>1</w:t>
            </w:r>
          </w:p>
        </w:tc>
        <w:tc>
          <w:tcPr>
            <w:tcW w:w="2900" w:type="dxa"/>
            <w:vAlign w:val="bottom"/>
            <w:shd w:val="clear" w:color="auto" w:fill="CCEEFF"/>
          </w:tcPr>
          <w:p>
            <w:pPr>
              <w:jc w:val="center"/>
              <w:ind w:left="1370"/>
              <w:spacing w:after="0"/>
              <w:rPr>
                <w:sz w:val="20"/>
                <w:szCs w:val="20"/>
                <w:color w:val="auto"/>
              </w:rPr>
            </w:pPr>
            <w:r>
              <w:rPr>
                <w:rFonts w:ascii="Arial" w:cs="Arial" w:eastAsia="Arial" w:hAnsi="Arial"/>
                <w:sz w:val="18"/>
                <w:szCs w:val="18"/>
                <w:i w:val="1"/>
                <w:iCs w:val="1"/>
                <w:color w:val="auto"/>
                <w:w w:val="88"/>
              </w:rPr>
              <w:t>ZAR</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Subscriber contract life cycle</w:t>
            </w:r>
          </w:p>
        </w:tc>
        <w:tc>
          <w:tcPr>
            <w:tcW w:w="2900" w:type="dxa"/>
            <w:vAlign w:val="bottom"/>
          </w:tcPr>
          <w:p>
            <w:pPr>
              <w:jc w:val="center"/>
              <w:ind w:left="1350"/>
              <w:spacing w:after="0"/>
              <w:rPr>
                <w:sz w:val="20"/>
                <w:szCs w:val="20"/>
                <w:color w:val="auto"/>
              </w:rPr>
            </w:pPr>
            <w:r>
              <w:rPr>
                <w:rFonts w:ascii="Arial" w:cs="Arial" w:eastAsia="Arial" w:hAnsi="Arial"/>
                <w:sz w:val="18"/>
                <w:szCs w:val="18"/>
                <w:i w:val="1"/>
                <w:iCs w:val="1"/>
                <w:color w:val="auto"/>
                <w:w w:val="91"/>
              </w:rPr>
              <w:t>Months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Subscription revenue gross profit margin</w:t>
            </w:r>
            <w:r>
              <w:rPr>
                <w:rFonts w:ascii="Arial" w:cs="Arial" w:eastAsia="Arial" w:hAnsi="Arial"/>
                <w:sz w:val="29"/>
                <w:szCs w:val="29"/>
                <w:i w:val="1"/>
                <w:iCs w:val="1"/>
                <w:color w:val="auto"/>
                <w:vertAlign w:val="superscript"/>
              </w:rPr>
              <w:t>2</w:t>
            </w:r>
          </w:p>
        </w:tc>
        <w:tc>
          <w:tcPr>
            <w:tcW w:w="2900" w:type="dxa"/>
            <w:vAlign w:val="bottom"/>
            <w:shd w:val="clear" w:color="auto" w:fill="CCEEFF"/>
          </w:tcPr>
          <w:p>
            <w:pPr>
              <w:jc w:val="center"/>
              <w:ind w:left="1350"/>
              <w:spacing w:after="0"/>
              <w:rPr>
                <w:sz w:val="20"/>
                <w:szCs w:val="20"/>
                <w:color w:val="auto"/>
              </w:rPr>
            </w:pPr>
            <w:r>
              <w:rPr>
                <w:rFonts w:ascii="Arial" w:cs="Arial" w:eastAsia="Arial" w:hAnsi="Arial"/>
                <w:sz w:val="18"/>
                <w:szCs w:val="18"/>
                <w:i w:val="1"/>
                <w:iCs w:val="1"/>
                <w:color w:val="auto"/>
                <w:w w:val="89"/>
              </w:rPr>
              <w:t>Percentage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vMerge w:val="restart"/>
          </w:tcPr>
          <w:p>
            <w:pPr>
              <w:spacing w:after="0" w:line="263" w:lineRule="exact"/>
              <w:rPr>
                <w:sz w:val="20"/>
                <w:szCs w:val="20"/>
                <w:color w:val="auto"/>
              </w:rPr>
            </w:pPr>
            <w:r>
              <w:rPr>
                <w:rFonts w:ascii="Arial" w:cs="Arial" w:eastAsia="Arial" w:hAnsi="Arial"/>
                <w:sz w:val="18"/>
                <w:szCs w:val="18"/>
                <w:b w:val="1"/>
                <w:bCs w:val="1"/>
                <w:color w:val="auto"/>
              </w:rPr>
              <w:t>Life cycle contribution per subscriber</w:t>
            </w:r>
            <w:r>
              <w:rPr>
                <w:rFonts w:ascii="Arial" w:cs="Arial" w:eastAsia="Arial" w:hAnsi="Arial"/>
                <w:sz w:val="29"/>
                <w:szCs w:val="29"/>
                <w:b w:val="1"/>
                <w:bCs w:val="1"/>
                <w:i w:val="1"/>
                <w:iCs w:val="1"/>
                <w:color w:val="auto"/>
                <w:vertAlign w:val="superscript"/>
              </w:rPr>
              <w:t>3</w:t>
            </w:r>
          </w:p>
        </w:tc>
        <w:tc>
          <w:tcPr>
            <w:tcW w:w="2900" w:type="dxa"/>
            <w:vAlign w:val="bottom"/>
            <w:tcBorders>
              <w:top w:val="single" w:sz="8" w:color="CCEEFF"/>
            </w:tcBorders>
            <w:vMerge w:val="restart"/>
          </w:tcPr>
          <w:p>
            <w:pPr>
              <w:jc w:val="center"/>
              <w:ind w:left="1350"/>
              <w:spacing w:after="0"/>
              <w:rPr>
                <w:sz w:val="20"/>
                <w:szCs w:val="20"/>
                <w:color w:val="auto"/>
              </w:rPr>
            </w:pPr>
            <w:r>
              <w:rPr>
                <w:rFonts w:ascii="Arial" w:cs="Arial" w:eastAsia="Arial" w:hAnsi="Arial"/>
                <w:sz w:val="18"/>
                <w:szCs w:val="18"/>
                <w:b w:val="1"/>
                <w:bCs w:val="1"/>
                <w:i w:val="1"/>
                <w:iCs w:val="1"/>
                <w:color w:val="auto"/>
                <w:w w:val="91"/>
              </w:rPr>
              <w:t>ZAR</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vMerge w:val="continue"/>
          </w:tcPr>
          <w:p>
            <w:pPr>
              <w:spacing w:after="0"/>
              <w:rPr>
                <w:sz w:val="21"/>
                <w:szCs w:val="21"/>
                <w:color w:val="auto"/>
              </w:rPr>
            </w:pPr>
          </w:p>
        </w:tc>
        <w:tc>
          <w:tcPr>
            <w:tcW w:w="2900" w:type="dxa"/>
            <w:vAlign w:val="bottom"/>
            <w:vMerge w:val="continue"/>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6,342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6,739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194" w:lineRule="auto"/>
        <w:tabs>
          <w:tab w:leader="none" w:pos="340" w:val="left"/>
        </w:tabs>
        <w:numPr>
          <w:ilvl w:val="0"/>
          <w:numId w:val="8"/>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group’s ARPU was marginally lower than the second quarter of 2021 largely as result of the recent strengthening of the ZAR against our regional operating currencies. The group’s ARPU has been fairly consistent since inception more than 15 years ago.</w:t>
      </w:r>
    </w:p>
    <w:p>
      <w:pPr>
        <w:spacing w:after="0" w:line="87" w:lineRule="exact"/>
        <w:rPr>
          <w:rFonts w:ascii="Arial" w:cs="Arial" w:eastAsia="Arial" w:hAnsi="Arial"/>
          <w:sz w:val="30"/>
          <w:szCs w:val="30"/>
          <w:i w:val="1"/>
          <w:iCs w:val="1"/>
          <w:color w:val="auto"/>
          <w:vertAlign w:val="superscript"/>
        </w:rPr>
      </w:pPr>
    </w:p>
    <w:p>
      <w:pPr>
        <w:ind w:left="340" w:hanging="332"/>
        <w:spacing w:after="0"/>
        <w:tabs>
          <w:tab w:leader="none" w:pos="340" w:val="left"/>
        </w:tabs>
        <w:numPr>
          <w:ilvl w:val="0"/>
          <w:numId w:val="8"/>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Gross profit (excluding Carzuka) as a percentage of subscription revenue.</w:t>
      </w:r>
    </w:p>
    <w:p>
      <w:pPr>
        <w:spacing w:after="0" w:line="201" w:lineRule="exact"/>
        <w:rPr>
          <w:rFonts w:ascii="Arial" w:cs="Arial" w:eastAsia="Arial" w:hAnsi="Arial"/>
          <w:sz w:val="30"/>
          <w:szCs w:val="30"/>
          <w:i w:val="1"/>
          <w:iCs w:val="1"/>
          <w:color w:val="auto"/>
          <w:vertAlign w:val="superscript"/>
        </w:rPr>
      </w:pPr>
    </w:p>
    <w:p>
      <w:pPr>
        <w:ind w:left="340" w:hanging="332"/>
        <w:spacing w:after="0" w:line="194" w:lineRule="auto"/>
        <w:tabs>
          <w:tab w:leader="none" w:pos="340" w:val="left"/>
        </w:tabs>
        <w:numPr>
          <w:ilvl w:val="0"/>
          <w:numId w:val="8"/>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ARPU multiplied by the contract life cycle months, multiplied by the subscription revenue gross margin percentage, which is defined as gross profit divided by subscription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Karooooo has a history of consistent organic growth, scalability, strong earnings and financial discipline. The company has been highly cash generative with most of its revenues recurring in nature and has operated with high operating and Adjusted EBITDA margins.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 a growing and materially underpenetrated global automotive market coupled with a growing vehicle parc and the trend of customers seeking digitalized software solutions to address higher operating costs, unproductive use of resources and inefficient workflows, we believe Karooooo remains well positioned for growth. The group offers a key “must have” service to its customers, driving efficiency through a powerful and differentiated digital platform that is feature-rich and vertically integrated.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Karooooo has multiple levers for expansion and continues to enhance and optimize the Cartrack platform for the evolving future of mobility to drive sustained profitable growth, supported and enhanced by its unleveraged balance sheet and strong cash position.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numerous uncertainties associated with the ongoing impact of COVID-19, it is difficult to provide guidance with certainty. However, Karooooo’s growth expectation ranges for full year 2022 compared to full year 2021 remain unchanged to what was reported previously in the results announcement on July 19, 2021. Management expects the following ranges for full year 2022:</w:t>
      </w:r>
    </w:p>
    <w:p>
      <w:pPr>
        <w:spacing w:after="0" w:line="1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subscribers between 1,500,000 and 1,600,000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Subscription revenue between ZAR2.5 billion and ZAR2.7 billion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margin between 45% and 50% (after excluding the Carzuka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Actual results may differ materially from Karooooo’s Financial Outlook as a result of the pandemic and exchange rate fluctuations, among other factors described under “Forward-Looking Statements”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Liquidity and cash flow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Karooooo has a robust balance sheet with ample capacity to fund organic growth and remains disciplined in its approach to capital allocation and cash management. Notwithstanding the significant and continuing investment in research, operations and distribution Karooooo has remained highly cash generative with a strong cash flow targets for the foreseeable future.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Group’s Capital Allocation Committee has adopted a cash management policy whereby Karooooo’s excess cash reserves on hand will be held in US Dollars, which will be translated into ZAR for reporting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as at August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After the group paid a dividend of ZAR253 million in the third quarter of 2021, it raised gross cash proceeds of</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USD33.8 million (equivalent to ZAR499.9 million) when it listed on the NASDAQ in the first quarter of 2022. After deducting the related corporate reorganization costs, IPO costs and the buy-out of Cartrack minority shareholders, the net proceeds raised from this corporate action in April 2021 equated to ZAR349 million. Karooooo ended the first half of 2022 with ZAR664 million in cash and cash equivalents, significantly higher compared to ZAR233 million at the end of the first half of 2021.</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group has a ZAR925 million bank facility with The Standard Bank of South Africa Limited for growth initiatives or other general corporate purposes.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generated from operating activities decreased 14% to ZAR442 million in the first half of 2022 (HY 2021: ZAR516 million) in line with the group’s continued and strategic investment into customer acquisition and long term growth, which contributed to the 111% increase in net subscriber additions to 102,609 in the first half of 2022 (HY 2021: 48,658).</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Similarly, ahead of its anticipated growth outlook, Karooooo invested ZAR271 million into PPE and infrastructure during the first half of 2022, 19% more than the ZAR228 million invested in the first half of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 generated Free Cash Flow, a non-IFRS measure, of ZAR171 million in the first half of 2022 compared to ZAR288 million in the first half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Capital and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Karooooo has 30,951,106 ordinary shares issued with a paid-up share capital of USD505,956,659 plus SGD1,000.</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ZAR4.0 billion negative capital reserve on the balance sheet relates to the buyout of 95,350,657 Cartrack shares at ZAR42.00 per share from minorities when Cartrack delisted from the JSE. When Karooooo concluded its inward secondary listing on the JSE in April 2021, 99% of all minority shareholders bought out by Karooooo opted to reinvest the proceeds of the sale of their Cartrack shares into Karooooo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Half-Year 2022 Segmental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Africa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successfully navigated the operating environment through the third wave of COVID-19 infections and the social unrest experienced in July 2021. Karooooo leveraged its strong position and well-established national distribution network in South Africa which enabled solid growth in the quarter, contributing to Karooooo’s robust financial performance. Preparing for beyond the pandemic, the company significantly increased its headcount in South Africa by 710 employees over the last four quarters.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Revenue and subscription revenue in South Africa increased by 28% and 24% respectively, compared to the first half of 2021. Subscription revenue earned in South Africa remains the main contributor to the group’s total subscription revenue, accounting for more than 70% thereof in the first half of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At the end of the first half of 2022, South Africa had 1,094,001 subscribers, up 21% compared to the first half of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on our estimates, we are the largest and fastest growing enterprise mobility SaaS provider for commercial fleets in South Africa.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 Middle East and United States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segment is the second largest revenue contributor and we believe presents the greatest opportunity in the medium to long term as markets remain considerably underpenetrated due to fragmented market participants delivering entry-level offerings. During the first half of 2022 Asia experienced increased lock down restrictions with less travel given the new COVID-19 variants prevailing in this market. When these restrictions ease, management expects accelerating growth in the Asia segment. Asia is an attractive market given its size, low penetration, and favorable competitive environment. The highly fragmented market offers a meaningful opportunity for Karooooo to capture market share. Preparing for beyond the pandemic, we increased our headcount by 143 employees in the last four quarters in Southeast Asia.</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number of subscribers in this segment grew by 20% to 131,670 in the first half of 2022. On a constant currency basis (a non-IFRS measure) revenue in this region increased by 12% compared to the first half of 2021, after discounts allowed to loyal customers which remain affected by the pandemic. Revenue growth reported in ZAR decreased by 5% compared to the first half of 2021, negatively impacted by the significantly stronger ZAR.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group’s strategic office in the United States continues to yield many key insights that have positively contributed to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European segment delivered subscription revenue growth of 14% on a constant currency basis (a non-IFRS measure) driven by subscriber growth of 16%. This result was offset by currency headwinds with the ZAR strengthening significantly against the EURO, and revenue earned 1% lower compared to the first half of 2021. Karooooo’s intended expansion strategy in Europe remains encouraging and it now has 118,061 subscribers in Europe. Looking ahead, potential increased economic activity may provide the opportunity to add new enterprise customers in Europe.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Africa (excluding South Africa)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segment remains a positive cash generator and is strategic to Karooooo’s operations in Southern Africa. The number of subscribers increased by 7% to 64,877, however revenue decreased by 6% on a constant currency basis (a non-IFRS measure). The effects of the pandemic in this region lagged that of other regions and deteriorated further during the first half of 2022. The group’s results in Africa continue to be impacted by the discounts allowed to loyal customers who remain severely affected by the pandemic.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Events subsequent to the end of the Second Quarter of 2022</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Karooooo strategically acquired 70.1% of Picup Technologies (Pty) Ltd. (“Picup”) in September 2021. Given that Cartrack’s mobility open eco system platform allows for seamless integration into third party systems, Picup a logistics cloud-based disruptive technology company located in South Africa, has been working with Cartrack to address the challenges of last-mile delivery through an integrated offering. As we think beyond connected vehicles, it is imperative that our cloud platform is a comprehensive mobility solution that addresses the needs of both our existing and future enterprise customers. Picup helps enterprises scale their operations without having to unnecessarily invest in additional assets. Our customers that use the Cartrack Delivery functionality on our platform are now able to have a one stop cloud platform to manage their fleets with the option of using crowd-sourced drivers when faced with unplanned demand.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Karooooo management will host a conference call and audio webcast on Friday, October 15, 2021 at 08:00 a.m. Eastern Time (02:00 p.m. South African time; 08:00 p.m. Singaporean time).</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Webcast: </w:t>
      </w:r>
      <w:r>
        <w:rPr>
          <w:rFonts w:ascii="Arial" w:cs="Arial" w:eastAsia="Arial" w:hAnsi="Arial"/>
          <w:sz w:val="18"/>
          <w:szCs w:val="18"/>
          <w:color w:val="auto"/>
        </w:rPr>
        <w:t>Registration is available at https://edge.media-server.com/mmc/p/4i5vcejb. A live and archived webcast of the conference call will also be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on the Company’s website at www.karooooo.com.</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Conference call: </w:t>
      </w:r>
      <w:r>
        <w:rPr>
          <w:rFonts w:ascii="Arial" w:cs="Arial" w:eastAsia="Arial" w:hAnsi="Arial"/>
          <w:sz w:val="18"/>
          <w:szCs w:val="18"/>
          <w:color w:val="auto"/>
        </w:rPr>
        <w:t>Listeners may access the live conference call by dialing the following numbers and are advised to dial in approximately 10 minutes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start of the 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Toll Free: 1 833 239 5575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+65 678 012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Toll Free: 800 852 8350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 Toll Free: 0800 014 509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Toll Free: 0800 279 8053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Code: 3298232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Accounting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Karooooo</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Karooooo, headquartered in Singapore, is a leading global provider of a mobility SaaS platform that maximizes the value of automotive and workflow data by providing real-time data analytics solutions for smart transportation to over 1.4 million connected vehicles. With more than 76,000 commercial customers using the Cartrack (wholly owned by Karooooo) SaaS platform, it is management’s view that Karooooo is the largest SaaS provider to enterprises in South Africa and it also services thousands of enterprise customers abroad. The Cartrack platform provides customers with differentiated insights and data analytics to optimize their business and workforce, increase efficiency, decrease costs, improve safety, monitor environmental impact, assist with regulatory compliance and manage risk. For more information, visit www.karooooo.com.</w:t>
      </w:r>
    </w:p>
    <w:p>
      <w:pPr>
        <w:sectPr>
          <w:pgSz w:w="11900" w:h="16838" w:orient="portrait"/>
          <w:cols w:equalWidth="0" w:num="1">
            <w:col w:w="11240"/>
          </w:cols>
          <w:pgMar w:left="320" w:top="904" w:right="3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IR@karooooo.com</w:t>
      </w:r>
    </w:p>
    <w:p>
      <w:pPr>
        <w:spacing w:after="0" w:line="200" w:lineRule="exact"/>
        <w:rPr>
          <w:sz w:val="20"/>
          <w:szCs w:val="20"/>
          <w:color w:val="auto"/>
        </w:rPr>
      </w:pPr>
    </w:p>
    <w:p>
      <w:pPr>
        <w:sectPr>
          <w:pgSz w:w="11900" w:h="16838" w:orient="portrait"/>
          <w:cols w:equalWidth="0" w:num="2">
            <w:col w:w="2060" w:space="540"/>
            <w:col w:w="8640"/>
          </w:cols>
          <w:pgMar w:left="320" w:top="904"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media@karooooo.com</w:t>
      </w:r>
    </w:p>
    <w:p>
      <w:pPr>
        <w:spacing w:after="0" w:line="200" w:lineRule="exact"/>
        <w:rPr>
          <w:sz w:val="20"/>
          <w:szCs w:val="20"/>
          <w:color w:val="auto"/>
        </w:rPr>
      </w:pPr>
    </w:p>
    <w:p>
      <w:pPr>
        <w:sectPr>
          <w:pgSz w:w="11900" w:h="16838" w:orient="portrait"/>
          <w:cols w:equalWidth="0" w:num="2">
            <w:col w:w="1880" w:space="720"/>
            <w:col w:w="8640"/>
          </w:cols>
          <w:pgMar w:left="320" w:top="904" w:right="339" w:bottom="1440" w:gutter="0" w:footer="0" w:header="0"/>
          <w:type w:val="continuous"/>
        </w:sect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6"/>
          </w:tcPr>
          <w:p>
            <w:pPr>
              <w:jc w:val="center"/>
              <w:ind w:right="900"/>
              <w:spacing w:after="0"/>
              <w:rPr>
                <w:sz w:val="20"/>
                <w:szCs w:val="20"/>
                <w:color w:val="auto"/>
              </w:rPr>
            </w:pPr>
            <w:r>
              <w:rPr>
                <w:rFonts w:ascii="Arial" w:cs="Arial" w:eastAsia="Arial" w:hAnsi="Arial"/>
                <w:sz w:val="18"/>
                <w:szCs w:val="18"/>
                <w:b w:val="1"/>
                <w:bCs w:val="1"/>
                <w:color w:val="auto"/>
                <w:w w:val="90"/>
              </w:rPr>
              <w:t>Three Months Ended</w:t>
            </w:r>
          </w:p>
        </w:tc>
        <w:tc>
          <w:tcPr>
            <w:tcW w:w="2180" w:type="dxa"/>
            <w:vAlign w:val="bottom"/>
            <w:gridSpan w:val="5"/>
          </w:tcPr>
          <w:p>
            <w:pPr>
              <w:ind w:left="1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b w:val="1"/>
                <w:bCs w:val="1"/>
                <w:color w:val="auto"/>
                <w:w w:val="89"/>
              </w:rPr>
              <w:t>August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w w:val="91"/>
              </w:rPr>
              <w:t>August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6"/>
          </w:tcPr>
          <w:p>
            <w:pPr>
              <w:ind w:left="180"/>
              <w:spacing w:after="0"/>
              <w:rPr>
                <w:sz w:val="20"/>
                <w:szCs w:val="20"/>
                <w:color w:val="auto"/>
              </w:rPr>
            </w:pPr>
            <w:r>
              <w:rPr>
                <w:rFonts w:ascii="Arial" w:cs="Arial" w:eastAsia="Arial" w:hAnsi="Arial"/>
                <w:sz w:val="18"/>
                <w:szCs w:val="18"/>
                <w:b w:val="1"/>
                <w:bCs w:val="1"/>
                <w:color w:val="auto"/>
              </w:rPr>
              <w:t>(ZAR Thousands)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658,768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551,144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1,284,961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1,086,135</w:t>
            </w:r>
          </w:p>
        </w:tc>
        <w:tc>
          <w:tcPr>
            <w:tcW w:w="0" w:type="dxa"/>
            <w:vAlign w:val="bottom"/>
          </w:tcPr>
          <w:p>
            <w:pPr>
              <w:spacing w:after="0"/>
              <w:rPr>
                <w:sz w:val="1"/>
                <w:szCs w:val="1"/>
                <w:color w:val="auto"/>
              </w:rPr>
            </w:pPr>
          </w:p>
        </w:tc>
      </w:tr>
      <w:tr>
        <w:trPr>
          <w:trHeight w:val="237"/>
        </w:trPr>
        <w:tc>
          <w:tcPr>
            <w:tcW w:w="63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(207,044)</w:t>
            </w:r>
          </w:p>
        </w:tc>
        <w:tc>
          <w:tcPr>
            <w:tcW w:w="3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(153,039)</w:t>
            </w:r>
          </w:p>
        </w:tc>
        <w:tc>
          <w:tcPr>
            <w:tcW w:w="3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(389,385)</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(297,846)</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451,724</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398,105</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6"/>
              </w:rPr>
              <w:t>895,576</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340</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1,285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credit losses on financial assets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(21,659)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(48,063)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(38,064)</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(252,875)</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(202,224)</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(502,984)</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(382,986)</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(84,710)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(56,221)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(173,403)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(108,073)</w:t>
            </w:r>
          </w:p>
        </w:tc>
        <w:tc>
          <w:tcPr>
            <w:tcW w:w="0" w:type="dxa"/>
            <w:vAlign w:val="bottom"/>
          </w:tcPr>
          <w:p>
            <w:pPr>
              <w:spacing w:after="0"/>
              <w:rPr>
                <w:sz w:val="1"/>
                <w:szCs w:val="1"/>
                <w:color w:val="auto"/>
              </w:rPr>
            </w:pPr>
          </w:p>
        </w:tc>
      </w:tr>
      <w:tr>
        <w:trPr>
          <w:trHeight w:val="216"/>
        </w:trPr>
        <w:tc>
          <w:tcPr>
            <w:tcW w:w="63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administration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(131,857)</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(118,956)</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(260,532)</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(225,188)</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(36,308)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(27,047)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(69,049)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(49,725)</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177,690</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185,487</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345,814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367,757</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public offering costs (“IPO”)</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(10,288)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1,619</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1,027</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2,331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5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(3,019)</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(1,760)</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(4,910)</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Profit before taxation</w:t>
            </w: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176,290</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184,754</w:t>
            </w: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160"/>
              <w:spacing w:after="0" w:line="203" w:lineRule="exact"/>
              <w:rPr>
                <w:sz w:val="20"/>
                <w:szCs w:val="20"/>
                <w:color w:val="auto"/>
              </w:rPr>
            </w:pPr>
            <w:r>
              <w:rPr>
                <w:rFonts w:ascii="Arial" w:cs="Arial" w:eastAsia="Arial" w:hAnsi="Arial"/>
                <w:sz w:val="18"/>
                <w:szCs w:val="18"/>
                <w:color w:val="auto"/>
                <w:w w:val="86"/>
              </w:rPr>
              <w:t>332,947</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366,890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(53,128)</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(55,629)</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(101,870)</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(104,908)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Profit for the period</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123,162</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129,125</w:t>
            </w:r>
          </w:p>
        </w:tc>
        <w:tc>
          <w:tcPr>
            <w:tcW w:w="3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231,077</w:t>
            </w:r>
          </w:p>
        </w:tc>
        <w:tc>
          <w:tcPr>
            <w:tcW w:w="3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261,982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Profit attributable to:</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 of the parent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119,148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83,736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207,423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171,477</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4,014</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45,389</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23,654</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90,505</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123,162</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129,125</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231,077</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261,982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(ZAR)</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7.37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Adjusted Earnings per share </w:t>
            </w:r>
            <w:r>
              <w:rPr>
                <w:rFonts w:ascii="Arial" w:cs="Arial" w:eastAsia="Arial" w:hAnsi="Arial"/>
                <w:sz w:val="18"/>
                <w:szCs w:val="18"/>
                <w:color w:val="auto"/>
              </w:rPr>
              <w:t>(a non-IFRS measure)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Basic and diluted earnings per share (ZAR) (a non-IFRS measure)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414"/>
        </w:trPr>
        <w:tc>
          <w:tcPr>
            <w:tcW w:w="7680" w:type="dxa"/>
            <w:vAlign w:val="bottom"/>
            <w:gridSpan w:val="5"/>
          </w:tcPr>
          <w:p>
            <w:pPr>
              <w:jc w:val="center"/>
              <w:ind w:left="3490"/>
              <w:spacing w:after="0"/>
              <w:rPr>
                <w:sz w:val="20"/>
                <w:szCs w:val="20"/>
                <w:color w:val="auto"/>
              </w:rPr>
            </w:pPr>
            <w:r>
              <w:rPr>
                <w:rFonts w:ascii="Arial" w:cs="Arial" w:eastAsia="Arial" w:hAnsi="Arial"/>
                <w:sz w:val="18"/>
                <w:szCs w:val="18"/>
                <w:b w:val="1"/>
                <w:bCs w:val="1"/>
                <w:color w:val="auto"/>
                <w:w w:val="99"/>
              </w:rPr>
              <w:t>KAROOOOO LTD.</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60" w:type="dxa"/>
            <w:vAlign w:val="bottom"/>
            <w:gridSpan w:val="8"/>
          </w:tcPr>
          <w:p>
            <w:pPr>
              <w:jc w:val="center"/>
              <w:ind w:left="2090"/>
              <w:spacing w:after="0"/>
              <w:rPr>
                <w:sz w:val="20"/>
                <w:szCs w:val="20"/>
                <w:color w:val="auto"/>
              </w:rPr>
            </w:pPr>
            <w:r>
              <w:rPr>
                <w:rFonts w:ascii="Arial" w:cs="Arial" w:eastAsia="Arial" w:hAnsi="Arial"/>
                <w:sz w:val="18"/>
                <w:szCs w:val="18"/>
                <w:b w:val="1"/>
                <w:bCs w:val="1"/>
                <w:color w:val="auto"/>
              </w:rPr>
              <w:t>RECONCILIATION OF PROFIT TO ADJUSTED PROFIT (A NON-IFRS MEASURE)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gridSpan w:val="2"/>
          </w:tcPr>
          <w:p>
            <w:pPr>
              <w:jc w:val="center"/>
              <w:ind w:left="4850"/>
              <w:spacing w:after="0"/>
              <w:rPr>
                <w:sz w:val="20"/>
                <w:szCs w:val="20"/>
                <w:color w:val="auto"/>
              </w:rPr>
            </w:pPr>
            <w:r>
              <w:rPr>
                <w:rFonts w:ascii="Arial" w:cs="Arial" w:eastAsia="Arial" w:hAnsi="Arial"/>
                <w:sz w:val="18"/>
                <w:szCs w:val="18"/>
                <w:b w:val="1"/>
                <w:bCs w:val="1"/>
                <w:color w:val="auto"/>
              </w:rPr>
              <w:t>(UNAUDITED)</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6"/>
          </w:tcPr>
          <w:p>
            <w:pPr>
              <w:jc w:val="center"/>
              <w:ind w:right="900"/>
              <w:spacing w:after="0"/>
              <w:rPr>
                <w:sz w:val="20"/>
                <w:szCs w:val="20"/>
                <w:color w:val="auto"/>
              </w:rPr>
            </w:pPr>
            <w:r>
              <w:rPr>
                <w:rFonts w:ascii="Arial" w:cs="Arial" w:eastAsia="Arial" w:hAnsi="Arial"/>
                <w:sz w:val="18"/>
                <w:szCs w:val="18"/>
                <w:b w:val="1"/>
                <w:bCs w:val="1"/>
                <w:color w:val="auto"/>
                <w:w w:val="90"/>
              </w:rPr>
              <w:t>Three Months Ended</w:t>
            </w:r>
          </w:p>
        </w:tc>
        <w:tc>
          <w:tcPr>
            <w:tcW w:w="2180" w:type="dxa"/>
            <w:vAlign w:val="bottom"/>
            <w:gridSpan w:val="5"/>
          </w:tcPr>
          <w:p>
            <w:pPr>
              <w:ind w:left="1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b w:val="1"/>
                <w:bCs w:val="1"/>
                <w:color w:val="auto"/>
                <w:w w:val="89"/>
              </w:rPr>
              <w:t>August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w w:val="91"/>
              </w:rPr>
              <w:t>August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6"/>
          </w:tcPr>
          <w:p>
            <w:pPr>
              <w:ind w:left="180"/>
              <w:spacing w:after="0"/>
              <w:rPr>
                <w:sz w:val="20"/>
                <w:szCs w:val="20"/>
                <w:color w:val="auto"/>
              </w:rPr>
            </w:pPr>
            <w:r>
              <w:rPr>
                <w:rFonts w:ascii="Arial" w:cs="Arial" w:eastAsia="Arial" w:hAnsi="Arial"/>
                <w:sz w:val="18"/>
                <w:szCs w:val="18"/>
                <w:b w:val="1"/>
                <w:bCs w:val="1"/>
                <w:color w:val="auto"/>
              </w:rPr>
              <w:t>(ZAR 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123,162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129,125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231,077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261,982</w:t>
            </w:r>
          </w:p>
        </w:tc>
        <w:tc>
          <w:tcPr>
            <w:tcW w:w="0" w:type="dxa"/>
            <w:vAlign w:val="bottom"/>
          </w:tcPr>
          <w:p>
            <w:pPr>
              <w:spacing w:after="0"/>
              <w:rPr>
                <w:sz w:val="1"/>
                <w:szCs w:val="1"/>
                <w:color w:val="auto"/>
              </w:rPr>
            </w:pPr>
          </w:p>
        </w:tc>
      </w:tr>
      <w:tr>
        <w:trPr>
          <w:trHeight w:val="236"/>
        </w:trPr>
        <w:tc>
          <w:tcPr>
            <w:tcW w:w="6300" w:type="dxa"/>
            <w:vAlign w:val="bottom"/>
            <w:gridSpan w:val="2"/>
          </w:tcPr>
          <w:p>
            <w:pPr>
              <w:spacing w:after="0"/>
              <w:rPr>
                <w:sz w:val="20"/>
                <w:szCs w:val="20"/>
                <w:color w:val="auto"/>
              </w:rPr>
            </w:pPr>
            <w:r>
              <w:rPr>
                <w:rFonts w:ascii="Arial" w:cs="Arial" w:eastAsia="Arial" w:hAnsi="Arial"/>
                <w:sz w:val="18"/>
                <w:szCs w:val="18"/>
                <w:color w:val="auto"/>
              </w:rPr>
              <w:t>IPO costs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10,288</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profit </w:t>
            </w:r>
            <w:r>
              <w:rPr>
                <w:rFonts w:ascii="Arial" w:cs="Arial" w:eastAsia="Arial" w:hAnsi="Arial"/>
                <w:sz w:val="18"/>
                <w:szCs w:val="18"/>
                <w:color w:val="auto"/>
              </w:rPr>
              <w:t>(a non-IFRS measure)</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123,162</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129,125</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6"/>
              </w:rPr>
              <w:t>241,365</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tcPr>
          <w:p>
            <w:pPr>
              <w:jc w:val="center"/>
              <w:ind w:left="5190"/>
              <w:spacing w:after="0"/>
              <w:rPr>
                <w:sz w:val="20"/>
                <w:szCs w:val="20"/>
                <w:color w:val="auto"/>
              </w:rPr>
            </w:pPr>
            <w:r>
              <w:rPr>
                <w:rFonts w:ascii="Arial" w:cs="Arial" w:eastAsia="Arial" w:hAnsi="Arial"/>
                <w:sz w:val="18"/>
                <w:szCs w:val="18"/>
                <w:color w:val="auto"/>
                <w:w w:val="89"/>
              </w:rPr>
              <w:t>11</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4"/>
              </w:rPr>
              <w:t>As of</w:t>
            </w:r>
          </w:p>
        </w:tc>
        <w:tc>
          <w:tcPr>
            <w:tcW w:w="1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August 31,</w:t>
            </w:r>
          </w:p>
        </w:tc>
        <w:tc>
          <w:tcPr>
            <w:tcW w:w="1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February 28,</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August 31,</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left="1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1"/>
              </w:rPr>
              <w:t>(ZAR Thousands)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73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129,564</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124,152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Intangible assets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61,947</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59,339</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49,376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1,223,897</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1,137,192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Capitalized commission assets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231,591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201,075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163,633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47,832</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47,046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54,730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Loans to related parties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19,400</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19,400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Long-term prepayment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10,889</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non-current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1,725,120</w:t>
            </w:r>
          </w:p>
        </w:tc>
        <w:tc>
          <w:tcPr>
            <w:tcW w:w="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1,588,204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1,517,259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Inventories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4,039</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 and prepayments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360,729</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324,170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Taxation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6,555</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15,412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5,413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664,176</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104,937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233,077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Other financial asset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882,420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1,035,499</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1,326,939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524,979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2,760,619</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2,915,143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2,042,238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7,142,853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2,739,629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Investment by owner</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30,383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reserve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1,141</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9,705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39,793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Retained income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1,384,794</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815,215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898,430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Capital reserve</w:t>
            </w:r>
            <w:r>
              <w:rPr>
                <w:rFonts w:ascii="Arial" w:cs="Arial" w:eastAsia="Arial" w:hAnsi="Arial"/>
                <w:sz w:val="29"/>
                <w:szCs w:val="29"/>
                <w:color w:val="auto"/>
                <w:vertAlign w:val="superscript"/>
              </w:rPr>
              <w:t>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(3,952,497)</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320" w:type="dxa"/>
            <w:vAlign w:val="bottom"/>
          </w:tcPr>
          <w:p>
            <w:pPr>
              <w:spacing w:after="0" w:line="270" w:lineRule="exact"/>
              <w:rPr>
                <w:sz w:val="20"/>
                <w:szCs w:val="20"/>
                <w:color w:val="auto"/>
              </w:rPr>
            </w:pPr>
            <w:r>
              <w:rPr>
                <w:rFonts w:ascii="Arial" w:cs="Arial" w:eastAsia="Arial" w:hAnsi="Arial"/>
                <w:sz w:val="18"/>
                <w:szCs w:val="18"/>
                <w:color w:val="auto"/>
              </w:rPr>
              <w:t>Common control reserve</w:t>
            </w:r>
            <w:r>
              <w:rPr>
                <w:rFonts w:ascii="Arial" w:cs="Arial" w:eastAsia="Arial" w:hAnsi="Arial"/>
                <w:sz w:val="29"/>
                <w:szCs w:val="29"/>
                <w:color w:val="auto"/>
                <w:vertAlign w:val="superscript"/>
              </w:rPr>
              <w:t>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(2,709,236)</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(2,709,236)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attributable to equity holders of parent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1,867,055</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855,313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968,616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22,464</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427,133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388,848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1,889,519</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1,357,464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Term loans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84,943</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10,468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17,274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77,695</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60,283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revenue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99,408</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85,655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71,917</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53,341</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42,024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non-current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315,387</w:t>
            </w:r>
          </w:p>
        </w:tc>
        <w:tc>
          <w:tcPr>
            <w:tcW w:w="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198,430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196,320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Term loans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2,591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5,462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3 021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286,892</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281,882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222,759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Loans from related parties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5,710</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891,977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36,854</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38,401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42,076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Taxation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31,181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25,615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43,868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1,914</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revenue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190,571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161,110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167,007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Bank overdraft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28,839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555,713</w:t>
            </w:r>
          </w:p>
        </w:tc>
        <w:tc>
          <w:tcPr>
            <w:tcW w:w="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1,434,267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488,454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871,100</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1,632,697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684,774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2,760,619</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2,915,143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2,042,238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71"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The ZAR4.0 billion negative capital reserve on the balance sheet relates to the buyout of 95,350,657 Cartrack shares at ZAR42.00 per share from minorities when Cartrack delisted from the JSE. When Karooooo concluded its inward secondary listing on the JSE in April 2021, 99% of all minority shareholders bought out by Karooooo opted to reinvest the proceeds of the sale of their Cartrack shares into Karooooo</w:t>
      </w:r>
      <w:r>
        <w:rPr>
          <w:rFonts w:ascii="Arial" w:cs="Arial" w:eastAsia="Arial" w:hAnsi="Arial"/>
          <w:sz w:val="17"/>
          <w:szCs w:val="17"/>
          <w:color w:val="auto"/>
        </w:rPr>
        <w:t>.</w:t>
      </w:r>
    </w:p>
    <w:p>
      <w:pPr>
        <w:jc w:val="both"/>
        <w:ind w:left="340" w:hanging="332"/>
        <w:spacing w:after="0" w:line="25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20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2540" w:type="dxa"/>
            <w:vAlign w:val="bottom"/>
            <w:gridSpan w:val="5"/>
          </w:tcPr>
          <w:p>
            <w:pPr>
              <w:ind w:left="5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9"/>
              </w:rPr>
              <w:t>August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1"/>
              </w:rPr>
              <w:t>August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5"/>
          </w:tcPr>
          <w:p>
            <w:pPr>
              <w:ind w:left="180"/>
              <w:spacing w:after="0"/>
              <w:rPr>
                <w:sz w:val="20"/>
                <w:szCs w:val="20"/>
                <w:color w:val="auto"/>
              </w:rPr>
            </w:pPr>
            <w:r>
              <w:rPr>
                <w:rFonts w:ascii="Arial" w:cs="Arial" w:eastAsia="Arial" w:hAnsi="Arial"/>
                <w:sz w:val="18"/>
                <w:szCs w:val="18"/>
                <w:b w:val="1"/>
                <w:bCs w:val="1"/>
                <w:color w:val="auto"/>
              </w:rPr>
              <w:t>(ZAR Thousands)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168,946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295,817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441,972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516,066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flows utilized by investing activities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(163,339)</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(132,520)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(290,369)</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(241,117)</w:t>
            </w:r>
          </w:p>
        </w:tc>
        <w:tc>
          <w:tcPr>
            <w:tcW w:w="0" w:type="dxa"/>
            <w:vAlign w:val="bottom"/>
          </w:tcPr>
          <w:p>
            <w:pPr>
              <w:spacing w:after="0"/>
              <w:rPr>
                <w:sz w:val="1"/>
                <w:szCs w:val="1"/>
                <w:color w:val="auto"/>
              </w:rPr>
            </w:pPr>
          </w:p>
        </w:tc>
      </w:tr>
      <w:tr>
        <w:trPr>
          <w:trHeight w:val="290"/>
        </w:trPr>
        <w:tc>
          <w:tcPr>
            <w:tcW w:w="59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Net cash flows from/(utilized by) financing activities</w:t>
            </w:r>
            <w:r>
              <w:rPr>
                <w:rFonts w:ascii="Arial" w:cs="Arial" w:eastAsia="Arial" w:hAnsi="Arial"/>
                <w:sz w:val="29"/>
                <w:szCs w:val="29"/>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65,926</w:t>
            </w: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(170,104)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423,684</w:t>
            </w:r>
          </w:p>
        </w:tc>
        <w:tc>
          <w:tcPr>
            <w:tcW w:w="3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(189,171)</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cash and cash equivalents movements for the period</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71,553</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(6,807)</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ind w:left="520"/>
              <w:spacing w:after="0" w:line="203" w:lineRule="exact"/>
              <w:rPr>
                <w:sz w:val="20"/>
                <w:szCs w:val="20"/>
                <w:color w:val="auto"/>
              </w:rPr>
            </w:pPr>
            <w:r>
              <w:rPr>
                <w:rFonts w:ascii="Arial" w:cs="Arial" w:eastAsia="Arial" w:hAnsi="Arial"/>
                <w:sz w:val="18"/>
                <w:szCs w:val="18"/>
                <w:color w:val="auto"/>
                <w:w w:val="86"/>
              </w:rPr>
              <w:t>575,287</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85,778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at the beginning of the period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553,584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245,596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76,098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146,591</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Translation differences on cash and cash equivalents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39,059</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(5,712)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12,791</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cash and cash equivalents at the end of the period</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664,176</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233,077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664,176</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233,077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ZAR349 million of net proceeds of the corporate action in April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FREE CASH FLOW (A NON-IFRS MEASURE)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0"/>
        <w:spacing w:after="0" w:line="296" w:lineRule="auto"/>
        <w:rPr>
          <w:sz w:val="20"/>
          <w:szCs w:val="20"/>
          <w:color w:val="auto"/>
        </w:rPr>
      </w:pPr>
      <w:r>
        <w:rPr>
          <w:rFonts w:ascii="Arial" w:cs="Arial" w:eastAsia="Arial" w:hAnsi="Arial"/>
          <w:sz w:val="16"/>
          <w:szCs w:val="16"/>
          <w:color w:val="auto"/>
        </w:rPr>
        <w:t>Net cash generated from operating activities Less: purchase of property, plant and equipment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(a non-IFRS measure)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800" w:type="dxa"/>
            <w:vAlign w:val="bottom"/>
          </w:tcPr>
          <w:p>
            <w:pPr>
              <w:spacing w:after="0"/>
              <w:rPr>
                <w:sz w:val="20"/>
                <w:szCs w:val="20"/>
                <w:color w:val="auto"/>
              </w:rPr>
            </w:pPr>
          </w:p>
        </w:tc>
        <w:tc>
          <w:tcPr>
            <w:tcW w:w="19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9"/>
              </w:rPr>
              <w:t>August 31,</w:t>
            </w:r>
          </w:p>
        </w:tc>
        <w:tc>
          <w:tcPr>
            <w:tcW w:w="780" w:type="dxa"/>
            <w:vAlign w:val="bottom"/>
          </w:tcPr>
          <w:p>
            <w:pPr>
              <w:spacing w:after="0"/>
              <w:rPr>
                <w:sz w:val="20"/>
                <w:szCs w:val="20"/>
                <w:color w:val="auto"/>
              </w:rPr>
            </w:pPr>
          </w:p>
        </w:tc>
        <w:tc>
          <w:tcPr>
            <w:tcW w:w="1660" w:type="dxa"/>
            <w:vAlign w:val="bottom"/>
          </w:tcPr>
          <w:p>
            <w:pPr>
              <w:jc w:val="center"/>
              <w:ind w:right="710"/>
              <w:spacing w:after="0"/>
              <w:rPr>
                <w:sz w:val="20"/>
                <w:szCs w:val="20"/>
                <w:color w:val="auto"/>
              </w:rPr>
            </w:pPr>
            <w:r>
              <w:rPr>
                <w:rFonts w:ascii="Arial" w:cs="Arial" w:eastAsia="Arial" w:hAnsi="Arial"/>
                <w:sz w:val="18"/>
                <w:szCs w:val="18"/>
                <w:b w:val="1"/>
                <w:bCs w:val="1"/>
                <w:color w:val="auto"/>
                <w:w w:val="89"/>
              </w:rPr>
              <w:t>August 31,</w:t>
            </w:r>
          </w:p>
        </w:tc>
      </w:tr>
      <w:tr>
        <w:trPr>
          <w:trHeight w:val="234"/>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7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6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32746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b w:val="1"/>
          <w:bCs w:val="1"/>
          <w:color w:val="auto"/>
        </w:rPr>
        <w:t>(ZAR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17145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40"/>
        <w:spacing w:after="0"/>
        <w:tabs>
          <w:tab w:leader="none" w:pos="1900" w:val="left"/>
          <w:tab w:leader="none" w:pos="3220" w:val="left"/>
          <w:tab w:leader="none" w:pos="4540" w:val="left"/>
        </w:tabs>
        <w:rPr>
          <w:sz w:val="20"/>
          <w:szCs w:val="20"/>
          <w:color w:val="auto"/>
        </w:rPr>
      </w:pPr>
      <w:r>
        <w:rPr>
          <w:rFonts w:ascii="Arial" w:cs="Arial" w:eastAsia="Arial" w:hAnsi="Arial"/>
          <w:sz w:val="18"/>
          <w:szCs w:val="18"/>
          <w:color w:val="auto"/>
        </w:rPr>
        <w:t>168,946</w:t>
      </w:r>
      <w:r>
        <w:rPr>
          <w:sz w:val="20"/>
          <w:szCs w:val="20"/>
          <w:color w:val="auto"/>
        </w:rPr>
        <w:tab/>
      </w:r>
      <w:r>
        <w:rPr>
          <w:rFonts w:ascii="Arial" w:cs="Arial" w:eastAsia="Arial" w:hAnsi="Arial"/>
          <w:sz w:val="18"/>
          <w:szCs w:val="18"/>
          <w:color w:val="auto"/>
        </w:rPr>
        <w:t>295,817</w:t>
      </w:r>
      <w:r>
        <w:rPr>
          <w:sz w:val="20"/>
          <w:szCs w:val="20"/>
          <w:color w:val="auto"/>
        </w:rPr>
        <w:tab/>
      </w:r>
      <w:r>
        <w:rPr>
          <w:rFonts w:ascii="Arial" w:cs="Arial" w:eastAsia="Arial" w:hAnsi="Arial"/>
          <w:sz w:val="18"/>
          <w:szCs w:val="18"/>
          <w:color w:val="auto"/>
        </w:rPr>
        <w:t>441,972</w:t>
      </w:r>
      <w:r>
        <w:rPr>
          <w:sz w:val="20"/>
          <w:szCs w:val="20"/>
          <w:color w:val="auto"/>
        </w:rPr>
        <w:tab/>
      </w:r>
      <w:r>
        <w:rPr>
          <w:rFonts w:ascii="Arial" w:cs="Arial" w:eastAsia="Arial" w:hAnsi="Arial"/>
          <w:sz w:val="16"/>
          <w:szCs w:val="16"/>
          <w:color w:val="auto"/>
        </w:rPr>
        <w:t>516,066</w:t>
      </w:r>
    </w:p>
    <w:p>
      <w:pPr>
        <w:spacing w:after="0" w:line="9" w:lineRule="exact"/>
        <w:rPr>
          <w:sz w:val="20"/>
          <w:szCs w:val="20"/>
          <w:color w:val="auto"/>
        </w:rPr>
      </w:pPr>
    </w:p>
    <w:p>
      <w:pPr>
        <w:ind w:left="480"/>
        <w:spacing w:after="0"/>
        <w:tabs>
          <w:tab w:leader="none" w:pos="1840" w:val="left"/>
          <w:tab w:leader="none" w:pos="3160" w:val="left"/>
          <w:tab w:leader="none" w:pos="4480" w:val="left"/>
        </w:tabs>
        <w:rPr>
          <w:sz w:val="20"/>
          <w:szCs w:val="20"/>
          <w:color w:val="auto"/>
        </w:rPr>
      </w:pPr>
      <w:r>
        <w:rPr>
          <w:rFonts w:ascii="Arial" w:cs="Arial" w:eastAsia="Arial" w:hAnsi="Arial"/>
          <w:sz w:val="18"/>
          <w:szCs w:val="18"/>
          <w:color w:val="auto"/>
        </w:rPr>
        <w:t>(152,364)</w:t>
      </w:r>
      <w:r>
        <w:rPr>
          <w:sz w:val="20"/>
          <w:szCs w:val="20"/>
          <w:color w:val="auto"/>
        </w:rPr>
        <w:tab/>
      </w:r>
      <w:r>
        <w:rPr>
          <w:rFonts w:ascii="Arial" w:cs="Arial" w:eastAsia="Arial" w:hAnsi="Arial"/>
          <w:sz w:val="18"/>
          <w:szCs w:val="18"/>
          <w:color w:val="auto"/>
        </w:rPr>
        <w:t>(129,390)</w:t>
      </w:r>
      <w:r>
        <w:rPr>
          <w:sz w:val="20"/>
          <w:szCs w:val="20"/>
          <w:color w:val="auto"/>
        </w:rPr>
        <w:tab/>
      </w:r>
      <w:r>
        <w:rPr>
          <w:rFonts w:ascii="Arial" w:cs="Arial" w:eastAsia="Arial" w:hAnsi="Arial"/>
          <w:sz w:val="18"/>
          <w:szCs w:val="18"/>
          <w:color w:val="auto"/>
        </w:rPr>
        <w:t>(270,527)</w:t>
      </w:r>
      <w:r>
        <w:rPr>
          <w:sz w:val="20"/>
          <w:szCs w:val="20"/>
          <w:color w:val="auto"/>
        </w:rPr>
        <w:tab/>
      </w:r>
      <w:r>
        <w:rPr>
          <w:rFonts w:ascii="Arial" w:cs="Arial" w:eastAsia="Arial" w:hAnsi="Arial"/>
          <w:sz w:val="16"/>
          <w:szCs w:val="16"/>
          <w:color w:val="auto"/>
        </w:rPr>
        <w:t>(228,382)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14605</wp:posOffset>
            </wp:positionV>
            <wp:extent cx="71323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2" w:lineRule="exact"/>
        <w:rPr>
          <w:sz w:val="20"/>
          <w:szCs w:val="20"/>
          <w:color w:val="auto"/>
        </w:rPr>
      </w:pPr>
    </w:p>
    <w:p>
      <w:pPr>
        <w:ind w:left="640"/>
        <w:spacing w:after="0"/>
        <w:tabs>
          <w:tab w:leader="none" w:pos="1900" w:val="left"/>
          <w:tab w:leader="none" w:pos="3220" w:val="left"/>
          <w:tab w:leader="none" w:pos="4540" w:val="left"/>
        </w:tabs>
        <w:rPr>
          <w:sz w:val="20"/>
          <w:szCs w:val="20"/>
          <w:color w:val="auto"/>
        </w:rPr>
      </w:pPr>
      <w:r>
        <w:rPr>
          <w:rFonts w:ascii="Arial" w:cs="Arial" w:eastAsia="Arial" w:hAnsi="Arial"/>
          <w:sz w:val="18"/>
          <w:szCs w:val="18"/>
          <w:color w:val="auto"/>
        </w:rPr>
        <w:t>16,582</w:t>
      </w:r>
      <w:r>
        <w:rPr>
          <w:sz w:val="20"/>
          <w:szCs w:val="20"/>
          <w:color w:val="auto"/>
        </w:rPr>
        <w:tab/>
      </w:r>
      <w:r>
        <w:rPr>
          <w:rFonts w:ascii="Arial" w:cs="Arial" w:eastAsia="Arial" w:hAnsi="Arial"/>
          <w:sz w:val="18"/>
          <w:szCs w:val="18"/>
          <w:color w:val="auto"/>
        </w:rPr>
        <w:t>166,427</w:t>
      </w:r>
      <w:r>
        <w:rPr>
          <w:sz w:val="20"/>
          <w:szCs w:val="20"/>
          <w:color w:val="auto"/>
        </w:rPr>
        <w:tab/>
      </w:r>
      <w:r>
        <w:rPr>
          <w:rFonts w:ascii="Arial" w:cs="Arial" w:eastAsia="Arial" w:hAnsi="Arial"/>
          <w:sz w:val="18"/>
          <w:szCs w:val="18"/>
          <w:color w:val="auto"/>
        </w:rPr>
        <w:t>171,445</w:t>
      </w:r>
      <w:r>
        <w:rPr>
          <w:sz w:val="20"/>
          <w:szCs w:val="20"/>
          <w:color w:val="auto"/>
        </w:rPr>
        <w:tab/>
      </w:r>
      <w:r>
        <w:rPr>
          <w:rFonts w:ascii="Arial" w:cs="Arial" w:eastAsia="Arial" w:hAnsi="Arial"/>
          <w:sz w:val="16"/>
          <w:szCs w:val="16"/>
          <w:color w:val="auto"/>
        </w:rPr>
        <w:t>287,684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32746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04"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Re-allocation in the statement of cash flows subsequent to cash flow statement disclosed for first quarter of 2022</w:t>
      </w:r>
    </w:p>
    <w:p>
      <w:pPr>
        <w:spacing w:after="0" w:line="22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In the first quarter of 2022, ZAR49 million of IPO costs were pre-paid and thus included in the first quarter 2022 statement of cash flows as an operating activity cash outflow. The pre-payment of these IPO costs is a financing activity, not an operating activity, and has thus been re-allocated in the currently reported statement of cash flows. The table below reconciles the first quarter 2022 statement of cash flows as reported previously to the current reporting:</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utilized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8"/>
          <w:szCs w:val="18"/>
          <w:color w:val="auto"/>
        </w:rPr>
        <w:t>Net cash flows from/(utilized by) financing activities</w:t>
      </w:r>
      <w:r>
        <w:rPr>
          <w:rFonts w:ascii="Arial" w:cs="Arial" w:eastAsia="Arial" w:hAnsi="Arial"/>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Net cash and cash equivalents movements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as at the beginning of the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Translation differences on cash and cash equivalents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Total 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Reported to</w:t>
            </w:r>
          </w:p>
        </w:tc>
      </w:tr>
      <w:tr>
        <w:trPr>
          <w:trHeight w:val="216"/>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account for</w:t>
            </w:r>
          </w:p>
        </w:tc>
      </w:tr>
      <w:tr>
        <w:trPr>
          <w:trHeight w:val="216"/>
        </w:trPr>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Previously</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re-allocation</w:t>
            </w:r>
          </w:p>
        </w:tc>
      </w:tr>
      <w:tr>
        <w:trPr>
          <w:trHeight w:val="241"/>
        </w:trPr>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Reported</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adjustment</w:t>
            </w:r>
          </w:p>
        </w:tc>
      </w:tr>
      <w:tr>
        <w:trPr>
          <w:trHeight w:val="198"/>
        </w:trPr>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Three Months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Three Months</w:t>
            </w:r>
          </w:p>
        </w:tc>
        <w:tc>
          <w:tcPr>
            <w:tcW w:w="60" w:type="dxa"/>
            <w:vAlign w:val="bottom"/>
            <w:gridSpan w:val="2"/>
          </w:tcPr>
          <w:p>
            <w:pPr>
              <w:spacing w:after="0"/>
              <w:rPr>
                <w:sz w:val="17"/>
                <w:szCs w:val="17"/>
                <w:color w:val="auto"/>
              </w:rPr>
            </w:pPr>
          </w:p>
        </w:tc>
      </w:tr>
      <w:tr>
        <w:trPr>
          <w:trHeight w:val="216"/>
        </w:trPr>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May 31,</w:t>
            </w: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Re-allocation</w:t>
            </w: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5"/>
              </w:rPr>
              <w:t>May 31,</w:t>
            </w:r>
          </w:p>
        </w:tc>
      </w:tr>
      <w:tr>
        <w:trPr>
          <w:trHeight w:val="241"/>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adjustment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3"/>
          </w:tcPr>
          <w:p>
            <w:pPr>
              <w:jc w:val="right"/>
              <w:ind w:right="100"/>
              <w:spacing w:after="0" w:line="201" w:lineRule="exact"/>
              <w:rPr>
                <w:sz w:val="20"/>
                <w:szCs w:val="20"/>
                <w:color w:val="auto"/>
              </w:rPr>
            </w:pPr>
            <w:r>
              <w:rPr>
                <w:rFonts w:ascii="Arial" w:cs="Arial" w:eastAsia="Arial" w:hAnsi="Arial"/>
                <w:sz w:val="18"/>
                <w:szCs w:val="18"/>
                <w:b w:val="1"/>
                <w:bCs w:val="1"/>
                <w:color w:val="auto"/>
                <w:w w:val="91"/>
              </w:rPr>
              <w:t>(ZAR Thousands)</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223,822</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49,204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273,026</w:t>
            </w:r>
          </w:p>
        </w:tc>
        <w:tc>
          <w:tcPr>
            <w:tcW w:w="40" w:type="dxa"/>
            <w:vAlign w:val="bottom"/>
          </w:tcPr>
          <w:p>
            <w:pPr>
              <w:spacing w:after="0"/>
              <w:rPr>
                <w:sz w:val="18"/>
                <w:szCs w:val="18"/>
                <w:color w:val="auto"/>
              </w:rPr>
            </w:pPr>
          </w:p>
        </w:tc>
      </w:tr>
      <w:tr>
        <w:trPr>
          <w:trHeight w:val="230"/>
        </w:trPr>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(127,030)</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(127,030)</w:t>
            </w:r>
          </w:p>
        </w:tc>
      </w:tr>
      <w:tr>
        <w:trPr>
          <w:trHeight w:val="277"/>
        </w:trPr>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400,944</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(43,186)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357,758</w:t>
            </w:r>
          </w:p>
        </w:tc>
        <w:tc>
          <w:tcPr>
            <w:tcW w:w="40" w:type="dxa"/>
            <w:vAlign w:val="bottom"/>
          </w:tcPr>
          <w:p>
            <w:pPr>
              <w:spacing w:after="0"/>
              <w:rPr>
                <w:sz w:val="24"/>
                <w:szCs w:val="24"/>
                <w:color w:val="auto"/>
              </w:rPr>
            </w:pPr>
          </w:p>
        </w:tc>
      </w:tr>
      <w:tr>
        <w:trPr>
          <w:trHeight w:val="202"/>
        </w:trPr>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497,736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6,018</w:t>
            </w: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503,754</w:t>
            </w:r>
          </w:p>
        </w:tc>
        <w:tc>
          <w:tcPr>
            <w:tcW w:w="40" w:type="dxa"/>
            <w:vAlign w:val="bottom"/>
          </w:tcPr>
          <w:p>
            <w:pPr>
              <w:spacing w:after="0"/>
              <w:rPr>
                <w:sz w:val="17"/>
                <w:szCs w:val="17"/>
                <w:color w:val="auto"/>
              </w:rPr>
            </w:pPr>
          </w:p>
        </w:tc>
      </w:tr>
      <w:tr>
        <w:trPr>
          <w:trHeight w:val="216"/>
        </w:trPr>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76,098</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76,098</w:t>
            </w:r>
          </w:p>
        </w:tc>
      </w:tr>
      <w:tr>
        <w:trPr>
          <w:trHeight w:val="244"/>
        </w:trPr>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(20,250)</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(6,018)</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(26,268)</w:t>
            </w:r>
          </w:p>
        </w:tc>
      </w:tr>
      <w:tr>
        <w:trPr>
          <w:trHeight w:val="27"/>
        </w:trPr>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Arial" w:cs="Arial" w:eastAsia="Arial" w:hAnsi="Arial"/>
                <w:sz w:val="18"/>
                <w:szCs w:val="18"/>
                <w:color w:val="auto"/>
              </w:rPr>
              <w:t>553,584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553,584</w:t>
            </w:r>
          </w:p>
        </w:tc>
        <w:tc>
          <w:tcPr>
            <w:tcW w:w="40" w:type="dxa"/>
            <w:vAlign w:val="bottom"/>
          </w:tcPr>
          <w:p>
            <w:pPr>
              <w:spacing w:after="0"/>
              <w:rPr>
                <w:sz w:val="21"/>
                <w:szCs w:val="21"/>
                <w:color w:val="auto"/>
              </w:rPr>
            </w:pP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600" w:space="720"/>
            <w:col w:w="3920"/>
          </w:cols>
          <w:pgMar w:left="320" w:top="90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PROFIT FOR THE PERIOD TO ADJUSTED EBITDA (A NON-IFRS MEASURE)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9"/>
              </w:rPr>
              <w:t>August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9"/>
              </w:rPr>
              <w:t>August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180"/>
              <w:spacing w:after="0"/>
              <w:rPr>
                <w:sz w:val="20"/>
                <w:szCs w:val="20"/>
                <w:color w:val="auto"/>
              </w:rPr>
            </w:pPr>
            <w:r>
              <w:rPr>
                <w:rFonts w:ascii="Arial" w:cs="Arial" w:eastAsia="Arial" w:hAnsi="Arial"/>
                <w:sz w:val="18"/>
                <w:szCs w:val="18"/>
                <w:b w:val="1"/>
                <w:bCs w:val="1"/>
                <w:color w:val="auto"/>
              </w:rPr>
              <w:t>(ZAR 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123,162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129,125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231,077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261,982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Taxation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53,128</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55,629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101,870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104,908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Finance costs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3,019</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1,760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4,910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Depreciation of property, plant and equipment and amortization of intangible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119,881</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103,156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226,886</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187,317</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IPO costs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10,288</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 non-IFRS measure)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297,571</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288,643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572,700</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555,074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BASIC AND DILUTED EARNINGS AND ADJUSTED EARNINGS PER SHARE (A NON-IFRS MEASURE)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earnings per share</w:t>
      </w:r>
    </w:p>
    <w:p>
      <w:pPr>
        <w:spacing w:after="0" w:line="27" w:lineRule="exact"/>
        <w:rPr>
          <w:sz w:val="20"/>
          <w:szCs w:val="20"/>
          <w:color w:val="auto"/>
        </w:rPr>
      </w:pPr>
    </w:p>
    <w:p>
      <w:pPr>
        <w:ind w:left="180" w:hanging="161"/>
        <w:spacing w:after="0" w:line="250" w:lineRule="auto"/>
        <w:rPr>
          <w:sz w:val="20"/>
          <w:szCs w:val="20"/>
          <w:color w:val="auto"/>
        </w:rPr>
      </w:pPr>
      <w:r>
        <w:rPr>
          <w:rFonts w:ascii="Arial" w:cs="Arial" w:eastAsia="Arial" w:hAnsi="Arial"/>
          <w:sz w:val="18"/>
          <w:szCs w:val="18"/>
          <w:color w:val="auto"/>
        </w:rPr>
        <w:t>The calculation of basic and diluted earnings per share has been based on the profit attributable to ordinary shareholders and the weighted average number of ordinary shares in issue.</w:t>
      </w:r>
    </w:p>
    <w:p>
      <w:pPr>
        <w:spacing w:after="0" w:line="1" w:lineRule="exact"/>
        <w:rPr>
          <w:sz w:val="20"/>
          <w:szCs w:val="20"/>
          <w:color w:val="auto"/>
        </w:rPr>
      </w:pPr>
    </w:p>
    <w:p>
      <w:pPr>
        <w:ind w:right="2560"/>
        <w:spacing w:after="0" w:line="281" w:lineRule="auto"/>
        <w:rPr>
          <w:sz w:val="20"/>
          <w:szCs w:val="20"/>
          <w:color w:val="auto"/>
        </w:rPr>
      </w:pPr>
      <w:r>
        <w:rPr>
          <w:rFonts w:ascii="Arial" w:cs="Arial" w:eastAsia="Arial" w:hAnsi="Arial"/>
          <w:sz w:val="16"/>
          <w:szCs w:val="16"/>
          <w:b w:val="1"/>
          <w:bCs w:val="1"/>
          <w:color w:val="auto"/>
        </w:rPr>
        <w:t xml:space="preserve">Basic and diluted earnings per share </w:t>
      </w:r>
      <w:r>
        <w:rPr>
          <w:rFonts w:ascii="Arial" w:cs="Arial" w:eastAsia="Arial" w:hAnsi="Arial"/>
          <w:sz w:val="16"/>
          <w:szCs w:val="16"/>
          <w:color w:val="auto"/>
        </w:rPr>
        <w:t>Basic and diluted earnings per share (ZAR)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Weighted average number of ordinary shares in issue at period end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Profit attributable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Adjusted basic and diluted earnings per share </w:t>
      </w:r>
      <w:r>
        <w:rPr>
          <w:rFonts w:ascii="Arial" w:cs="Arial" w:eastAsia="Arial" w:hAnsi="Arial"/>
          <w:sz w:val="17"/>
          <w:szCs w:val="17"/>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548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9" w:lineRule="exact"/>
        <w:rPr>
          <w:sz w:val="20"/>
          <w:szCs w:val="20"/>
          <w:color w:val="auto"/>
        </w:rPr>
      </w:pPr>
    </w:p>
    <w:p>
      <w:pPr>
        <w:ind w:left="180" w:right="140" w:hanging="161"/>
        <w:spacing w:after="0" w:line="250" w:lineRule="auto"/>
        <w:rPr>
          <w:sz w:val="20"/>
          <w:szCs w:val="20"/>
          <w:color w:val="auto"/>
        </w:rPr>
      </w:pPr>
      <w:r>
        <w:rPr>
          <w:rFonts w:ascii="Arial" w:cs="Arial" w:eastAsia="Arial" w:hAnsi="Arial"/>
          <w:sz w:val="18"/>
          <w:szCs w:val="18"/>
          <w:color w:val="auto"/>
        </w:rPr>
        <w:t>The calculation of Adjusted basic and diluted earnings per share (a non-IFRS measure) has been based on the Adjusted profit attributable to ordinary shareholders (a non-IFRS measure) and the weighted average number of ordinary shares in issue.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Adjusted basic and diluted earnings per share </w:t>
      </w:r>
      <w:r>
        <w:rPr>
          <w:rFonts w:ascii="Arial" w:cs="Arial" w:eastAsia="Arial" w:hAnsi="Arial"/>
          <w:sz w:val="17"/>
          <w:szCs w:val="17"/>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number of ordinary shares in issue at period end (000’s)</w:t>
      </w:r>
    </w:p>
    <w:p>
      <w:pPr>
        <w:spacing w:after="0" w:line="70" w:lineRule="exact"/>
        <w:rPr>
          <w:sz w:val="20"/>
          <w:szCs w:val="20"/>
          <w:color w:val="auto"/>
        </w:rPr>
      </w:pPr>
    </w:p>
    <w:p>
      <w:pPr>
        <w:ind w:left="180" w:right="60" w:hanging="161"/>
        <w:spacing w:after="0" w:line="261" w:lineRule="auto"/>
        <w:rPr>
          <w:sz w:val="20"/>
          <w:szCs w:val="20"/>
          <w:color w:val="auto"/>
        </w:rPr>
      </w:pPr>
      <w:r>
        <w:rPr>
          <w:rFonts w:ascii="Arial" w:cs="Arial" w:eastAsia="Arial" w:hAnsi="Arial"/>
          <w:sz w:val="18"/>
          <w:szCs w:val="18"/>
          <w:b w:val="1"/>
          <w:bCs w:val="1"/>
          <w:color w:val="auto"/>
        </w:rPr>
        <w:t xml:space="preserve">Reconciliation between basic earnings and Adjusted earnings </w:t>
      </w:r>
      <w:r>
        <w:rPr>
          <w:rFonts w:ascii="Arial" w:cs="Arial" w:eastAsia="Arial" w:hAnsi="Arial"/>
          <w:sz w:val="18"/>
          <w:szCs w:val="18"/>
          <w:color w:val="auto"/>
        </w:rPr>
        <w:t>(a non-IFRS</w:t>
      </w:r>
      <w:r>
        <w:rPr>
          <w:rFonts w:ascii="Arial" w:cs="Arial" w:eastAsia="Arial" w:hAnsi="Arial"/>
          <w:sz w:val="18"/>
          <w:szCs w:val="18"/>
          <w:b w:val="1"/>
          <w:bCs w:val="1"/>
          <w:color w:val="auto"/>
        </w:rPr>
        <w:t xml:space="preserve"> </w:t>
      </w:r>
      <w:r>
        <w:rPr>
          <w:rFonts w:ascii="Arial" w:cs="Arial" w:eastAsia="Arial" w:hAnsi="Arial"/>
          <w:sz w:val="18"/>
          <w:szCs w:val="18"/>
          <w:color w:val="auto"/>
        </w:rPr>
        <w:t>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620"/>
        <w:spacing w:after="0" w:line="258" w:lineRule="auto"/>
        <w:rPr>
          <w:sz w:val="20"/>
          <w:szCs w:val="20"/>
          <w:color w:val="auto"/>
        </w:rPr>
      </w:pPr>
      <w:r>
        <w:rPr>
          <w:rFonts w:ascii="Arial" w:cs="Arial" w:eastAsia="Arial" w:hAnsi="Arial"/>
          <w:sz w:val="18"/>
          <w:szCs w:val="18"/>
          <w:color w:val="auto"/>
        </w:rPr>
        <w:t xml:space="preserve">Profit attributable to ordinary shareholders </w:t>
      </w:r>
      <w:r>
        <w:rPr>
          <w:rFonts w:ascii="Arial" w:cs="Arial" w:eastAsia="Arial" w:hAnsi="Arial"/>
          <w:sz w:val="18"/>
          <w:szCs w:val="18"/>
          <w:b w:val="1"/>
          <w:bCs w:val="1"/>
          <w:color w:val="auto"/>
        </w:rPr>
        <w:t xml:space="preserve">Adjust for: </w:t>
      </w:r>
      <w:r>
        <w:rPr>
          <w:rFonts w:ascii="Arial" w:cs="Arial" w:eastAsia="Arial" w:hAnsi="Arial"/>
          <w:sz w:val="18"/>
          <w:szCs w:val="18"/>
          <w:color w:val="auto"/>
        </w:rPr>
        <w:t>IPO costs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800" w:type="dxa"/>
            <w:vAlign w:val="bottom"/>
          </w:tcPr>
          <w:p>
            <w:pPr>
              <w:spacing w:after="0"/>
              <w:rPr>
                <w:sz w:val="20"/>
                <w:szCs w:val="20"/>
                <w:color w:val="auto"/>
              </w:rPr>
            </w:pPr>
          </w:p>
        </w:tc>
        <w:tc>
          <w:tcPr>
            <w:tcW w:w="19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9"/>
              </w:rPr>
              <w:t>August 31,</w:t>
            </w:r>
          </w:p>
        </w:tc>
        <w:tc>
          <w:tcPr>
            <w:tcW w:w="780" w:type="dxa"/>
            <w:vAlign w:val="bottom"/>
          </w:tcPr>
          <w:p>
            <w:pPr>
              <w:spacing w:after="0"/>
              <w:rPr>
                <w:sz w:val="20"/>
                <w:szCs w:val="20"/>
                <w:color w:val="auto"/>
              </w:rPr>
            </w:pPr>
          </w:p>
        </w:tc>
        <w:tc>
          <w:tcPr>
            <w:tcW w:w="1660" w:type="dxa"/>
            <w:vAlign w:val="bottom"/>
          </w:tcPr>
          <w:p>
            <w:pPr>
              <w:jc w:val="center"/>
              <w:ind w:right="710"/>
              <w:spacing w:after="0"/>
              <w:rPr>
                <w:sz w:val="20"/>
                <w:szCs w:val="20"/>
                <w:color w:val="auto"/>
              </w:rPr>
            </w:pPr>
            <w:r>
              <w:rPr>
                <w:rFonts w:ascii="Arial" w:cs="Arial" w:eastAsia="Arial" w:hAnsi="Arial"/>
                <w:sz w:val="18"/>
                <w:szCs w:val="18"/>
                <w:b w:val="1"/>
                <w:bCs w:val="1"/>
                <w:color w:val="auto"/>
                <w:w w:val="89"/>
              </w:rPr>
              <w:t>August 31,</w:t>
            </w:r>
          </w:p>
        </w:tc>
      </w:tr>
      <w:tr>
        <w:trPr>
          <w:trHeight w:val="236"/>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7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6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34"/>
        </w:trPr>
        <w:tc>
          <w:tcPr>
            <w:tcW w:w="800" w:type="dxa"/>
            <w:vAlign w:val="bottom"/>
          </w:tcPr>
          <w:p>
            <w:pPr>
              <w:spacing w:after="0"/>
              <w:rPr>
                <w:sz w:val="20"/>
                <w:szCs w:val="20"/>
                <w:color w:val="auto"/>
              </w:rPr>
            </w:pPr>
          </w:p>
        </w:tc>
        <w:tc>
          <w:tcPr>
            <w:tcW w:w="27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(ZAR Thousands)</w:t>
            </w:r>
          </w:p>
        </w:tc>
        <w:tc>
          <w:tcPr>
            <w:tcW w:w="16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7.37</w:t>
            </w:r>
          </w:p>
        </w:tc>
        <w:tc>
          <w:tcPr>
            <w:tcW w:w="1120" w:type="dxa"/>
            <w:vAlign w:val="bottom"/>
          </w:tcPr>
          <w:p>
            <w:pPr>
              <w:jc w:val="right"/>
              <w:spacing w:after="0"/>
              <w:rPr>
                <w:sz w:val="20"/>
                <w:szCs w:val="20"/>
                <w:color w:val="auto"/>
              </w:rPr>
            </w:pPr>
            <w:r>
              <w:rPr>
                <w:rFonts w:ascii="Arial" w:cs="Arial" w:eastAsia="Arial" w:hAnsi="Arial"/>
                <w:sz w:val="18"/>
                <w:szCs w:val="18"/>
                <w:color w:val="auto"/>
              </w:rPr>
              <w:t>8.43</w:t>
            </w:r>
          </w:p>
        </w:tc>
      </w:tr>
      <w:tr>
        <w:trPr>
          <w:trHeight w:val="263"/>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30,951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28,128</w:t>
            </w:r>
          </w:p>
        </w:tc>
        <w:tc>
          <w:tcPr>
            <w:tcW w:w="1120" w:type="dxa"/>
            <w:vAlign w:val="bottom"/>
          </w:tcPr>
          <w:p>
            <w:pPr>
              <w:jc w:val="right"/>
              <w:spacing w:after="0"/>
              <w:rPr>
                <w:sz w:val="20"/>
                <w:szCs w:val="20"/>
                <w:color w:val="auto"/>
              </w:rPr>
            </w:pPr>
            <w:r>
              <w:rPr>
                <w:rFonts w:ascii="Arial" w:cs="Arial" w:eastAsia="Arial" w:hAnsi="Arial"/>
                <w:sz w:val="18"/>
                <w:szCs w:val="18"/>
                <w:color w:val="auto"/>
              </w:rPr>
              <w:t>20,333</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8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119,148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83,736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207,423</w:t>
            </w:r>
          </w:p>
        </w:tc>
        <w:tc>
          <w:tcPr>
            <w:tcW w:w="1120" w:type="dxa"/>
            <w:vAlign w:val="bottom"/>
          </w:tcPr>
          <w:p>
            <w:pPr>
              <w:jc w:val="right"/>
              <w:spacing w:after="0"/>
              <w:rPr>
                <w:sz w:val="20"/>
                <w:szCs w:val="20"/>
                <w:color w:val="auto"/>
              </w:rPr>
            </w:pPr>
            <w:r>
              <w:rPr>
                <w:rFonts w:ascii="Arial" w:cs="Arial" w:eastAsia="Arial" w:hAnsi="Arial"/>
                <w:sz w:val="18"/>
                <w:szCs w:val="18"/>
                <w:color w:val="auto"/>
              </w:rPr>
              <w:t>171,477</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1120" w:type="dxa"/>
            <w:vAlign w:val="bottom"/>
          </w:tcPr>
          <w:p>
            <w:pPr>
              <w:jc w:val="right"/>
              <w:spacing w:after="0"/>
              <w:rPr>
                <w:sz w:val="20"/>
                <w:szCs w:val="20"/>
                <w:color w:val="auto"/>
              </w:rPr>
            </w:pPr>
            <w:r>
              <w:rPr>
                <w:rFonts w:ascii="Arial" w:cs="Arial" w:eastAsia="Arial" w:hAnsi="Arial"/>
                <w:sz w:val="18"/>
                <w:szCs w:val="18"/>
                <w:color w:val="auto"/>
              </w:rPr>
              <w:t>8.43</w:t>
            </w:r>
          </w:p>
        </w:tc>
      </w:tr>
      <w:tr>
        <w:trPr>
          <w:trHeight w:val="263"/>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30,951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28,128</w:t>
            </w:r>
          </w:p>
        </w:tc>
        <w:tc>
          <w:tcPr>
            <w:tcW w:w="1120" w:type="dxa"/>
            <w:vAlign w:val="bottom"/>
          </w:tcPr>
          <w:p>
            <w:pPr>
              <w:jc w:val="right"/>
              <w:spacing w:after="0"/>
              <w:rPr>
                <w:sz w:val="20"/>
                <w:szCs w:val="20"/>
                <w:color w:val="auto"/>
              </w:rPr>
            </w:pPr>
            <w:r>
              <w:rPr>
                <w:rFonts w:ascii="Arial" w:cs="Arial" w:eastAsia="Arial" w:hAnsi="Arial"/>
                <w:sz w:val="18"/>
                <w:szCs w:val="18"/>
                <w:color w:val="auto"/>
              </w:rPr>
              <w:t>20,333</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93"/>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119,148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83,736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207,423</w:t>
            </w:r>
          </w:p>
        </w:tc>
        <w:tc>
          <w:tcPr>
            <w:tcW w:w="1120" w:type="dxa"/>
            <w:vAlign w:val="bottom"/>
          </w:tcPr>
          <w:p>
            <w:pPr>
              <w:jc w:val="right"/>
              <w:spacing w:after="0"/>
              <w:rPr>
                <w:sz w:val="20"/>
                <w:szCs w:val="20"/>
                <w:color w:val="auto"/>
              </w:rPr>
            </w:pPr>
            <w:r>
              <w:rPr>
                <w:rFonts w:ascii="Arial" w:cs="Arial" w:eastAsia="Arial" w:hAnsi="Arial"/>
                <w:sz w:val="18"/>
                <w:szCs w:val="18"/>
                <w:color w:val="auto"/>
              </w:rPr>
              <w:t>171,477</w:t>
            </w:r>
          </w:p>
        </w:tc>
      </w:tr>
      <w:tr>
        <w:trPr>
          <w:trHeight w:val="228"/>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10,288</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p>
    <w:p>
      <w:pPr>
        <w:sectPr>
          <w:pgSz w:w="11900" w:h="16838" w:orient="portrait"/>
          <w:cols w:equalWidth="0" w:num="2">
            <w:col w:w="5700" w:space="280"/>
            <w:col w:w="52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 effect on above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w w:val="95"/>
              </w:rPr>
              <w:t xml:space="preserve">Adjusted profit attributable to ordinary shareholders </w:t>
            </w:r>
            <w:r>
              <w:rPr>
                <w:rFonts w:ascii="Arial" w:cs="Arial" w:eastAsia="Arial" w:hAnsi="Arial"/>
                <w:sz w:val="18"/>
                <w:szCs w:val="18"/>
                <w:color w:val="auto"/>
                <w:w w:val="95"/>
              </w:rPr>
              <w:t>(a non-IFRS measure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119,148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83,736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217,711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171,477</w:t>
            </w:r>
          </w:p>
        </w:tc>
        <w:tc>
          <w:tcPr>
            <w:tcW w:w="0" w:type="dxa"/>
            <w:vAlign w:val="bottom"/>
          </w:tcPr>
          <w:p>
            <w:pPr>
              <w:spacing w:after="0"/>
              <w:rPr>
                <w:sz w:val="1"/>
                <w:szCs w:val="1"/>
                <w:color w:val="auto"/>
              </w:rPr>
            </w:pPr>
          </w:p>
        </w:tc>
      </w:tr>
      <w:tr>
        <w:trPr>
          <w:trHeight w:val="20"/>
        </w:trPr>
        <w:tc>
          <w:tcPr>
            <w:tcW w:w="5980" w:type="dxa"/>
            <w:vAlign w:val="bottom"/>
            <w:vMerge w:val="restart"/>
          </w:tcPr>
          <w:p>
            <w:pPr>
              <w:jc w:val="right"/>
              <w:ind w:right="170"/>
              <w:spacing w:after="0"/>
              <w:rPr>
                <w:sz w:val="20"/>
                <w:szCs w:val="20"/>
                <w:color w:val="auto"/>
              </w:rPr>
            </w:pPr>
            <w:r>
              <w:rPr>
                <w:rFonts w:ascii="Arial" w:cs="Arial" w:eastAsia="Arial" w:hAnsi="Arial"/>
                <w:sz w:val="18"/>
                <w:szCs w:val="18"/>
                <w:color w:val="auto"/>
              </w:rPr>
              <w:t>15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9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BASIC AND DILUTED HEADLINE EARNINGS AND ADJUSTED HEADLINE EARNINGS PER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Headline earnings per share (a non-IFRS measure)</w:t>
      </w:r>
    </w:p>
    <w:p>
      <w:pPr>
        <w:spacing w:after="0" w:line="27" w:lineRule="exact"/>
        <w:rPr>
          <w:sz w:val="20"/>
          <w:szCs w:val="20"/>
          <w:color w:val="auto"/>
        </w:rPr>
      </w:pPr>
    </w:p>
    <w:p>
      <w:pPr>
        <w:ind w:left="180" w:right="100" w:hanging="161"/>
        <w:spacing w:after="0" w:line="265" w:lineRule="auto"/>
        <w:rPr>
          <w:sz w:val="20"/>
          <w:szCs w:val="20"/>
          <w:color w:val="auto"/>
        </w:rPr>
      </w:pPr>
      <w:r>
        <w:rPr>
          <w:rFonts w:ascii="Arial" w:cs="Arial" w:eastAsia="Arial" w:hAnsi="Arial"/>
          <w:sz w:val="17"/>
          <w:szCs w:val="17"/>
          <w:color w:val="auto"/>
        </w:rPr>
        <w:t>The calculation of headline earnings per share has been based on the profit attributable to ordinary shareholders computed in terms of SAICA circular 1/2019 and the weighted average number of ordinary shares in issue as determined above in basic earnings per share section.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Headline earnings per share (ZAR) (a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Basic and diluted headline earnings per share (ZAR)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number of ordinary shares in issue at period end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0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Reconciliation between basic earnings and headline earnings (ZAR 000’s) </w:t>
      </w:r>
      <w:r>
        <w:rPr>
          <w:rFonts w:ascii="Arial" w:cs="Arial" w:eastAsia="Arial" w:hAnsi="Arial"/>
          <w:sz w:val="18"/>
          <w:szCs w:val="18"/>
          <w:color w:val="auto"/>
        </w:rPr>
        <w:t>Basic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 for</w:t>
      </w:r>
    </w:p>
    <w:p>
      <w:pPr>
        <w:spacing w:after="0" w:line="9" w:lineRule="exact"/>
        <w:rPr>
          <w:sz w:val="20"/>
          <w:szCs w:val="20"/>
          <w:color w:val="auto"/>
        </w:rPr>
      </w:pPr>
    </w:p>
    <w:p>
      <w:pPr>
        <w:ind w:right="1520"/>
        <w:spacing w:after="0" w:line="255" w:lineRule="auto"/>
        <w:rPr>
          <w:sz w:val="20"/>
          <w:szCs w:val="20"/>
          <w:color w:val="auto"/>
        </w:rPr>
      </w:pPr>
      <w:r>
        <w:rPr>
          <w:rFonts w:ascii="Arial" w:cs="Arial" w:eastAsia="Arial" w:hAnsi="Arial"/>
          <w:sz w:val="18"/>
          <w:szCs w:val="18"/>
          <w:color w:val="auto"/>
        </w:rPr>
        <w:t>Profit/(loss) on disposal of property, plant and equipment Tax effect 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Headline earnings attributable to ordinary shareholders (ZAR 000’s)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800" w:type="dxa"/>
            <w:vAlign w:val="bottom"/>
          </w:tcPr>
          <w:p>
            <w:pPr>
              <w:spacing w:after="0"/>
              <w:rPr>
                <w:sz w:val="20"/>
                <w:szCs w:val="20"/>
                <w:color w:val="auto"/>
              </w:rPr>
            </w:pPr>
          </w:p>
        </w:tc>
        <w:tc>
          <w:tcPr>
            <w:tcW w:w="19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9"/>
              </w:rPr>
              <w:t>August 31,</w:t>
            </w:r>
          </w:p>
        </w:tc>
        <w:tc>
          <w:tcPr>
            <w:tcW w:w="780" w:type="dxa"/>
            <w:vAlign w:val="bottom"/>
          </w:tcPr>
          <w:p>
            <w:pPr>
              <w:spacing w:after="0"/>
              <w:rPr>
                <w:sz w:val="20"/>
                <w:szCs w:val="20"/>
                <w:color w:val="auto"/>
              </w:rPr>
            </w:pPr>
          </w:p>
        </w:tc>
        <w:tc>
          <w:tcPr>
            <w:tcW w:w="1660" w:type="dxa"/>
            <w:vAlign w:val="bottom"/>
          </w:tcPr>
          <w:p>
            <w:pPr>
              <w:jc w:val="center"/>
              <w:ind w:right="710"/>
              <w:spacing w:after="0"/>
              <w:rPr>
                <w:sz w:val="20"/>
                <w:szCs w:val="20"/>
                <w:color w:val="auto"/>
              </w:rPr>
            </w:pPr>
            <w:r>
              <w:rPr>
                <w:rFonts w:ascii="Arial" w:cs="Arial" w:eastAsia="Arial" w:hAnsi="Arial"/>
                <w:sz w:val="18"/>
                <w:szCs w:val="18"/>
                <w:b w:val="1"/>
                <w:bCs w:val="1"/>
                <w:color w:val="auto"/>
                <w:w w:val="89"/>
              </w:rPr>
              <w:t>August 31,</w:t>
            </w:r>
          </w:p>
        </w:tc>
      </w:tr>
      <w:tr>
        <w:trPr>
          <w:trHeight w:val="236"/>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7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6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34"/>
        </w:trPr>
        <w:tc>
          <w:tcPr>
            <w:tcW w:w="800" w:type="dxa"/>
            <w:vAlign w:val="bottom"/>
          </w:tcPr>
          <w:p>
            <w:pPr>
              <w:spacing w:after="0"/>
              <w:rPr>
                <w:sz w:val="20"/>
                <w:szCs w:val="20"/>
                <w:color w:val="auto"/>
              </w:rPr>
            </w:pPr>
          </w:p>
        </w:tc>
        <w:tc>
          <w:tcPr>
            <w:tcW w:w="27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(ZAR Thousands)</w:t>
            </w:r>
          </w:p>
        </w:tc>
        <w:tc>
          <w:tcPr>
            <w:tcW w:w="16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3.84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7.35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8.43</w:t>
            </w:r>
          </w:p>
        </w:tc>
      </w:tr>
      <w:tr>
        <w:trPr>
          <w:trHeight w:val="263"/>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30,951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28,128</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20,333</w:t>
            </w: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2"/>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119,148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83,736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207,423</w:t>
            </w:r>
          </w:p>
        </w:tc>
        <w:tc>
          <w:tcPr>
            <w:tcW w:w="1120" w:type="dxa"/>
            <w:vAlign w:val="bottom"/>
          </w:tcPr>
          <w:p>
            <w:pPr>
              <w:jc w:val="right"/>
              <w:spacing w:after="0"/>
              <w:rPr>
                <w:sz w:val="20"/>
                <w:szCs w:val="20"/>
                <w:color w:val="auto"/>
              </w:rPr>
            </w:pPr>
            <w:r>
              <w:rPr>
                <w:rFonts w:ascii="Arial" w:cs="Arial" w:eastAsia="Arial" w:hAnsi="Arial"/>
                <w:sz w:val="18"/>
                <w:szCs w:val="18"/>
                <w:color w:val="auto"/>
              </w:rPr>
              <w:t>171,477</w:t>
            </w:r>
          </w:p>
        </w:tc>
        <w:tc>
          <w:tcPr>
            <w:tcW w:w="60" w:type="dxa"/>
            <w:vAlign w:val="bottom"/>
          </w:tcPr>
          <w:p>
            <w:pPr>
              <w:spacing w:after="0"/>
              <w:rPr>
                <w:sz w:val="24"/>
                <w:szCs w:val="24"/>
                <w:color w:val="auto"/>
              </w:rPr>
            </w:pPr>
          </w:p>
        </w:tc>
      </w:tr>
      <w:tr>
        <w:trPr>
          <w:trHeight w:val="431"/>
        </w:trPr>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(963)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0"/>
                <w:szCs w:val="20"/>
                <w:color w:val="auto"/>
              </w:rPr>
            </w:pP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118,931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83,618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206,729</w:t>
            </w:r>
          </w:p>
        </w:tc>
        <w:tc>
          <w:tcPr>
            <w:tcW w:w="1120" w:type="dxa"/>
            <w:vAlign w:val="bottom"/>
          </w:tcPr>
          <w:p>
            <w:pPr>
              <w:jc w:val="right"/>
              <w:spacing w:after="0"/>
              <w:rPr>
                <w:sz w:val="20"/>
                <w:szCs w:val="20"/>
                <w:color w:val="auto"/>
              </w:rPr>
            </w:pPr>
            <w:r>
              <w:rPr>
                <w:rFonts w:ascii="Arial" w:cs="Arial" w:eastAsia="Arial" w:hAnsi="Arial"/>
                <w:sz w:val="18"/>
                <w:szCs w:val="18"/>
                <w:color w:val="auto"/>
              </w:rPr>
              <w:t>171,299</w:t>
            </w:r>
          </w:p>
        </w:tc>
        <w:tc>
          <w:tcPr>
            <w:tcW w:w="60" w:type="dxa"/>
            <w:vAlign w:val="bottom"/>
          </w:tcPr>
          <w:p>
            <w:pPr>
              <w:spacing w:after="0"/>
              <w:rPr>
                <w:sz w:val="21"/>
                <w:szCs w:val="2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5640" w:space="340"/>
            <w:col w:w="52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Adjusted headline earnings per share (a non-IFRS measure)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The calculation of Adjusted headline earnings per share has been based on the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profit attributable to ordinary shareholders computed in terms of SAICA</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circular 1/2019 and the weighted average number of ordinary shares in issue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determined above in basic earnings per share section.</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Adjusted headline earnings per share (ZAR) (a non-IFRS measure)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Adjusted headline earnings per share (ZAR)</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color w:val="auto"/>
                <w:w w:val="99"/>
              </w:rPr>
              <w:t>Weighted average number of ordinary shares in issue at period end (000’s)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30,951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28,128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157"/>
        </w:trPr>
        <w:tc>
          <w:tcPr>
            <w:tcW w:w="598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w w:val="93"/>
              </w:rPr>
              <w:t>Reconciliation between headline earnings and Adjusted headline earnings</w:t>
            </w:r>
          </w:p>
        </w:tc>
        <w:tc>
          <w:tcPr>
            <w:tcW w:w="11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(ZAR 000’s)</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Headline earnings (a non-IFRS measure)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118,931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83,618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206,729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171,299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 for: </w:t>
            </w:r>
            <w:r>
              <w:rPr>
                <w:rFonts w:ascii="Arial" w:cs="Arial" w:eastAsia="Arial" w:hAnsi="Arial"/>
                <w:sz w:val="18"/>
                <w:szCs w:val="18"/>
                <w:color w:val="auto"/>
              </w:rPr>
              <w:t>IPO costs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Tax effect on above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59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8"/>
              </w:rPr>
              <w:t>Adjusted headline earnings attributable to ordinary shareholders (ZAR</w:t>
            </w:r>
          </w:p>
        </w:tc>
        <w:tc>
          <w:tcPr>
            <w:tcW w:w="11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000’s) (a non-IFRS measure)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118,931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83,618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217,017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171,299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9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CONSTANT CURRENCY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August 31, 2021</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constant currency information has been determined by adjusting the current financial reporting period results to the results reported for the three months ended August 31, 2020, using the average of the monthly exchange rates applicable to that period. The measurement has been performed for each of the group’s operating currencies.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SUBSCRIPTION REVENUE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392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90"/>
              </w:rPr>
              <w:t>Three Months Ended August 31,</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Year-on-Year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(ZAR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 as reported</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627,637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541,563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1120" w:type="dxa"/>
            <w:vAlign w:val="bottom"/>
          </w:tcPr>
          <w:p>
            <w:pPr>
              <w:jc w:val="right"/>
              <w:spacing w:after="0"/>
              <w:rPr>
                <w:sz w:val="20"/>
                <w:szCs w:val="20"/>
                <w:color w:val="auto"/>
              </w:rPr>
            </w:pPr>
            <w:r>
              <w:rPr>
                <w:rFonts w:ascii="Arial" w:cs="Arial" w:eastAsia="Arial" w:hAnsi="Arial"/>
                <w:sz w:val="18"/>
                <w:szCs w:val="18"/>
                <w:color w:val="auto"/>
              </w:rPr>
              <w:t>26,619</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revenue on a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654,256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541,563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392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90"/>
              </w:rPr>
              <w:t>Three Months Ended August 31,</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Year-on-Year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(ZAR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 as reported</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658,768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551,144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1120" w:type="dxa"/>
            <w:vAlign w:val="bottom"/>
          </w:tcPr>
          <w:p>
            <w:pPr>
              <w:jc w:val="right"/>
              <w:spacing w:after="0"/>
              <w:rPr>
                <w:sz w:val="20"/>
                <w:szCs w:val="20"/>
                <w:color w:val="auto"/>
              </w:rPr>
            </w:pPr>
            <w:r>
              <w:rPr>
                <w:rFonts w:ascii="Arial" w:cs="Arial" w:eastAsia="Arial" w:hAnsi="Arial"/>
                <w:sz w:val="18"/>
                <w:szCs w:val="18"/>
                <w:color w:val="auto"/>
              </w:rPr>
              <w:t>22,209</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on a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680,977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551,144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August 31, 2021</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constant currency information has been determined by adjusting the current financial reporting period results to the results reported for the six months ended August 31, 2020, using the average of the monthly exchange rates applicable to that period. The measurement has been performed for each of the group’s operating currencies.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SUBSCRIPTION REVENUE</w:t>
            </w:r>
          </w:p>
        </w:tc>
        <w:tc>
          <w:tcPr>
            <w:tcW w:w="2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20" w:type="dxa"/>
            <w:vAlign w:val="bottom"/>
            <w:gridSpan w:val="6"/>
          </w:tcPr>
          <w:p>
            <w:pPr>
              <w:jc w:val="center"/>
              <w:ind w:right="70"/>
              <w:spacing w:after="0"/>
              <w:rPr>
                <w:sz w:val="20"/>
                <w:szCs w:val="20"/>
                <w:color w:val="auto"/>
              </w:rPr>
            </w:pPr>
            <w:r>
              <w:rPr>
                <w:rFonts w:ascii="Arial" w:cs="Arial" w:eastAsia="Arial" w:hAnsi="Arial"/>
                <w:sz w:val="18"/>
                <w:szCs w:val="18"/>
                <w:b w:val="1"/>
                <w:bCs w:val="1"/>
                <w:color w:val="auto"/>
                <w:w w:val="90"/>
              </w:rPr>
              <w:t>Six Months Ended August 31,</w:t>
            </w: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Year-on-Year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38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(ZAR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 as reported</w:t>
            </w:r>
          </w:p>
        </w:tc>
        <w:tc>
          <w:tcPr>
            <w:tcW w:w="4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1,233,503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1,067,852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27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45,633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revenue on a constant currency basis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1,279,136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1,067,852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56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20" w:type="dxa"/>
            <w:vAlign w:val="bottom"/>
            <w:gridSpan w:val="6"/>
          </w:tcPr>
          <w:p>
            <w:pPr>
              <w:jc w:val="center"/>
              <w:ind w:right="70"/>
              <w:spacing w:after="0"/>
              <w:rPr>
                <w:sz w:val="20"/>
                <w:szCs w:val="20"/>
                <w:color w:val="auto"/>
              </w:rPr>
            </w:pPr>
            <w:r>
              <w:rPr>
                <w:rFonts w:ascii="Arial" w:cs="Arial" w:eastAsia="Arial" w:hAnsi="Arial"/>
                <w:sz w:val="18"/>
                <w:szCs w:val="18"/>
                <w:b w:val="1"/>
                <w:bCs w:val="1"/>
                <w:color w:val="auto"/>
                <w:w w:val="90"/>
              </w:rPr>
              <w:t>Six Months Ended August 31,</w:t>
            </w: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Year-on-Year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38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(ZAR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 as reported</w:t>
            </w:r>
          </w:p>
        </w:tc>
        <w:tc>
          <w:tcPr>
            <w:tcW w:w="4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1,284,961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1,086,135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27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46,574</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on a constant currency basis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1,331,535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1,086,135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760" w:type="dxa"/>
            <w:vAlign w:val="bottom"/>
            <w:vMerge w:val="restart"/>
          </w:tcPr>
          <w:p>
            <w:pPr>
              <w:jc w:val="right"/>
              <w:ind w:right="1510"/>
              <w:spacing w:after="0"/>
              <w:rPr>
                <w:sz w:val="20"/>
                <w:szCs w:val="20"/>
                <w:color w:val="auto"/>
              </w:rPr>
            </w:pPr>
            <w:r>
              <w:rPr>
                <w:rFonts w:ascii="Arial" w:cs="Arial" w:eastAsia="Arial" w:hAnsi="Arial"/>
                <w:sz w:val="18"/>
                <w:szCs w:val="18"/>
                <w:color w:val="auto"/>
              </w:rPr>
              <w:t>17</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Profit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profit, a non-IFRS measure, is defined as, profit after tax defined by IFRS excluding the impact of non-recurring operational expenses relating to IPO costs of ZAR10 million expensed in the first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djusted Earnings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earnings per share, a non-IFRS measure, is defined as, earnings per share defined by IFRS excluding the impact of non-recurring operational expenses relating to IPO costs of ZAR10 million expensed in the first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define Adjusted EBITDA, a non-IFRS measure, as profit less finance income, plus finance costs, taxation, depreciation and amortization, plus once-off IPO costs.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Annualized Recurring Revenue (ARR)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ARR, a non-IFRS measure, is defined as the annual run-rate subscription revenue of subscription agreements from all customers at a point in time, calculated by taking the monthly subscription revenue for all customers during that month (August 2021) and multiplying by twelve.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Subscriber per month (ARPU)</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in accordance with IFRS.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define Free Cash Flow, a non-IFRS measure, as net cash generated from operating activities less purchases of property, plant and equipment. Free Cash Flow margin is calculated as Free Cash Flow divided by revenue. In addition to our results determined in accordance with IFRS, we believe Free Cash Flow and Free Cash Flow margin, which are non-IFRS measures, are useful in evaluating our operating performance. We believe that Free Cash Flow and Free Cash Flow margin are useful indicators of liquidity and the ability of the company to turn revenues into Free Cash Flow, respectively, that provide information to management and investors about the amount of cash generated from our operations that, after the investments in property and equipment and capitalized internal-use software,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and Free Cash Flow margin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Headline earnings per share (HEPS)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inclusion of HEPS, a non-IFRS measure, in this press release is a requirement of our listing on the JSE. Basic and diluted HEPS is calculated using profit which has been determined based on IFRS. Accordingly, this may differ to the headline earnings per share calculation of other companies listed on the JSE as these companies may report their financial results under a different financial reporting framework. Basic or diluted HEPS is calculated using IFRS net income adjusted for the (profit)/loss on sale of property, plant and equipment divided by the weighted average number of ordinary shares in issue. We have provided a reconciliation between our net income used to calculate basic and diluted earnings per share and headline earnings used to calculate HEPS and have included the weighted average number of shares in issue for the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headline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headline earnings per share, a non-IFRS measure, is calculated using Adjusted profit, a non-IFRS measure, defined above (which excludes the impact of non-recurring operational expenses relating to IPO costs of ZAR10 million expensed in the first quarter of 2022), adjusted for the (profit)/loss on sale of property, plant and equipment divided by the weighted average number of ordinary shares in issue.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spacing w:after="0" w:line="293"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announcement. In addition, even if our results of operations, financial condition and liquidity, the development of the industry in which we operate and the effect of acquisitions on us are consistent with the forward-looking statements contained in this announcement, those results or developments may not be indicative of results or developments in subsequent periods.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the Annual Report on Form 20-F filed on June 28,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similarly-titled measures used by other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w:t>
      </w:r>
    </w:p>
    <w:p>
      <w:pPr>
        <w:jc w:val="both"/>
        <w:spacing w:after="0" w:line="244" w:lineRule="auto"/>
        <w:rPr>
          <w:sz w:val="20"/>
          <w:szCs w:val="20"/>
          <w:color w:val="auto"/>
        </w:rPr>
      </w:pPr>
      <w:r>
        <w:rPr>
          <w:rFonts w:ascii="Arial" w:cs="Arial" w:eastAsia="Arial" w:hAnsi="Arial"/>
          <w:sz w:val="17"/>
          <w:szCs w:val="17"/>
          <w:color w:val="auto"/>
        </w:rPr>
        <w:t xml:space="preserve">our business operations. Solely for convenience, trademarks and trade names referred to in this announcement may appear without the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or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2021-10-14T15:02:49Z</dcterms:created>
  <dcterms:modified xsi:type="dcterms:W3CDTF">2021-10-14T15:02:49Z</dcterms:modified>
</cp:coreProperties>
</file>